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https://www.autoritedelaconcurrence.fr/fr/decision/relative-des-pratiques-mises-en-oeuvre-dans-le-secteur-des-taxis-la-rochelle</w:t>
      </w:r>
    </w:p>
    <w:p>
      <w:r>
        <w:t>Pages translated : 2</w:t>
      </w:r>
    </w:p>
    <w:p/>
    <w:p>
      <w:r>
        <w:rPr>
          <w:b/>
        </w:rPr>
        <w:t>[Pages 1–2]</w:t>
      </w:r>
    </w:p>
    <w:p>
      <w:r>
        <w:t>COUNCIL OF COMPETITION</w:t>
        <w:br/>
        <w:t>Decision No. 97 D 36</w:t>
        <w:br/>
        <w:t>of May 20, 1997</w:t>
        <w:br/>
        <w:t>regarding practices implemented</w:t>
        <w:br/>
        <w:t>in the taxi sector in La Rochelle</w:t>
        <w:br/>
        <w:t>The Council of Competition (standing committee),</w:t>
        <w:br/>
        <w:t>Having regard to the letter registered on November 6, 1991, under No. F 446, by which the Minister of State, Minister of Economy, Finance, and Budget, referred the situation of competition in the taxi sector in La Rochelle to the Council of Competition;</w:t>
        <w:br/>
        <w:t>Having regard to Ordinance No. 86 1243 of December 1, 1986, as amended, concerning the freedom of prices and competition, and Decree No. 86 1309 of December 29, 1986, as amended, adopted for its application;</w:t>
        <w:br/>
        <w:t>Having regard to the other documents in the file;</w:t>
        <w:br/>
        <w:t>The rapporteur, the general rapporteur, and the Government Commissioner having been heard;</w:t>
        <w:br/>
        <w:t>Considering that the Minister of State, Minister of Economy, Finance, and Budget, referred the Council of Competition to practices implemented in the taxi operation sector in La Rochelle;</w:t>
        <w:br/>
        <w:t>Considering that under Article 27 of the ordinance of December 1, 1986: "The Council cannot be seized of facts dating back more than three years if no act has been made to seek, ascertain, and sanction them"; that the Court of Appeal of Paris in a judgment of December 1, 1995 (société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any potential cause (...) for the suspension of its course";</w:t>
        <w:br/>
        <w:t>Considering that it is established that the practices denounced in the referral have not been subject to any interruptive act of limitation for a period of more than three years; that under these conditions, the Council cannot examine these facts;</w:t>
        <w:br/>
        <w:t>Considering that it follows from the above that it is necessary to apply the provisions of</w:t>
      </w:r>
    </w:p>
    <w:p>
      <w:r>
        <w:t>Article 20 of the ordinance of December 1, 1986,</w:t>
        <w:br/>
        <w:t>DECIDES:</w:t>
        <w:br/>
        <w:t>Sole Article. There is no need to continue the procedure.</w:t>
        <w:br/>
        <w:t>Deliberated, on the report of Ms. Véronique Parini Eloy, by Mr. Barbeau, president, and Messrs. Cortesse and Jenny, vice presidents.</w:t>
        <w:br/>
        <w:t>The General Rapporteur, The President,</w:t>
        <w:br/>
        <w:t>Marie Picard Charles Barbeau</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