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https://www.autoritedelaconcurrence.fr/fr/decision/relative-des-pratiques-mises-en-oeuvre-dans-le-secteur-des-titres-restaurant-0</w:t>
      </w:r>
    </w:p>
    <w:p>
      <w:r>
        <w:t>Pages translated : 155</w:t>
      </w:r>
    </w:p>
    <w:p/>
    <w:p>
      <w:r>
        <w:rPr>
          <w:b/>
        </w:rPr>
        <w:t>[Pages 1–3]</w:t>
      </w:r>
    </w:p>
    <w:p>
      <w:r>
        <w:t xml:space="preserve">FRENCH REPUBLIC  </w:t>
        <w:br/>
        <w:t xml:space="preserve">Decision No. 19-D-25 of December 17, 2019  </w:t>
        <w:br/>
        <w:t xml:space="preserve">regarding practices implemented in the restaurant voucher sector*  </w:t>
        <w:br/>
        <w:t xml:space="preserve">The Competition Authority (section IV),  </w:t>
        <w:br/>
        <w:t xml:space="preserve">Having regard to the letter dated October 9, 2015, registered under numbers 15/0093 M and 15/0092 F, by which the company Octoplus referred to the Competition Authority practices implemented in the sector of issuance and acceptance of restaurant vouchers, accompanied by a request for interim measures;  </w:t>
        <w:br/>
        <w:t xml:space="preserve">Having regard to the letter dated May 21, 2015, supplemented by a letter dated November 18, 2016, registered under number 16/0097 F, by which the National Union of Thematic Restoration, the National Union of Organized Public Restoration, and the Confederation of Independent Hospitality Professionals referred to the Authority regarding practices implemented in the sector of issuance and acceptance of restaurant vouchers;  </w:t>
        <w:br/>
        <w:t xml:space="preserve">Having regard to Decision No. 01-D-41 of July 11, 2001, regarding practices implemented in the markets of restaurant vouchers and employment-service vouchers;  </w:t>
        <w:br/>
        <w:t xml:space="preserve">Having regard to Decision No. 16-D-21 of October 6, 2016, regarding practices implemented in the restaurant voucher sector;  </w:t>
        <w:br/>
        <w:t xml:space="preserve">Having regard to the decision of May 23, 2017, by which the deputy general rapporteur joined the instruction of cases No. 15/0092 F and No. 16/0097 F;  </w:t>
        <w:br/>
        <w:t xml:space="preserve">Having regard to Article 101 of the Treaty on the Functioning of the European Union;  </w:t>
        <w:br/>
        <w:t xml:space="preserve">Having regard to Book IV of the Commercial Code and in particular its Article L. 420-1;  </w:t>
        <w:br/>
        <w:t>* Version for publication</w:t>
      </w:r>
    </w:p>
    <w:p>
      <w:r>
        <w:t xml:space="preserve">Having regard to the business secrecy decisions No. 15-DSA-364b of November 10, 2015, No. 17-DSA-033 of January 27, 2017, No. 17-DSA-035 of January 27, 2017, No. 17-DSA-036 of January 27, 2017, No. 17-DSA-037 of January 27, 2017, No. 17-DSA-038 of January 27, 2017, No. 17-DSA-039 of January 27, 2017, No. 17-DSA-040 of January 27, 2017, No. 17-DSA-041 of January 27, 2017, No. 17-DSA-042 of January 27, 2017, No. 17-DSA-043 of January 27, 2017, No. 17-DSA-141 of March 29, 2017, No. 17-DSA-143 of March 31, 2017, No. 17-DSA-171 of April 18, 2017, No. 17-DSA-184 of May 5, 2017, No. 17-DSA-186 of May 5, 2017, No. 17-DSA-189 of May 5, 2017, No. 17-DSA-190 of May 5, 2017, No. 17-DSA-192 of May 5, 2017, No. 17-DSA-194 of May 5, 2017, No. 17-DSA-195 of May 5, 2017, No. 17-DSA-225 of May 29, 2017, No. 17-DSA-275 of July 13, 2017, No. 17-DSA-277 of July 13, 2017, No. 17-DSA-279 of July 13, 2017, No. 17-DSA-280 of July 13, 2017, No. 17-DSA-281 of July 13, 2017, No. 17-DSA-301 of August 4, 2017, No. 17-DSA-302 of August 4, 2017, No. 17-DSA-307 of August 4, 2017, No. 17-DSA-308 of August 4, 2017, No. 17-DSA-316 of August 4, 2017, No. 17-DSA-317 of August 4, 2017, No. 17-DSA-322 of August 4, 2017, No. 17-DSA-335 of August 29, 2017, No. 17-DSA-336 of August 29, 2017, No. 17-DSA-337 of August 29, 2017, No. 17-DSA-354 of August 29, 2017, No. 17-DSA-365 of August 31, 2017, No. 17-DSA-405 of October 9, 2017, No. 17-DSA-406 of October 9, 2017, No. 17-DSA-428 of October 30, 2017, No. 17-DSA-435 of October 30, 2017, No. 17-DSA-438 of October 30, 2017, No. 17-DSA-441 of October 30, 2017, No. 17-DSA-442 of October 30, 2017, No. 17-DSA-444 of October 30, 2017, No. 17-DECR-545 of December 14, 2017, No. 17-DECR-546 of December 14, 2017, No. 17-DECR-547 of December 14, 2017, No. 17-DECR-548 of December 14, 2017, No. 17-DECR-549 of December 14, 2017, No. 17-DECR-550 of December 14, 2017, No. 18-DEC-011 of January 9, 2018, No. 18-DEC-012 of January 9, 2018, No. 18-DEC-013 of January 9, 2018, No. 18-DEC-014 of January 9, 2018, No. 18-DEC-016 of January 9, 2018, No. 18-DSA-010 of January 9, 2018, No. 18-DSA-021 of January 9, 2018, No. 18-DECR-032 of January 18, 2018, No. 18-DSA-268 of August 23, 2018, No. 18-DSA-269 of August 23, 2018, No. 18-DSA-270 of August 23, 2018, No. 18-DSA-271 of August 23, 2018, No. 18-DSA-273 of August 23, 2018, No. 18-DSA-275 of August 23, 2018, No. 18-DECR-453 of December 12, 2018, No. 18-DECR-454 of December 12, 2018, No. 18-DEC-459 of December 13, 2018, No. 18-DEC-460 of December 13, 2018, No. 18-DSA-471 of December 21, 2018, No. 18-DSA-474 of December 26, 2018, No. 19-DEC-056 of February 8, 2019, No. 19-DSA-116 of March 27, 2019, No. 19-DSA-201 of June 5, 2019, No. 19-DSA-202 of June 5, 2019, No. 19-DSA-204 of June 6, 2019, No. 19-DSA-207 of June 7, 2019, No. 19-DSA-213 of June 13, 2019;  </w:t>
        <w:br/>
        <w:t xml:space="preserve">Having regard to the observations presented by the companies Accor, Edenred France and Edenred SA, Natixis and Natixis Intertitres, Octoplus, Sodexo Pass France and Sodexo SA, Up, the National Union of Organized Public Restoration, the National Union of Thematic and Commercial Restoration, the association the Central Settlement of Treatment Vouchers and the Government Commissioner;  </w:t>
        <w:br/>
        <w:t xml:space="preserve">Having regard to the other documents in the file;  </w:t>
        <w:br/>
        <w:t xml:space="preserve">The rapporteur, the general rapporteur, the Government Commissioner, assisted by the deputy head of the individual and collective labor relations department and the representatives of the companies Accor, Edenred France and Edenred SA, Natixis and Natixis Intertitres, Octoplus, Sodexo Pass France and Sodexo SA, Up, the National Union of Organized Public Restoration, the National Union of Thematic and Commercial Restoration, and the association the Central Settlement of Treatment Vouchers, heard during the session of the Competition Authority on July 18, 2019;  </w:t>
        <w:br/>
        <w:t>Adopts the following decision:</w:t>
      </w:r>
    </w:p>
    <w:p>
      <w:r>
        <w:t xml:space="preserve">Summary1:  </w:t>
        <w:br/>
        <w:t xml:space="preserve">By this decision, the Competition Authority sanctions several issuers of restaurant vouchers ("TR") and their common organization, an association under the law of July 1, 1901, the Central Settlement of Vouchers ("CRT"), for participating in collusive practices in the restaurant voucher sector, in violation of Article L. 420-1 of the Commercial Code and Article 101 paragraph 1 of the Treaty on the Functioning of the European Union.  </w:t>
        <w:br/>
        <w:t xml:space="preserve">The restaurant voucher sector has the characteristics of a two-sided platform on which issuers connect, on one hand, employees (users of TR), through their employers, and on the other hand, merchants who accept these vouchers as a means of payment:  </w:t>
        <w:br/>
        <w:t xml:space="preserve">- on the issuance side, the issuer sells TR to employers that will benefit their employees; and  </w:t>
        <w:br/>
        <w:t xml:space="preserve">- on the acceptance side, the issuer sells merchants a reimbursement service for TR after receipt and processing of these vouchers.  </w:t>
        <w:br/>
        <w:t xml:space="preserve">In this context, the CRT ensures, on behalf of its member-shareholders and third-party issuers, the processing of the TR they have issued, with a view to their reimbursement to merchants.  </w:t>
        <w:br/>
        <w:t xml:space="preserve">Information exchanges between member-shareholders through the CRT  </w:t>
        <w:br/>
        <w:t xml:space="preserve">Between 2010 and 2015, the member-shareholders of the CRT, namely Edenred France, Up, Natixis Intertitres, and Sodexo Pass France, exchanged, every month, information regarding their individual market shares calculated from the number of vouchers processed the previous month by the CRT. These exchanges were routed through the CRT, which ensured the communication of the information via a single email at the beginning of each month.  </w:t>
        <w:br/>
        <w:t xml:space="preserve">Several characteristics of the market gave these practices restrictive effects on competition.  </w:t>
        <w:br/>
        <w:t xml:space="preserve">Given the two-sided nature of the market, the price transparency on the acceptance side of the market, the holding of nearly all market shares by the four member-shareholders, the existence of strong economic barriers to entry, the constant and regular frequency of exchanges, and the precision of the exchanged information, these practices had the effect of reducing uncertainty in the TR market and the commercial autonomy of the member-shareholders, allowing each of them to assess the strategic line of their competitors on the issuance side of the market.  </w:t>
        <w:br/>
        <w:t xml:space="preserve">These practices are contrary to Articles 101 of the TFEU and L. 420-1 of the Commercial Code.  </w:t>
        <w:br/>
        <w:t xml:space="preserve">It imposes, for these information exchange practices:  </w:t>
        <w:br/>
        <w:t xml:space="preserve">- on the company Edenred France, jointly with the company Edenred SA, a fine of 19,291,000 euros;  </w:t>
        <w:br/>
        <w:t xml:space="preserve">- on the company Natixis Intertitres, jointly with the company Natixis, a fine of 9,060,000 euros;  </w:t>
        <w:br/>
        <w:t xml:space="preserve">- on the company Sodexo Pass France, jointly with the company Sodexo SA, a fine of 15,339,000 euros;  </w:t>
        <w:br/>
        <w:t>1 This summary is strictly indicative. Only the reasons for the decision numbered below are authoritative.</w:t>
      </w:r>
    </w:p>
    <w:p>
      <w:r>
        <w:rPr>
          <w:b/>
        </w:rPr>
        <w:t>[Pages 4–6]</w:t>
      </w:r>
    </w:p>
    <w:p>
      <w:r>
        <w:t>- to the company Up, a fine of 10,297,000 euros; and</w:t>
        <w:br/>
        <w:t>- to the association la Centrale de Règlement des Titres Traitement, a fine of 1,000,000 euros.</w:t>
        <w:br/>
        <w:t>The market lock-in through the use of stipulations related to the operation of the CRT</w:t>
        <w:br/>
        <w:t>Between 2002 and 2018, the CRT and its member-shareholders implemented an agreement aimed at locking the restaurant voucher market through statutory, regulatory, and protocol provisions.</w:t>
        <w:br/>
        <w:t>This agreement includes two components: the control of issuers' access to the CRT (first component) and the control of the development of dematerialized vouchers, in the form of cards or mobile applications, by the member-shareholders (second component).</w:t>
        <w:br/>
        <w:t>First, the conditions related to membership in the CRT set by its statutes and internal regulations are non-objective and non-transparent.</w:t>
        <w:br/>
        <w:t>On this point, the Authority followed a previously established decision-making practice regarding non-objective, non-transparent, and discriminatory membership conditions in a collective organization. In this case, membership in the CRT is a condition for processing paper vouchers. Membership conditions that exhibit these negative characteristics, which leave discretionary leeway to the CRT and its member-shareholders to assess who can join and allow access to a paper processing used by the vast majority of merchants accepting the vouchers, constitute an obstacle to competition.</w:t>
        <w:br/>
        <w:t>Furthermore, the Authority notes that by concluding a protocol whereby the member-shareholders prohibited themselves, until its termination in 2012, from developing outside the CRT a platform for processing dematerialized restaurant vouchers, the member-shareholders limited innovation in the market.</w:t>
        <w:br/>
        <w:t>This prohibition imposed on the member-shareholders, justified in the protocol by the parallel development by the CRT of a similar platform, was not associated with any timeline or indicative budget. However, its non-compliance could lead to particularly heavy sanctions.</w:t>
        <w:br/>
        <w:t>The protocol ultimately resulted in prohibiting the issuance by the member-shareholders of dematerialized vouchers for TR users, even as the marketing of dematerialized vouchers, including by the member-shareholders, was developing in other countries of the European Union. These two practices are interconnected in that they erected barriers to entry for new players and delayed the emergence of innovative restaurant voucher solutions.</w:t>
        <w:br/>
        <w:t>The Authority imposes the following fines for these market lock-in practices:</w:t>
        <w:br/>
        <w:t>- to the company Edenred France, a fine of 72,290,000 euros;</w:t>
        <w:br/>
        <w:t>- to the company Edenred France, jointly with the company Edenred SA, a fine of 65,509,000 euros;</w:t>
        <w:br/>
        <w:t>- to the company Natixis Intertitres, a fine of 4,360,000 euros;</w:t>
        <w:br/>
        <w:t>- to the company Natixis Intertitres, jointly with the company Natixis, a fine of 69,902,000 euros;</w:t>
        <w:br/>
        <w:t>- to the company Sodexo Pass France, jointly with the company Sodexo SA, a fine of 110,983,000 euros;</w:t>
        <w:br/>
        <w:t>- to the company Up, a fine of 34,703,000 euros; and</w:t>
        <w:br/>
        <w:t>- to the association la Centrale de Règlement des Titres Traitement, a fine of 2,000,000 euros.</w:t>
        <w:br/>
        <w:t>In addition to the monetary sanctions imposed, the Authority orders Edenred France, Up, Natixis Intertitres, and Sodexo Pass France to publish a summary of the decision in the print edition and online edition of the newspaper Les Échos, the magazine 60 millions de consommateurs, and the magazine Neo-Restauration. Furthermore, these entities and the CRT are ordered to amend the statutes and internal regulations of the CRT to bring them into compliance with competition law.</w:t>
      </w:r>
    </w:p>
    <w:p>
      <w:r>
        <w:t>SUMMARY</w:t>
        <w:br/>
        <w:t>I. FINDINGS .............................................................................................................................................. 11</w:t>
        <w:br/>
        <w:t>A. The procedure .................................................................................................................. 11</w:t>
        <w:br/>
        <w:t>B. The relevant sector ........................................................................................................... 11</w:t>
        <w:br/>
        <w:t>1. The organization of the sector ....................................................................................... 11</w:t>
        <w:br/>
        <w:t>a) The products concerned ............................................................................................ 11</w:t>
        <w:br/>
        <w:t>b) The activities concerned ............................................................................................. 12</w:t>
        <w:br/>
        <w:t>General description ....................................................................................................... 12</w:t>
        <w:br/>
        <w:t>The use of various media for restaurant vouchers ......................................................... 13</w:t>
        <w:br/>
        <w:t>2. The legal framework ......................................................................................................... 17</w:t>
        <w:br/>
        <w:t>a) The timeline of regulation ........................................................................................... 17</w:t>
        <w:br/>
        <w:t>b) The regime of restaurant vouchers .............................................................................. 17</w:t>
        <w:br/>
        <w:t>The use of restaurant vouchers ..................................................................................... 17</w:t>
        <w:br/>
        <w:t>The media for restaurant vouchers ............................................................................... 18</w:t>
        <w:br/>
        <w:t>The obligations of employers ......................................................................................... 18</w:t>
        <w:br/>
        <w:t>The obligations of issuers ............................................................................................... 19</w:t>
        <w:br/>
        <w:t>c) The applicable sanctions ............................................................................................. 20</w:t>
        <w:br/>
        <w:t>3. The entities concerned ..................................................................................................... 20</w:t>
        <w:br/>
        <w:t>a) The historical issuers .................................................................................................... 21</w:t>
        <w:br/>
        <w:t>Edenred France ............................................................................................................. 21</w:t>
        <w:br/>
        <w:t>Up ...................................................................................................................................... 21</w:t>
        <w:br/>
        <w:t>Sodexo Pass France ....................................................................................................... 22</w:t>
        <w:br/>
        <w:t>Natixis Intertitres ........................................................................................................... 22</w:t>
        <w:br/>
        <w:t>b) The entities common to the historical issuers .............................................................. 23</w:t>
        <w:br/>
        <w:t>La Centrale de Règlement des Titres ............................................................................. 23</w:t>
        <w:br/>
        <w:t>Conecs ........................................................................................................................... 28</w:t>
        <w:br/>
        <w:t>c) The new issuers ............................................................................................................. 28</w:t>
        <w:br/>
        <w:t>Moneo Payment Solutions ............................................................................................ 28</w:t>
        <w:br/>
        <w:t>Caisse Fédérale du Crédit Mutuel .................................................................................. 29</w:t>
        <w:br/>
        <w:t>Digibon France ............................................................................................................... 29</w:t>
        <w:br/>
        <w:t>Octoplus .......................................................................................................................... 29</w:t>
        <w:br/>
        <w:t>d) The unions of restaurateurs and the hospitality industry ............................................. 29</w:t>
        <w:br/>
        <w:t>The SNRTC and the SNRPO ......................................................................................... 29</w:t>
        <w:br/>
        <w:t>The UMIH ....................................................................................................................... 30</w:t>
      </w:r>
    </w:p>
    <w:p>
      <w:r>
        <w:rPr>
          <w:b/>
        </w:rPr>
        <w:t>[Pages 7–9]</w:t>
      </w:r>
    </w:p>
    <w:p>
      <w:r>
        <w:t xml:space="preserve">La CNTR ............................................................................................................. 30  </w:t>
        <w:br/>
        <w:t xml:space="preserve">4. The dynamics of the sector ......................................................................................... 31  </w:t>
        <w:br/>
        <w:t xml:space="preserve">a) The domiciliation of client companies and approved merchants ............................ 31  </w:t>
        <w:br/>
        <w:t xml:space="preserve">b) The interaction of the issuance and acceptance sides of restaurant vouchers .......... 32  </w:t>
        <w:br/>
        <w:t xml:space="preserve">The existence of numerous network externalities ....................................................... 32  </w:t>
        <w:br/>
        <w:t xml:space="preserve">The symmetry of the sides in terms of market shares of issuers ............................... 33  </w:t>
        <w:br/>
        <w:t xml:space="preserve">The asymmetry of the sides in terms of competitive pressure ................................... 33  </w:t>
        <w:br/>
        <w:t xml:space="preserve">The gradual shift of commission rates from the issuance side to the acceptance side. .................................................................................................................. 34  </w:t>
        <w:br/>
        <w:t xml:space="preserve">c) The publication of acceptance commission rates .................................................... 35  </w:t>
        <w:br/>
        <w:t xml:space="preserve">d) The stability of issuers in the market ...................................................................... 38  </w:t>
        <w:br/>
        <w:t xml:space="preserve">The entry of issuers into the market .......................................................................... 38  </w:t>
        <w:br/>
        <w:t xml:space="preserve">The number of issuers ................................................................................................. 40  </w:t>
        <w:br/>
        <w:t xml:space="preserve">The market shares of issuers ...................................................................................... 43  </w:t>
        <w:br/>
        <w:t xml:space="preserve">e) The low dematerialization of restaurant vouchers .................................................... 45  </w:t>
        <w:br/>
        <w:t xml:space="preserve">f) Conclusion ............................................................................................................... 46  </w:t>
        <w:br/>
        <w:t xml:space="preserve">C. The practices denounced .......................................................................................... 47  </w:t>
        <w:br/>
        <w:t xml:space="preserve">1. Pricing practices ......................................................................................................... 49  </w:t>
        <w:br/>
        <w:t xml:space="preserve">a) The change in pricing policy towards restaurateurs and client companies ............ 49  </w:t>
        <w:br/>
        <w:t xml:space="preserve">b) The increase and exorbitant nature of acceptance commission rates ..................... 49  </w:t>
        <w:br/>
        <w:t xml:space="preserve">c) The existence of overpricing and additional pricing ............................................... 49  </w:t>
        <w:br/>
        <w:t xml:space="preserve">2. The collective launch of the "4 corners" cards ......................................................... 49  </w:t>
        <w:br/>
        <w:t xml:space="preserve">3. The anti-competitive nature of the "3 corners" cards .............................................. 50  </w:t>
        <w:br/>
        <w:t xml:space="preserve">4. The distortion of competition of a fiscal nature ....................................................... 50  </w:t>
        <w:br/>
        <w:t xml:space="preserve">5. Other practices ............................................................................................................ 50  </w:t>
        <w:br/>
        <w:t xml:space="preserve">a) Tied selling between paper vouchers and dematerialized vouchers ....................... 50  </w:t>
        <w:br/>
        <w:t xml:space="preserve">b) The disparagement of the Resto Flash solution by historical issuers ................... 51  </w:t>
        <w:br/>
        <w:t xml:space="preserve">c) The refusal of access to inter-company restaurants of the Sodexo group ............. 52  </w:t>
        <w:br/>
        <w:t xml:space="preserve">d) Forced affiliation to the CRT .................................................................................. 52  </w:t>
        <w:br/>
        <w:t xml:space="preserve">e) The lack of information "tariff 21 days" ................................................................. 53  </w:t>
        <w:br/>
        <w:t xml:space="preserve">D. The practices observed ............................................................................................ 53  </w:t>
        <w:br/>
        <w:t xml:space="preserve">1. The exchange of information between member-shareholders .................................. 53  </w:t>
        <w:br/>
        <w:t xml:space="preserve">2. The stipulations regarding the operation of the CRT ............................................... 57  </w:t>
        <w:br/>
        <w:t xml:space="preserve">a) The conditions for entry and exit from the CRT .................................................... 57  </w:t>
        <w:br/>
        <w:t xml:space="preserve">The conditions for entry ........................................................................................... 57  </w:t>
        <w:br/>
        <w:t xml:space="preserve">The conditions for exit .............................................................................................. 58  </w:t>
        <w:br/>
        <w:t xml:space="preserve">b) The conditions for providing CRT services to third parties ................................... 58  </w:t>
        <w:br/>
        <w:t xml:space="preserve">c) The exclusivity in the processing of restaurant vouchers ....................................... 59  </w:t>
        <w:br/>
        <w:t xml:space="preserve">d) The prohibition on developing a system for accepting dematerialized vouchers outside the CRT ................................................................................................. 59  </w:t>
        <w:br/>
        <w:t xml:space="preserve">General context .......................................................................................................... 59  </w:t>
        <w:br/>
        <w:t xml:space="preserve">The stipulations of the Protocol ............................................................................... 60  </w:t>
        <w:br/>
        <w:t xml:space="preserve">The implementation of the stipulations of the Protocol ........................................... 61  </w:t>
        <w:br/>
        <w:t xml:space="preserve">E. The grievances notified ............................................................................................ 63  </w:t>
        <w:br/>
        <w:t xml:space="preserve">II. DISCUSSION ........................................................................................................................................ 66  </w:t>
        <w:br/>
        <w:t xml:space="preserve">A. On the procedure ....................................................................................................... 66  </w:t>
        <w:br/>
        <w:t xml:space="preserve">1. On the statute of limitations ..................................................................................... 66  </w:t>
        <w:br/>
        <w:t xml:space="preserve">2. On the admissibility of certain documents submitted to the file ............................ 66  </w:t>
        <w:br/>
        <w:t xml:space="preserve">a) The documents communicated by the counsel of Octoplus on March 22, 2016 ... 66  </w:t>
        <w:br/>
        <w:t xml:space="preserve">b) The documents communicated by the CRT T on June 13, 2017 .......................... 68  </w:t>
        <w:br/>
        <w:t xml:space="preserve">3. On the refusal to resort to the commitments procedure ........................................... 69  </w:t>
        <w:br/>
        <w:t xml:space="preserve">4. On the respect for the principles of legitimate expectation, legal certainty, and prohibition of multiple prosecutions ............................................................................. 71  </w:t>
        <w:br/>
        <w:t xml:space="preserve">a) The respect for the principle of legitimate expectation ......................................... 71  </w:t>
        <w:br/>
        <w:t xml:space="preserve">b) The respect for the principle of legal certainty ...................................................... 73  </w:t>
        <w:br/>
        <w:t xml:space="preserve">c) The respect for the principle of prohibition of multiple prosecutions .................... 73  </w:t>
        <w:br/>
        <w:t xml:space="preserve">B. On the application of European Union law ............................................................... 74  </w:t>
        <w:br/>
        <w:t xml:space="preserve">1. The reminder of applicable principles ..................................................................... 74  </w:t>
        <w:br/>
        <w:t xml:space="preserve">2. The application to the case at hand .......................................................................... 75  </w:t>
        <w:br/>
        <w:t xml:space="preserve">a) On trade between Member States ......................................................................... 75  </w:t>
        <w:br/>
        <w:t xml:space="preserve">b) On the allocation of trade between Member States ............................................... 76  </w:t>
        <w:br/>
        <w:t xml:space="preserve">c) On the sensitive nature of the allocation ................................................................. 76  </w:t>
        <w:br/>
        <w:t xml:space="preserve">d) Conclusion ............................................................................................................. 76  </w:t>
        <w:br/>
        <w:t xml:space="preserve">C. On the relevant market .............................................................................................. 77  </w:t>
        <w:br/>
        <w:t xml:space="preserve">1. The reminder of applicable principles ..................................................................... 77  </w:t>
        <w:br/>
        <w:t xml:space="preserve">2. The application to the case at hand .......................................................................... 78  </w:t>
        <w:br/>
        <w:t xml:space="preserve">a) The delimitation of the market for concerned products or services ..................... 78  </w:t>
        <w:br/>
        <w:t xml:space="preserve">On the definition of a single market ....................................................................... 78  </w:t>
        <w:br/>
        <w:t xml:space="preserve">On the substitutability of paper vouchers and dematerialized vouchers ................... 79  </w:t>
        <w:br/>
        <w:t xml:space="preserve">Conclusion ............................................................................................................... 82  </w:t>
        <w:br/>
        <w:t xml:space="preserve">b) The delimitation of the geographical market .......................................................... 83  </w:t>
        <w:br/>
        <w:t xml:space="preserve">c) Conclusion ............................................................................................................. 83  </w:t>
        <w:br/>
        <w:t xml:space="preserve">D. On the practices denounced by the complainants .................................................... 83  </w:t>
        <w:br/>
        <w:t xml:space="preserve">1. On the distortion of a fiscal nature ............................................................................ 83  </w:t>
        <w:br/>
        <w:t xml:space="preserve">2. On the other denounced practices ............................................................................ 83  </w:t>
        <w:br/>
        <w:t xml:space="preserve">E. On the merits of the grievances ............................................................................... 84  </w:t>
        <w:br/>
        <w:t xml:space="preserve">1. On the exchange of information between member-shareholders (grievance no. 1) ... 84  </w:t>
        <w:br/>
        <w:t xml:space="preserve">a) The concerted practice .......................................................................................... 84  </w:t>
        <w:br/>
        <w:t xml:space="preserve">The reminder of applicable principles ................................................................... 84  </w:t>
        <w:br/>
        <w:t xml:space="preserve">The application to the case at hand ......................................................................... 86  </w:t>
        <w:br/>
        <w:t xml:space="preserve">b) The anti-competitive effect of the exchange of information ................................ 87  </w:t>
        <w:br/>
        <w:t xml:space="preserve">The reminder of applicable principles ................................................................... 87  </w:t>
        <w:br/>
        <w:t xml:space="preserve">The application to the case at hand ......................................................................... 89  </w:t>
        <w:br/>
        <w:t xml:space="preserve">Conclusion ............................................................................................................. 100  </w:t>
        <w:br/>
        <w:t xml:space="preserve">c) The participation of the parties involved in the practices ..................................... 100  </w:t>
        <w:br/>
        <w:t xml:space="preserve">The reminder of applicable principles ................................................................... 100  </w:t>
        <w:br/>
        <w:t xml:space="preserve">The application to the case at hand ......................................................................... 100  </w:t>
        <w:br/>
        <w:t xml:space="preserve">d) The duration and continuity of the practices .......................................................... 101  </w:t>
        <w:br/>
        <w:t xml:space="preserve">The reminder of applicable principles ................................................................... 101  </w:t>
        <w:br/>
        <w:t xml:space="preserve">The application to the case at hand ......................................................................... 101  </w:t>
        <w:br/>
        <w:t xml:space="preserve">2. On the market locking practices (grievance no. 2) ................................................ 103  </w:t>
        <w:br/>
        <w:t xml:space="preserve">a) The agreement of wills .......................................................................................... 103  </w:t>
        <w:br/>
        <w:t xml:space="preserve">The reminder of applicable principles ................................................................... 103  </w:t>
        <w:br/>
        <w:t xml:space="preserve">The application to the case at hand ......................................................................... 104  </w:t>
        <w:br/>
        <w:t xml:space="preserve">Conclusion ............................................................................................................. 105  </w:t>
        <w:br/>
        <w:t xml:space="preserve">b) The anti-competitive object of the practices ....................................................... 105  </w:t>
        <w:br/>
        <w:t xml:space="preserve">The reminder of applicable principles ................................................................... 105  </w:t>
        <w:br/>
        <w:t xml:space="preserve">The application to the case at hand ......................................................................... 107  </w:t>
        <w:br/>
        <w:t xml:space="preserve">Conclusion ............................................................................................................. 114  </w:t>
        <w:br/>
        <w:t xml:space="preserve">c) The qualification of ancillary restriction ............................................................... 115  </w:t>
        <w:br/>
        <w:t xml:space="preserve">The reminder of applicable principles ................................................................... 115  </w:t>
        <w:br/>
        <w:t xml:space="preserve">The application to the case at hand ......................................................................... 115  </w:t>
        <w:br/>
        <w:t xml:space="preserve">Conclusion ............................................................................................................. 116  </w:t>
        <w:br/>
        <w:t xml:space="preserve">d) The participation in the practices .......................................................................... 116  </w:t>
        <w:br/>
        <w:t xml:space="preserve">The reminder of applicable principles ................................................................... 116  </w:t>
        <w:br/>
        <w:t>The application to the case at hand ......................................................................... 117</w:t>
      </w:r>
    </w:p>
    <w:p>
      <w:r>
        <w:rPr>
          <w:b/>
        </w:rPr>
        <w:t>[Pages 10–12]</w:t>
      </w:r>
    </w:p>
    <w:p>
      <w:r>
        <w:t xml:space="preserve">Conclusion ......................................................................................................... 118  </w:t>
        <w:br/>
        <w:t xml:space="preserve">e) The duration of the practices ....................................................................................... 118  </w:t>
        <w:br/>
        <w:t xml:space="preserve">The reminder of the applicable principles ................................................................... 118  </w:t>
        <w:br/>
        <w:t xml:space="preserve">The application to the case at hand ............................................................................ 118  </w:t>
        <w:br/>
        <w:t xml:space="preserve">Conclusion ......................................................................................................... 119  </w:t>
        <w:br/>
        <w:t xml:space="preserve">F. On the attribution of the practices ............................................................................. 120  </w:t>
        <w:br/>
        <w:t xml:space="preserve">1. The reminder of the applicable principles ....................................................................... 120  </w:t>
        <w:br/>
        <w:t xml:space="preserve">a) Attribution within a group of companies ................................................................. 120  </w:t>
        <w:br/>
        <w:t xml:space="preserve">b) Attribution in the event of transformation of companies ................................... 120  </w:t>
        <w:br/>
        <w:t xml:space="preserve">c) Attribution of practices to a collective body ...................................................... 121  </w:t>
        <w:br/>
        <w:t xml:space="preserve">2. The application to the case at hand ................................................................................ 121  </w:t>
        <w:br/>
        <w:t xml:space="preserve">a) Edenred France and Edenred SA ......................................................................... 121  </w:t>
        <w:br/>
        <w:t xml:space="preserve">b) Up ...................................................................................................................... 122  </w:t>
        <w:br/>
        <w:t xml:space="preserve">c) Sodexo Pass France and Sodexo SA .................................................................... 122  </w:t>
        <w:br/>
        <w:t xml:space="preserve">d) Natixis Intertitres and Natixis .............................................................................. 123  </w:t>
        <w:br/>
        <w:t xml:space="preserve">e) The CRT .............................................................................................................. 123  </w:t>
        <w:br/>
        <w:t xml:space="preserve">G. On the sanctions .................................................................................................... 124  </w:t>
        <w:br/>
        <w:t xml:space="preserve">1. Financial sanctions .............................................................................................. 124  </w:t>
        <w:br/>
        <w:t xml:space="preserve">a) Sanctions imposed on historical issuers .............................................................. 124  </w:t>
        <w:br/>
        <w:t xml:space="preserve">Complaint No. 1 ....................................................................................................... 124  </w:t>
        <w:br/>
        <w:t xml:space="preserve">Complaint No. 2 ....................................................................................................... 138  </w:t>
        <w:br/>
        <w:t xml:space="preserve">The contributory capacity of Up ........................................................................... 148  </w:t>
        <w:br/>
        <w:t xml:space="preserve">b) Sanctions imposed on the CRT .............................................................................. 149  </w:t>
        <w:br/>
        <w:t xml:space="preserve">Complaint No. 1 ....................................................................................................... 149  </w:t>
        <w:br/>
        <w:t xml:space="preserve">Complaint No. 2 ....................................................................................................... 150  </w:t>
        <w:br/>
        <w:t xml:space="preserve">2. Other sanctions ....................................................................................................... 151  </w:t>
        <w:br/>
        <w:t xml:space="preserve">a) The obligation to publish ....................................................................................... 151  </w:t>
        <w:br/>
        <w:t xml:space="preserve">b) The injunction to amend the Articles of Association and the CRT Internal Regulations ............................................................ 153  </w:t>
        <w:br/>
        <w:t xml:space="preserve">DECISION ............................................................................................ 154  </w:t>
        <w:br/>
        <w:t>10</w:t>
      </w:r>
    </w:p>
    <w:p>
      <w:r>
        <w:t xml:space="preserve">I. Findings  </w:t>
        <w:br/>
        <w:t xml:space="preserve">A. THE PROCEDURE  </w:t>
        <w:br/>
        <w:t xml:space="preserve">1. By letter dated October 9, 2015, registered under numbers 15/0093 M and 15/0092 F, the company Octoplus referred to the Competition Authority (hereinafter "the Authority") practices implemented in the sector of the issuance and acceptance of restaurant vouchers. This referral was accompanied by a request for interim measures.  </w:t>
        <w:br/>
        <w:t xml:space="preserve">2. By decision of the Authority No. 16-D-21 dated October 6, 2016, the request for interim measures was rejected, and the continuation of the substantive investigation, as well as the inclusion in the file of the documents transmitted on March 22, 2016, by the company Octoplus, was ordered.  </w:t>
        <w:br/>
        <w:t xml:space="preserve">3. By letter dated May 21, 2015, and a supplementary letter dated November 18, 2016, registered under number 16/0097 F, the National Union of Thematic Restoration (hereinafter "SNRTC"), the National Union of Organized Public Restoration (hereinafter "SNRPO"), and the Confederation of Independent Hospitality Professionals (hereinafter "CPIH", an organization dissolved on April 1, 2016, and absorbed on the same day by the Union of Trades and Industries of Hospitality2, hereinafter "UMIH") referred to the Authority practices implemented in the sector of the issuance and acceptance of restaurant vouchers.  </w:t>
        <w:br/>
        <w:t xml:space="preserve">4. By letter dated December 16, 2016, the referrers SNRTC and SNRPO informed the investigation services that they had been informed by their counsel of the transmission to the Authority of the supplementary letter dated November 18, 2016, as well as the related annexes, subsequent to said transmission, and without prior consultation, and that consequently, they "cannot be considered as the authors [of the supplementary referral and its annexes]"3.  </w:t>
        <w:br/>
        <w:t xml:space="preserve">5. By decision dated May 23, 2017, the Deputy General Rapporteur of the Authority decided to join referral number 16/0097 F to the referral registered under number 15/0092 F in application of Article R. 463-3 of the Commercial Code.  </w:t>
        <w:br/>
        <w:t xml:space="preserve">6. On March 2, 2018, the General Rapporteur of the Authority sent a notification of grievances regarding several prohibited practices under Article 101 of the Treaty on the Functioning of the European Union (hereinafter, "TFEU") and Article L. 420-1 of the Commercial Code to the companies Accor, Edenred France and Edenred SA, Natixis and Natixis Intertitres, Octoplus, Sodexo Pass France and Sodexo SA, Up, and the CRT Treatment.  </w:t>
        <w:br/>
        <w:t xml:space="preserve">B. THE RELEVANT SECTOR  </w:t>
        <w:br/>
        <w:t xml:space="preserve">1. THE ORGANIZATION OF THE SECTOR  </w:t>
        <w:br/>
        <w:t xml:space="preserve">a) The products concerned  </w:t>
        <w:br/>
        <w:t xml:space="preserve">7. The products concerned by this case are all restaurant vouchers (hereinafter "TR" or "restaurant vouchers") issued and reimbursed in France.  </w:t>
        <w:br/>
        <w:t xml:space="preserve">2 15/0092 F – reference 1 046.  </w:t>
        <w:br/>
        <w:t xml:space="preserve">3 16/0097 F – reference 122.  </w:t>
        <w:br/>
        <w:t>11</w:t>
      </w:r>
    </w:p>
    <w:p>
      <w:r>
        <w:t xml:space="preserve">8. The TR is a special payment title allowing employees of companies that acquire it to pay for either a meal or approved products at a company approved by the National Commission for Restaurant Vouchers (hereinafter "CNTR").  </w:t>
        <w:br/>
        <w:t xml:space="preserve">9. The total face value of TR issued in France on all media amounted in 2016 to nearly 6.3 billion euros4, an increase of 27.5% since 2010, or nearly 21% in real terms (i.e., once accounting for inflation, calculated based on the consumer price index5).  </w:t>
        <w:br/>
        <w:t xml:space="preserve">10. These vouchers are used by approximately 4 million beneficiary employees, working for 140,000 companies, at about 180,000 approved merchants (restaurateurs and local merchants)6.  </w:t>
        <w:br/>
        <w:t xml:space="preserve">11. Restaurant vouchers often represent a significant portion of the revenue of approved merchants. In this regard, the representative of CPIH indicated during a hearing that "for some restaurateurs who operate largely at noon with the [TR], they cannot afford to refuse them. It would completely disrupt their revenue"7. This statement was confirmed by representatives of SNRTC, who stated during the investigation: "there are certain restaurateurs who cannot do otherwise than accept TR. There are restaurants that can make up to 80% of their revenue at noon through restaurant vouchers"8.  </w:t>
        <w:br/>
        <w:t xml:space="preserve">b) The activities concerned  </w:t>
        <w:br/>
        <w:t xml:space="preserve">General description  </w:t>
        <w:br/>
        <w:t xml:space="preserve">12. In practice, specialized companies (hereinafter "the issuers") issue and sell restaurant vouchers to employers (companies or administrations, hereinafter "the employers" or "client companies") in exchange for a payment by them of an amount including the face value of the restaurant voucher and, if applicable, a remuneration (hereinafter "the issuance commission").  </w:t>
        <w:br/>
        <w:t xml:space="preserve">13. The client companies then provide these vouchers to their employees at a price lower than their face value. The restaurant voucher is advantageous for them, particularly due to the partial financing and non-contribution to social security of the restaurant voucher by the employer and the absence of income tax on the corresponding amount for the employee (see paragraph 61).  </w:t>
        <w:br/>
        <w:t xml:space="preserve">14. The approved merchants then receive the vouchers in payment for their meals or for the sale of products. They then present the vouchers to the issuers, to which they have previously affiliated (hereinafter "affiliated merchants" or "affiliates"), who reimburse them for their value. A participation in the form of a commission is also requested by the issuer (hereinafter "the acceptance commission").  </w:t>
        <w:br/>
        <w:t xml:space="preserve">4 15/0092 F – references 5 680 to 5 682, 5 779 to 5 780, 5 746 to 5 747, 5 713 to 5 714, 5 694, 5 632 and 5 721.  </w:t>
        <w:br/>
        <w:t xml:space="preserve">5 Index base 100 in 2015, all products and services, all households, source: INSEE, series No. 001 764 363.  </w:t>
        <w:br/>
        <w:t xml:space="preserve">6 http://www.cntr.fr/50ans/.  </w:t>
        <w:br/>
        <w:t xml:space="preserve">7 15/0093 M – reference 1 911.  </w:t>
        <w:br/>
        <w:t xml:space="preserve">8 15/0093 M – reference 2 282.  </w:t>
        <w:br/>
        <w:t>12</w:t>
      </w:r>
    </w:p>
    <w:p>
      <w:r>
        <w:rPr>
          <w:b/>
        </w:rPr>
        <w:t>[Pages 13–15]</w:t>
      </w:r>
    </w:p>
    <w:p>
      <w:r>
        <w:t xml:space="preserve">15. The activities of the sector therefore concern, on one hand, the issuance of restaurant vouchers and their marketing to client companies, and on the other hand, the operations of affiliation of approved merchants and the reimbursement operations of the vouchers.  </w:t>
        <w:br/>
        <w:t xml:space="preserve">16. This industry thus presents characteristics of a two-sided market.  </w:t>
        <w:br/>
        <w:t xml:space="preserve">17. A two-sided market connects two groups of agents who have potential gains from interacting. A platform, or intermediary, makes possible, or facilitates, transactions between them by reducing their costs.  </w:t>
        <w:br/>
        <w:t xml:space="preserve">18. The two-sided nature of the issuers' activity is illustrated in the diagram below:  </w:t>
        <w:br/>
        <w:t xml:space="preserve">Figure 1 – Diagram of the two-sided nature (issuance-acceptance) of the issuers' activity  </w:t>
        <w:br/>
        <w:t xml:space="preserve">Source: Competition Authority.  </w:t>
        <w:br/>
        <w:t xml:space="preserve">19. The issuers act as a two-sided platform connecting users of TR, through employers, and affiliated merchants:  </w:t>
        <w:br/>
        <w:t xml:space="preserve">- on the issuance side, the issuer sells the restaurant vouchers to employers for the benefit of their employees;  </w:t>
        <w:br/>
        <w:t xml:space="preserve">- on the acceptance side, the issuer sells to affiliates a reimbursement service for the TR. The affiliate then benefits from a business influx (i.e., potential turnover brought by the employees of the issuer's client companies). Indeed, the TR are intended to be spent.  </w:t>
        <w:br/>
        <w:t xml:space="preserve">20. Since every issued voucher must ultimately be reimbursed, the two sides are, subject to lost and expired vouchers, perfectly symmetrical for a given issuer. However, there is a delay between the order of the vouchers and their reimbursement.  </w:t>
        <w:br/>
        <w:t xml:space="preserve">The use of various media for restaurant vouchers  </w:t>
        <w:br/>
        <w:t xml:space="preserve">21. The industry distinguishes between paper TR (hereinafter "paper vouchers") and those referred to as "dematerialized" (hereinafter "dematerialized vouchers").  </w:t>
        <w:br/>
        <w:t xml:space="preserve">22. Dematerialized vouchers may include the use of a physical medium (card linked or not to a banking network) or not (mobile application).  </w:t>
        <w:br/>
        <w:t xml:space="preserve">The paper system  </w:t>
        <w:br/>
        <w:t xml:space="preserve">23. The use of paper vouchers involves three parties:  </w:t>
        <w:br/>
        <w:t xml:space="preserve">- the holder of the paper voucher (the employee);  </w:t>
        <w:br/>
        <w:t xml:space="preserve">- the issuer of the voucher; and  </w:t>
        <w:br/>
        <w:t xml:space="preserve">- the approved merchant.  </w:t>
        <w:br/>
        <w:t xml:space="preserve">24. Four issuers – Edenred France, Up, Natixis Intertitres, and Sodexo Pass France (see paragraphs 71 and following) – currently issue all paper vouchers on the French market.  </w:t>
        <w:br/>
        <w:t xml:space="preserve">25. Activities related to acceptance include, in addition to the aforementioned operations of affiliation of approved merchants and reimbursement of TR, the physical processing operations of the paper (i.e., collection, verification, preparation of reimbursement operations, storage, destruction, etc.).  </w:t>
        <w:br/>
        <w:t xml:space="preserve">The dematerialized system  </w:t>
        <w:br/>
        <w:t xml:space="preserve">26. All actors in the French market currently issue dematerialized vouchers.  </w:t>
        <w:br/>
        <w:t xml:space="preserve">27. These cover three main categories of medium:  </w:t>
        <w:br/>
        <w:t xml:space="preserve">- cards linked to the banking network, referred to as "4 corners" cards (because they involve four parties: the cardholder, the bank where the TR account of the card issuer is domiciled, the affiliated merchant, and its bank);  </w:t>
        <w:br/>
        <w:t xml:space="preserve">- cards linked to a private network for capturing TR transactions (see below paragraphs 32 to 36), referred to as "3 corners" cards (the cardholder, the issuer, and the affiliated merchant); and  </w:t>
        <w:br/>
        <w:t xml:space="preserve">- mobile payment solutions, such as that offered by Octoplus, called Resto Flash, or those considered, tested, or launched by Edenred France, Up, Natixis Intertitres, and finally Sodexo Pass France. The Resto Flash solution allows, for example, payment via a mobile application on the employee's phone and connects, just like the "3 corners" cards, the employee, the issuer, and the affiliated merchant.  </w:t>
        <w:br/>
        <w:t xml:space="preserve">28. Depending on the medium, the technical implementation of the acceptance of restaurant vouchers differs. Thus, while "4 corners" cards are recognized and accepted by electronic payment terminals (hereinafter "TPE") present at almost all merchants and restaurateurs, certain developments are necessary for "3 corners" cards or the Resto Flash solution to be accepted by cash register systems.  </w:t>
        <w:br/>
        <w:t xml:space="preserve">29. The diagram below presents the different parties involved according to the medium of dematerialized vouchers used:  </w:t>
        <w:br/>
        <w:t xml:space="preserve">Figure 2 – The parties involved based on the media of dematerialized vouchers used  </w:t>
        <w:br/>
        <w:t xml:space="preserve">Source: Competition Authority  </w:t>
        <w:br/>
        <w:t xml:space="preserve">♦ Cards linked to the banking network, referred to as "4 corners" cards  </w:t>
        <w:br/>
        <w:t xml:space="preserve">30. Except for Octoplus, all issuers of restaurant vouchers currently offer cards linked to a banking card network, Visa for two of them (i.e., Natixis Intertitres and Sodexo Pass France) or Mastercard for the other issuers.  </w:t>
        <w:br/>
        <w:t xml:space="preserve">31. "4 corners" cards present a major advantage: they can be accepted by all approved merchants with an electronic payment terminal (hereinafter "TPE"). This system is attractive both for the merchant, as no additional equipment or configuration of the TPE is necessary, and for the beneficiary holding the restaurant voucher card, who thus has access to a wide potential network of approved merchants, provided that they accept said cards. On the other hand, it involves bearing the costs of the interbank system.  </w:t>
        <w:br/>
        <w:t xml:space="preserve">♦ "3 corners" cards  </w:t>
        <w:br/>
        <w:t xml:space="preserve">32. In order to enable enhanced control of transactions carried out, particularly of the products acquired by TR beneficiaries, and to free themselves from the banking network, the issuers Edenred France, Sodexo Pass France, Up, and Natixis Intertitres created, in February 2012, a joint company named Conecs (see paragraphs 126 to 130).  </w:t>
        <w:br/>
        <w:t>33. The president of this company indicated during his hearing that "the objective of CONECS is that a restaurant voucher card issued by one of its clients can be read by the terminal of the merchant with whom the CONECS client has contracted. At the time of payment at the merchant's terminal, the transaction is sent to CONECS, which acts as a hub. Then, there is a rerouting to a given issuer. The issuer is the only one capable of answering the question posed by the terminal: is the transaction OK or KO? The issuer's response comes back and CONECS reroutes it to the merchant's terminal (...)".</w:t>
      </w:r>
    </w:p>
    <w:p>
      <w:r>
        <w:rPr>
          <w:b/>
        </w:rPr>
        <w:t>[Pages 16–18]</w:t>
      </w:r>
    </w:p>
    <w:p>
      <w:r>
        <w:t>34. Conecs is a technical infrastructure for transaction capture that replaces the role played by the "acquirer" bank for "4 corners" cards15. Instead of having 4 systems installed in the payment terminal (TPE), Conecs installs a common system for the 4 issuers.</w:t>
      </w:r>
    </w:p>
    <w:p>
      <w:r>
        <w:t>35. In order to accept "3 corners" cards compatible with the Conecs solution, two operations must be performed on the TPE of the concerned approved merchant. According to the terms of the President of Conecs, "first, a second instance must be created in the terminal, a CONECS instance different from the CB [bank card]; secondly, parameters must be sent to the terminal16."</w:t>
      </w:r>
    </w:p>
    <w:p>
      <w:r>
        <w:t>36. Once the above operations are completed, the solution developed by Conecs offers the advantage for issuers of no longer having to go through the interbank network, which allows for a reduction in costs borne by approved merchants.</w:t>
      </w:r>
    </w:p>
    <w:p>
      <w:r>
        <w:t>♦ The payment solution proposed by Octoplus</w:t>
      </w:r>
    </w:p>
    <w:p>
      <w:r>
        <w:t>37. Octoplus has developed a mobile payment solution called Resto Flash, which is a "3 corners" solution connecting the beneficiary employee, the approved merchant, and Octoplus.</w:t>
      </w:r>
    </w:p>
    <w:p>
      <w:r>
        <w:t>38. After downloading the Resto Flash application on their mobile, employees of client companies working with Resto Flash can pay for their meals in one of the following three ways:</w:t>
        <w:br/>
        <w:t>- Method No. 1: checkout without scanning: in the Resto Flash application, the employee selects the amount and the merchant, then, once the selection is made, the merchant receives the transaction on their register and validates it. For small restaurateurs, payment can even be made on their mobile;</w:t>
        <w:br/>
        <w:t>- Method No. 2: checkout with scanning: the employee enters the transaction amount in their application, which generates a QR code (for "quick response," it is a matrix code made up of black modules arranged in a square on a white background, whose arrangement allows for the transmission of information), which the merchant scans with the QR code reader, also known as a "scanner";</w:t>
        <w:br/>
        <w:t>- Method No. 3: checkout without connection: in this case, Resto Flash provides the merchant with a terminal, which is actually a refurbished "smartphone." The employee then enters the transaction amount in their application, generating a QR code, which is scanned by the merchant using the terminal.</w:t>
      </w:r>
    </w:p>
    <w:p>
      <w:r>
        <w:t>39. The Resto Flash solution, which differs from the physical support solutions of other issuers, on the one hand, requires that the beneficiary employee has a "smartphone," and on the other hand, necessitates an adaptation of the acceptors to this new payment method.</w:t>
      </w:r>
    </w:p>
    <w:p>
      <w:r>
        <w:t>♦ Conclusion</w:t>
      </w:r>
    </w:p>
    <w:p>
      <w:r>
        <w:t>40. Beyond the variety of supports used for restaurant vouchers, whether paper or dematerialized, it is the function of the restaurant voucher that allows it to be distinguished from a traditional means of payment or other special payment titles.</w:t>
      </w:r>
    </w:p>
    <w:p>
      <w:r>
        <w:t>41. The particularly strict legal framework to which restaurant vouchers are subject is also linked to this specific use. Indeed, as will be demonstrated below, restaurant vouchers are subject to a particularly favorable regime for client companies and their employees, given the existence of an exemption from tax and social charges. Consequently, to prevent fraud, a strict legal framework has been established aimed at ensuring that restaurant vouchers cannot be used for purposes other than financing employees' meals during their working day.</w:t>
      </w:r>
    </w:p>
    <w:p>
      <w:r>
        <w:t>2. THE LEGAL FRAMEWORK</w:t>
      </w:r>
    </w:p>
    <w:p>
      <w:r>
        <w:t>42. After presenting the evolution of the regulation applicable to restaurant vouchers since their creation (a), this section will then describe the current regime of restaurant vouchers (b), and the sanctions associated with violations of the applicable rules (c).</w:t>
      </w:r>
    </w:p>
    <w:p>
      <w:r>
        <w:t>a) The chronology of the regulation</w:t>
      </w:r>
    </w:p>
    <w:p>
      <w:r>
        <w:t>43. Restaurant vouchers were created by Ordinance No. 67-830 of September 27, 1967, relating to the organization of working conditions concerning collective agreements, the work of young people, and restaurant vouchers. The provisions of the ordinance were subsequently supplemented by various texts, including the decree relating to the application of Decree No. 67-1165 of December 22, 1967, concerning restaurant vouchers.</w:t>
      </w:r>
    </w:p>
    <w:p>
      <w:r>
        <w:t>44. The provisions of this decree were repealed and codified within the Labor Code by Decree No. 2008-244 of March 7, 200817. While they could only be used with restaurateurs, they can now be used, pursuant to two decrees of March 3 and November 30, 2010, for the payment of purchases of fruits and vegetables from retailers18, and for the payment of purchases of frozen products in specialized stores19.</w:t>
      </w:r>
    </w:p>
    <w:p>
      <w:r>
        <w:t>45. Finally, Decree No. 2014-294 of March 6, 2014, which came into force on April 2, 2014, relating to the conditions of issuance and validity and the use of restaurant vouchers, adapted "the regulatory part of the Labor Code to the possibility of issuing and using restaurant vouchers in dematerialized form"20.</w:t>
      </w:r>
    </w:p>
    <w:p>
      <w:r>
        <w:t>b) The regime of restaurant vouchers</w:t>
      </w:r>
    </w:p>
    <w:p>
      <w:r>
        <w:t>The use of restaurant vouchers</w:t>
      </w:r>
    </w:p>
    <w:p>
      <w:r>
        <w:t>46. Restaurant vouchers aim to allow employees to pay for a meal or purchase food preparations enabling them to have lunch during their working day; the tax and social exemptions associated with them (see paragraph 61) are subject to compliance not only with certain thresholds, which will be specified below, but also with strictly regulated usage conditions.</w:t>
      </w:r>
    </w:p>
    <w:p>
      <w:r>
        <w:t>47. Firstly, according to the provisions of Article R. 3262-4 of the Labor Code, restaurant vouchers can only be used in "restaurants and with organizations or companies of a similar nature as well as with retailers of fruits and vegetables," and in any case for certain well-defined food services21.</w:t>
      </w:r>
    </w:p>
    <w:p>
      <w:r>
        <w:t>48. Secondly, restaurant vouchers are not, except in exceptional cases, usable on Sundays and public holidays22, and can only be used in the department where the beneficiary works, or in neighboring departments23.</w:t>
      </w:r>
    </w:p>
    <w:p>
      <w:r>
        <w:t>49. Thirdly, the use of restaurant vouchers is limited to a maximum of nineteen euros per day24, "in order to pay in whole or in part for the price of a meal"25 (emphasis added).</w:t>
      </w:r>
    </w:p>
    <w:p>
      <w:r>
        <w:t>50. Finally, fourthly, the restaurant voucher can only be used "by the employee to whom the employer has given it"26.</w:t>
      </w:r>
    </w:p>
    <w:p>
      <w:r>
        <w:t>The support of restaurant vouchers</w:t>
      </w:r>
    </w:p>
    <w:p>
      <w:r>
        <w:t>51. Until 2008, the applicable regulation only indirectly addressed the issue of the support of restaurant vouchers.</w:t>
      </w:r>
    </w:p>
    <w:p>
      <w:r>
        <w:t>52. Indeed, the current legislation resulting from Decree No. 67-1165 of December 22, 1967, specified that the mandatory mentions to be affixed on them had to be made "in ink." Initially, restaurant vouchers were therefore only available on paper support. In 2008,27 the public authorities removed this provision.</w:t>
      </w:r>
    </w:p>
    <w:p>
      <w:r>
        <w:t>53. The aforementioned decree of March 6, 2014, officially recognized the possibility of issuing restaurant vouchers on a dematerialized support. Its Article 1, codified in Article R. 3262-1 of the Labor Code, indeed provides that "restaurant vouchers can be issued on paper support or in dematerialized form" (emphasis added).</w:t>
      </w:r>
    </w:p>
    <w:p>
      <w:r>
        <w:t>The obligations of employers</w:t>
      </w:r>
    </w:p>
    <w:p>
      <w:r>
        <w:t>54. The Labor Code specifies the obligations of employers towards their employees regarding meal breaks during their working day.</w:t>
      </w:r>
    </w:p>
    <w:p>
      <w:r>
        <w:t>55. Thus, under Article R. 4228-19 of the Labor Code, "it is prohibited to allow workers to take their meals in the premises allocated to work."</w:t>
      </w:r>
    </w:p>
    <w:p>
      <w:r>
        <w:t>56. Furthermore, the employer is required to provide, depending on whether the number of employees wishing to take their meals at their workplace is at least twenty-five or less than twenty-five, "a dining room" (Article R. 4228-22 of the aforementioned code) or "a location allowing them to eat in good health and safety conditions" (Article R. 4228-23 of the aforementioned code).</w:t>
      </w:r>
    </w:p>
    <w:p>
      <w:r>
        <w:rPr>
          <w:b/>
        </w:rPr>
        <w:t>[Pages 19–21]</w:t>
      </w:r>
    </w:p>
    <w:p>
      <w:r>
        <w:t>57. The employer may nevertheless be released from this obligation by resorting to other arrangements, such as in particular company restaurants or TRs.</w:t>
      </w:r>
    </w:p>
    <w:p>
      <w:r>
        <w:t>58. The restaurant voucher is "a special payment voucher issued by employers to their salaried personnel to allow them to pay in whole or in part for a meal consumed at a restaurant or purchased from a person or organization mentioned in the second paragraph of Article L. 3262-3 [of the Labor Code]"28, that is to say "persons or (...) organizations exercising the profession of restaurateur, hotelier-restaurateur or a related activity, or the profession of retailer in fruits and vegetables"29.</w:t>
      </w:r>
    </w:p>
    <w:p>
      <w:r>
        <w:t>59. Restaurant vouchers may be issued "either by the employer (...), or by a specialized company that sells them to the employer against payment of their redeemable value and, where applicable, a commission"30. In practice, as specified in paragraph 12, client companies do not issue restaurant vouchers themselves, but purchase them from an issuer and then distribute them to their employees.</w:t>
      </w:r>
    </w:p>
    <w:p>
      <w:r>
        <w:t>60. The client company and the employee jointly contribute, under conditions set by regulation, to the financing of the TR. Thus, the client company covers part of the financing of the TR, which "cannot exceed 60% nor be less than 50% of the redeemable value of the vouchers31", this coverage being capped in absolute value (5.52 euros maximum as of July 5, 201932).</w:t>
      </w:r>
    </w:p>
    <w:p>
      <w:r>
        <w:t>61. In addition to the fact that the restaurant voucher is "exempt from stamp duty"33, the employer's contribution benefits from a double exemption (within the limit of the aforementioned cap). First, the employer's contributory share is exempt from employer social security contributions. Secondly, the additional remuneration generated by the employer's contribution to the TR is not subject to income tax34.</w:t>
      </w:r>
    </w:p>
    <w:p>
      <w:r>
        <w:t>The obligations of issuers</w:t>
      </w:r>
    </w:p>
    <w:p>
      <w:r>
        <w:t>62. The activity of restaurant voucher issuers is subject to compliance with certain legal obligations.</w:t>
      </w:r>
    </w:p>
    <w:p>
      <w:r>
        <w:t>63. Firstly, issuers are subject to certain obligations regarding the opening of a bank account specifically dedicated to TR35, the transactions carried out on this account36, and the control of their activity37.</w:t>
      </w:r>
    </w:p>
    <w:p>
      <w:r>
        <w:t>64. Secondly, certain mentions must mandatorily appear on the issued TRs.</w:t>
      </w:r>
    </w:p>
    <w:p>
      <w:r>
        <w:t>65. Since Decree No. 2014-294 of March 6, 2014, a distinction must be made in this regard between the rules applicable to paper vouchers and dematerialized vouchers38.</w:t>
      </w:r>
    </w:p>
    <w:p>
      <w:r>
        <w:t>66. Indeed, Article R. 3262-1-1 of the Labor Code provides that TRs issued on a paper medium must include the following mentions: "1° The name and address of the issuer; 2° The name and address of the banking establishment to which the vouchers are presented for reimbursement by restaurateurs or retailers in fruits and vegetables; 3° The amount of the redeemable value of the voucher; 4° The calendar year of issuance; 5° The number in a continuous series of numbers characterizing the issuance; 6° The name and address of the restaurateur or retailer in fruits and vegetables where the meal was consumed or purchased."</w:t>
      </w:r>
    </w:p>
    <w:p>
      <w:r>
        <w:t>67. While the mentions provided for in 1° to 5° must be affixed by the issuer on the front of the issued voucher, the mention provided for in 6° must be affixed by the restaurateur (or retailer in fruits and vegetables) at the time of acceptance of the issued voucher.</w:t>
      </w:r>
    </w:p>
    <w:p>
      <w:r>
        <w:t>68. Conversely, in the case of dematerialized vouchers, only the mentions provided for in 1° and 2° must appear on the physical medium of the dematerialized payment39. The issuer also ensures that each employee has access via other channels ("by text message, by telephone, or directly on the terminal equipment used") to other information such as the expiration date of the vouchers and the amount of their redeemable value40.</w:t>
      </w:r>
    </w:p>
    <w:p>
      <w:r>
        <w:t>69. Thirdly, issuers must reimburse their affiliates "no later than twenty-one days from the receipt of the voucher for payment41", and return the funds from the sale of lost or expired restaurant vouchers to the concerned companies or their works council42.</w:t>
      </w:r>
    </w:p>
    <w:p>
      <w:r>
        <w:t>c) Applicable sanctions</w:t>
      </w:r>
    </w:p>
    <w:p>
      <w:r>
        <w:t>70. The violation of certain legal and regulatory provisions of the Labor Code relating to restaurant vouchers, including the provisions relating to the mandatory mentions to be affixed on restaurant vouchers (see paragraphs 66 and following), is punishable by a fourth-class contravention43.</w:t>
      </w:r>
    </w:p>
    <w:p>
      <w:r>
        <w:t>3. THE ENTITIES CONCERNED</w:t>
      </w:r>
    </w:p>
    <w:p>
      <w:r>
        <w:t>71. The entities concerned by this procedure are the issuers historically present in the sector (hereinafter "the historical issuers") (a), their common entities (b), the issuers that appeared in France from 2012 (hereinafter "the new issuers") (c), the unions of restaurateurs and the hospitality industry (d), and the CNTR (e).</w:t>
      </w:r>
    </w:p>
    <w:p>
      <w:r>
        <w:t>a) The historical issuers</w:t>
      </w:r>
    </w:p>
    <w:p>
      <w:r>
        <w:t>Edenred France</w:t>
      </w:r>
    </w:p>
    <w:p>
      <w:r>
        <w:t>72. A simplified joint-stock company registered since January 1, 2005, with the RCS of Nanterre, number 393 365 135, Edenred France, a 100% subsidiary of Edenred, originated from the split within the Accor group, in 2010, of the hotel activities on one side, and the prepaid services activities on the other.</w:t>
      </w:r>
    </w:p>
    <w:p>
      <w:r>
        <w:t>73. Edenred France provides service vouchers to companies (TR, gift vouchers, CESU vouchers, etc.)44. Holder of the "Ticket Restaurant" brand, it is the largest issuer of restaurant vouchers in terms of face value issued in France.</w:t>
      </w:r>
    </w:p>
    <w:p>
      <w:r>
        <w:t>74. In 2016, Edenred France issued a total face value of restaurant vouchers of nearly 2.2 billion euros, benefiting approximately [1.4-1.5] million employees.</w:t>
      </w:r>
    </w:p>
    <w:p>
      <w:r>
        <w:t>75. In 2016, dematerialized restaurant vouchers represented (in terms of total face value issued) 11.4% of the restaurant vouchers issued by Edenred France. The weight of dematerialized restaurant vouchers is equal to the ratio between (a) the total annual face value issued on a dematerialized medium by Edenred France and (b) the total annual face value issued on all media by Edenred France45.</w:t>
      </w:r>
    </w:p>
    <w:p>
      <w:r>
        <w:t>76. In the same year, Edenred, the holding company of the Edenred group registered since January 15, 2010, with the RCS of Nanterre, number 493 322 978, issued globally 19.8 billion euros of vouchers (all types of vouchers combined), and achieved a global operational revenue of nearly 1.1 billion euros46.</w:t>
      </w:r>
    </w:p>
    <w:p>
      <w:r>
        <w:t>77. The Edenred group is present in France and abroad (Europe and outside Europe). Depending on the country, it offers TRs, food vouchers, or hybrid vouchers. For example, in 2015, the group marketed dematerialized vouchers in the following EU member states: Sweden, Spain, Italy, and Finland47.</w:t>
      </w:r>
    </w:p>
    <w:p>
      <w:r>
        <w:t>Up</w:t>
      </w:r>
    </w:p>
    <w:p>
      <w:r>
        <w:t>78. A cooperative and participative anonymous company with variable capital, registered on September 13, 1993, with the RCS of Nanterre, number 642 044 366, Up has been marketing the restaurant voucher of the "Chèque Déjeuner" brand for several decades, as well as various service vouchers.</w:t>
      </w:r>
    </w:p>
    <w:p>
      <w:r>
        <w:t>79. Previously named "Le Chèque Déjeuner" before December 1, 2016, Up is the head of the Up group, whose capital is exclusively held by individuals, particularly the employees of the group48.</w:t>
      </w:r>
    </w:p>
    <w:p>
      <w:r>
        <w:rPr>
          <w:b/>
        </w:rPr>
        <w:t>[Pages 22–24]</w:t>
      </w:r>
    </w:p>
    <w:p>
      <w:r>
        <w:t xml:space="preserve">80. Up issued nearly 1.9 billion euros in restaurant vouchers in 2016, benefiting approximately [1.1-1.2] million employees49.  </w:t>
        <w:br/>
        <w:t xml:space="preserve">81. In 2016, according to the methodology explained in paragraph 75, the dematerialized restaurant vouchers represented, in terms of face value issued, approximately 1.1% of the restaurant vouchers issued by Up50.  </w:t>
        <w:br/>
        <w:t xml:space="preserve">82. In 2016, the Up group issued a total value of 7.1 billion euros worldwide across all securities and achieved a turnover of 445 million euros51.  </w:t>
        <w:br/>
        <w:t xml:space="preserve">83. The Up group is present abroad (in Europe and outside Europe). In 2015, it issued dematerialized vouchers in the following countries: Brazil, Mexico, Turkey, Italy, Spain, Portugal, Belgium, Romania, and Slovakia52.  </w:t>
        <w:br/>
        <w:t xml:space="preserve">Sodexo Pass France  </w:t>
        <w:br/>
        <w:t xml:space="preserve">84. Sodexo Pass France, a public limited company registered since June 9, 2006, with the Nanterre Trade and Companies Register under number 340 393 065, is now nearly 100% owned by Sodexo Pass International53, which is itself 100% owned by Sodexo54.  </w:t>
        <w:br/>
        <w:t xml:space="preserve">85. Having changed its name several times, from Sodexo Chèques et Cartes de Services until June 14, 2010, then to Sodexo Solutions de Motivation France until December 6, 201355, Sodexo Pass France, holder of the "Pass Restaurant" restaurant voucher brand, markets restaurant vouchers as well as various service vouchers.  </w:t>
        <w:br/>
        <w:t xml:space="preserve">86. Sodexo Pass France issued nearly 1.1 billion euros in restaurant vouchers in 2016, benefiting approximately [600,000 – 700,000] employees56.  </w:t>
        <w:br/>
        <w:t xml:space="preserve">87. In 2016, the dematerialized vouchers represented, according to the methodology explained in paragraph 75, approximately 3.4% of the restaurant vouchers issued by Sodexo Pass France57.  </w:t>
        <w:br/>
        <w:t xml:space="preserve">88. In 2016, Sodexo achieved a global turnover of 20.2 billion euros58.  </w:t>
        <w:br/>
        <w:t xml:space="preserve">89. The Sodexo group also issues TRs, including dematerialized ones, in other member states of the Union59.  </w:t>
        <w:br/>
        <w:t xml:space="preserve">Natixis Intertitres  </w:t>
        <w:br/>
        <w:t xml:space="preserve">90. Natixis Intertitres, a public limited company registered since June 25, 2003, with the Paris Trade and Companies Register under number 718 503 386, is a 100% subsidiary of Natixis Interepargne, which is itself a 100% subsidiary of Natixis, held 71% by the BPCE group, resulting from the merger of the Caisse d’Épargne and Banque Populaire groups60.  </w:t>
        <w:br/>
        <w:t xml:space="preserve">91. Natixis Intertitres markets the paper restaurant voucher brand "Chèque de Table," as well as the restaurant voucher card "Apetiz" since 2014, and also offers various other service vouchers.  </w:t>
        <w:br/>
        <w:t xml:space="preserve">92. Natixis Intertitres issued just over 1 billion euros in restaurant vouchers in 2016, benefiting [700,000-800,000] employees61.  </w:t>
        <w:br/>
        <w:t xml:space="preserve">93. In the same year, the dematerialized restaurant vouchers represented (in terms of total face value issued) and in accordance with the methodology explained in paragraph 75, approximately 4.7% of the restaurant vouchers issued by Natixis Intertitres62.  </w:t>
        <w:br/>
        <w:t xml:space="preserve">94. The global turnover of Natixis (i.e., here the net banking income) amounted to 8.7 billion euros in 201663, and that of the BPCE group amounted to 10.8 billion euros64.  </w:t>
        <w:br/>
        <w:t xml:space="preserve">b) Common entities among historical issuers  </w:t>
        <w:br/>
        <w:t xml:space="preserve">The Central Settlement of Securities  </w:t>
        <w:br/>
        <w:t xml:space="preserve">95. The Central Settlement of Securities (hereinafter "the CRT") is an association created in 197265 by the three main issuers of restaurant vouchers active at the time (namely Accor, Le Chèque Déjeuner CCR, and Sodetir, now respectively named Edenred France, Up, and Sodexo Pass France66).  </w:t>
        <w:br/>
        <w:t xml:space="preserve">96. By a memorandum of understanding signed on January 21, 2002 (hereinafter "the Protocol"), Natixis Intertitres, then named Le Chèque de Table67, became a member of the CRT68.  </w:t>
        <w:br/>
        <w:t xml:space="preserve">The purpose of the CRT  </w:t>
        <w:br/>
        <w:t xml:space="preserve">97. Under Article II of its statutes dated February 11, 2002 (hereinafter "the Statutes"), the CRT has the following purpose:  </w:t>
        <w:br/>
        <w:t xml:space="preserve">- "to ensure on behalf of its member-shareholders and to facilitate for the Affiliates the processing of the reimbursement of Restaurant Vouchers, Employment-Service Vouchers, personalized accompaniment checks, or any other securities (on any media whatsoever) delivered in exchange for a service rendered or the delivery of a good;  </w:t>
        <w:br/>
        <w:t xml:space="preserve">- to carry out, under the same conditions, all operations determined by the Board of Directors, in order to simplify and develop the system of Restaurant Vouchers, Employment-Service Vouchers, personalized accompaniment checks, or any other securities (on any media whatsoever) delivered in exchange for a service rendered or the delivery of a good69" (emphasis added).  </w:t>
        <w:br/>
        <w:t xml:space="preserve">98. Since an update on June 15, 2011, the Statutes also provide that its purpose is: "with the aim of reducing its operating costs by collecting new resources, to ensure on behalf of third parties the processing, for their reimbursement, of securities (on any media whatsoever) and to perform any ancillary service or market any service related to the processing of said securities70" (emphasis added).  </w:t>
        <w:br/>
        <w:t xml:space="preserve">99. The purpose of the CRT is therefore the provision of a service for its members (hereinafter "member-shareholders"), its affiliates, and third parties.  </w:t>
        <w:br/>
        <w:t xml:space="preserve">100. Under a memorandum of understanding concluded on December 6, 2001, Natixis Intertitres only benefited from the processing service of the issued securities from October 1, 2002 (Article II d))71, more than eight months after its membership.  </w:t>
        <w:br/>
        <w:t xml:space="preserve">The distribution of the operating costs of the CRT  </w:t>
        <w:br/>
        <w:t xml:space="preserve">101. The costs of the CRT are distributed "historically (at least since 1987)"72, according to the following rule: 10% equally among the issuers, and 90% proportionally to the number of securities processed by each issuer during a given financial year.  </w:t>
        <w:br/>
        <w:t xml:space="preserve">102. This distribution rule appears in several documents submitted to the file, including the Protocol and the internal regulations of the CRT dated March 27, 2015 (hereinafter "the RI CRT")73.  </w:t>
        <w:br/>
        <w:t xml:space="preserve">103. In practice, the provisional charge call, based on the number of securities processed by each issuer during a given period, was made monthly, with these calls being regularized three times a year (in January, April, and September)74.  </w:t>
        <w:br/>
        <w:t xml:space="preserve">104. The RI CRT, complementing the Statutes, further specifies the implementation methods of the aforementioned distribution rule. Thus, the RI CRT provides that "[t]he charges distributed in accordance with the provisions of Article 16.2 above are called provisionally each month based on the latest distribution variables determined by the Board of Directors and based on the number of Securities processed on behalf of each member calculated according to the periodicity set by the Board of Directors and by default, by reference to the market share of each issuer during the past financial year" (Article 16.3. (i)) and that: "[a]t the end of each financial year, there will be a regularization of the amount of distributed charges, in whole or in part, based on the number of Securities processed on behalf of each Member of the CRT during the past financial year" (Article 16.3. (ii))75.  </w:t>
        <w:br/>
        <w:t>105. Furthermore, the Protocol in its Article 3.4 provides that "a final billing, at the end of the semester, will be sent to each member, applying the rule described in Article 3.2.1."</w:t>
      </w:r>
    </w:p>
    <w:p>
      <w:r>
        <w:rPr>
          <w:b/>
        </w:rPr>
        <w:t>[Pages 25–27]</w:t>
      </w:r>
    </w:p>
    <w:p>
      <w:r>
        <w:t>(cf. aforementioned rule) after the accounting closure of actual charges and the determination of the number of securities actually processed on behalf of each issuer".</w:t>
      </w:r>
    </w:p>
    <w:p>
      <w:r>
        <w:t>106. The operating costs of the CRT are therefore distributed among the four member-shareholders according to the aforementioned rule, which applies to the total annual number of securities, i.e., restaurant vouchers, personalized accompaniment checks, and employment-service vouchers76.</w:t>
      </w:r>
    </w:p>
    <w:p>
      <w:r>
        <w:t>107. Since January 1, 2016, the methods for making provisional charge calls have changed.</w:t>
      </w:r>
    </w:p>
    <w:p>
      <w:r>
        <w:t>108. Thus, each member-shareholder only knows the total amounts corresponding to direct charges, distributed proportionally to the number of securities processed, and the total of indirect charges, distributed equally77. For the purpose of verifying the correspondence between the amount due and the amount requested, it has been provided since January 1, 2016, that "issuers may decide to appoint an external auditor, independent of the issuers and bound to the strictest confidentiality regarding the information to which they have access, responsible for verifying that the allocation of CRT T costs complies with the rules set by the internal regulations or the general assembly"78.</w:t>
      </w:r>
    </w:p>
    <w:p>
      <w:r>
        <w:t>The activity of the CRT</w:t>
      </w:r>
    </w:p>
    <w:p>
      <w:r>
        <w:t>109. Until December 31, 2015, a distinction had to be made between two entities:</w:t>
        <w:br/>
        <w:t>- on the one hand, the CRT, which is an association and whose activity consists of processing the restaurant vouchers issued by the member-shareholder issuers;</w:t>
        <w:br/>
        <w:t>- on the other hand, the real estate service company (hereinafter "the SSIM"), which is a commercial company whose purpose is to acquire equipment (computers, offices, etc.) to then lease it to the CRT.</w:t>
      </w:r>
    </w:p>
    <w:p>
      <w:r>
        <w:t>110. Since January 1, 2016, the CRT and the SSIM have respectively become CRT Treatment (hereinafter "CRT T" or "the CRT") and CRT Services (hereinafter "CRT S"). CRT T and CRT S only intervene on the acceptance side of the TR market. CRT T ensures the processing of the securities in the strict sense, namely reading, sorting, preparing reimbursement operations, storing the securities, and finally their destruction. CRT S is responsible, in particular, for customer relations, marketing, and information systems management79.</w:t>
      </w:r>
    </w:p>
    <w:p>
      <w:r>
        <w:t>111. In this regard, there is a certain time lapse between the moment when companies order the securities and the moment when CRT T processes them. The delivery of the securities generally occurs a few days after the order, the frequency of which varies between 1 and 3 months80. Subsequently, companies distribute them to their employees, who generally use them during the following month. Finally, on average once a month81, merchants submit the securities to CRT T, which then processes them (see paragraph 110)82. CRT T summarizes the situation as follows: "[i]t takes 2-3 months between issuance and receipt at CRT Treatment"83. During the session, CRT T specified that this 2-3 month delay was assessed at the time of reading the securities.</w:t>
      </w:r>
    </w:p>
    <w:p>
      <w:r>
        <w:t> Activity related to paper securities</w:t>
      </w:r>
    </w:p>
    <w:p>
      <w:r>
        <w:t>112. Regarding the processing of paper securities, CRT T prepares, in particular, on behalf of the issuers, the reimbursement operations for restaurant vouchers. Thus, after receiving the securities submitted by affiliated merchants, the securities are read, the reimbursement amounts calculated, and the payment slips issued and then sent to the affiliated merchant84.</w:t>
      </w:r>
    </w:p>
    <w:p>
      <w:r>
        <w:t>113. At the end of 2015, CRT stated that it processed "740 million restaurant vouchers for 180,000 affiliates [sic]"85.</w:t>
      </w:r>
    </w:p>
    <w:p>
      <w:r>
        <w:t>114. The CRT is, on the acceptance side, a one-stop shop for affiliated approved merchants. Thus, once a merchant or restaurateur is approved by the CNTR, they receive an affiliation contract that allows them to work with the member issuers of paper securities of the CRT86 if they wish.</w:t>
      </w:r>
    </w:p>
    <w:p>
      <w:r>
        <w:t>115. It appears from the case files that in practice, to be able to accept paper securities, an approved merchant must become affiliated with the CRT. Indeed, by obliging to have all their paper securities processed by the CRT, each issuer implicitly requires restaurateurs – and other companies approved by the CNTR – to deal with the CRT, which in turn requires them to affiliate in order to accept said paper securities. As a result, a merchant who affiliates with the CRT becomes multi-domiciled and can then submit a paper security from any issuer that is a member of the CRT.</w:t>
      </w:r>
    </w:p>
    <w:p>
      <w:r>
        <w:t>116. Furthermore, affiliation entails the "Opening [of a] Restaurant Voucher Account," charged sixty-five euros to the affiliate87, and certain obligations. The general conditions of this affiliation stipulate, since July 201588 at the latest, that "[t]he Affiliate agrees to accept the Securities issued without additional cost to the Beneficiaries. Each Issuer of Securities acts solely for its own account and independently of other Issuers. The acceptance of Securities from one Issuer does not imply any obligation to accept Securities from other Issuers." (article 4.1 – emphasis added)89.</w:t>
      </w:r>
    </w:p>
    <w:p>
      <w:r>
        <w:t>117. It thus appears that beyond even the execution of the technical and logistical operations related to the processing of paper securities for its members, the CRT also plays a decisive role in the commercial relationship binding approved merchants and member-shareholders.</w:t>
      </w:r>
    </w:p>
    <w:p>
      <w:r>
        <w:t>82 15/0092 F – cote 3 665.</w:t>
      </w:r>
    </w:p>
    <w:p>
      <w:r>
        <w:t>83 15/0092 F – cote 10 012.</w:t>
      </w:r>
    </w:p>
    <w:p>
      <w:r>
        <w:t>84 15/0093 M – cote 920.</w:t>
      </w:r>
    </w:p>
    <w:p>
      <w:r>
        <w:t>85 15/0093 M – cote 921.</w:t>
      </w:r>
    </w:p>
    <w:p>
      <w:r>
        <w:t>86 15/0093 M – cotes 919 and 920.</w:t>
      </w:r>
    </w:p>
    <w:p>
      <w:r>
        <w:t>87 15/0093 M – cote 1 622.</w:t>
      </w:r>
    </w:p>
    <w:p>
      <w:r>
        <w:t>88 15/0093 M – cote 3 730.</w:t>
      </w:r>
    </w:p>
    <w:p>
      <w:r>
        <w:t>89 15/0093 M – cote 1 626.</w:t>
      </w:r>
    </w:p>
    <w:p>
      <w:r>
        <w:t> Activity related to dematerialized securities</w:t>
      </w:r>
    </w:p>
    <w:p>
      <w:r>
        <w:t>118. Regarding dematerialized securities, the Protocol first conferred in 2002 a mission to CRT for the processing of dematerialized securities of its member-shareholders.</w:t>
      </w:r>
    </w:p>
    <w:p>
      <w:r>
        <w:t>119. Indeed, the Protocol stipulates that the parties commit "to have CRT carry out the processing for their reimbursement of all their restaurant vouchers (...), issued on French territory (...), all these securities being materialized or dematerialized" (article 2, first paragraph). It is also specified that "the processing of any other security than those currently processed by CRT (on any medium whatsoever) requires the unanimous agreement of the other members of CRT" (article 2, second paragraph)90.</w:t>
      </w:r>
    </w:p>
    <w:p>
      <w:r>
        <w:t>120. Secondly, the Protocol conferred a central role to CRT in the development of a system for the acceptance of dematerialized securities for all its members (article 3.1).</w:t>
      </w:r>
    </w:p>
    <w:p>
      <w:r>
        <w:t>121. On this basis, and since 2002, CRT has informed the Directorate General for Competition, Consumer Affairs, and Fraud Control (hereinafter "DGCCRF") of its desire to experiment with a dematerialized electronic medium (see paragraph 234).</w:t>
      </w:r>
    </w:p>
    <w:p>
      <w:r>
        <w:t>122. Furthermore, CRT prepared a feasibility study in 2011 for a project to develop dematerialized securities (see paragraphs 321 to 326)91.</w:t>
      </w:r>
    </w:p>
    <w:p>
      <w:r>
        <w:t>123. However, this project did not come to fruition, and the four member-shareholders ultimately opted for the creation of another joint structure dedicated to the capture and transmission of transactions. This decision led to the creation of the company Conecs (see paragraphs 32 to 36) and the conclusion of a letter-amendment dated December 21, 2012, by which the member-shareholders released themselves from their commitments under the Protocol regarding dematerialized securities (hereinafter "the Letter-amendment") (see paragraphs 327 to 329).</w:t>
      </w:r>
    </w:p>
    <w:p>
      <w:r>
        <w:t>124. Since the signing of the Letter-amendment, CRT has intervened, in practice, in several ways regarding dematerialized securities:</w:t>
        <w:br/>
        <w:t>- it has participated, since 2014, in informing affiliates about the deployment of dematerialized securities. It notably took part in an information campaign "réussirmadémat"92, and launched a website of the same name.</w:t>
        <w:br/>
        <w:t>- it has informed, since 2014, its affiliates about the deployment of the "4 corners" and "3 corners" cards of its member-shareholders, particularly regarding the need to update their TPEs to be able to accept the "3 corners" restaurant voucher cards operating with the Conecs system93, and contributes to the promotion of the dematerialized securities of its member-shareholders, particularly on "3 corners" card supports, notably through the collection of information on the (or the) TPE of the new affiliate, via a form attached to the affiliation contract it offers94.</w:t>
        <w:br/>
        <w:t>- it participates in the preparation of compensation operations, that is to say, the deduction of acceptance commissions due on the dematerialized securities from the amount.</w:t>
      </w:r>
    </w:p>
    <w:p>
      <w:r>
        <w:rPr>
          <w:b/>
        </w:rPr>
        <w:t>[Pages 28–30]</w:t>
      </w:r>
    </w:p>
    <w:p>
      <w:r>
        <w:t>to reimburse related to paper securities taking into account the information transmitted by each issuer regarding the commissions to be deducted.</w:t>
      </w:r>
    </w:p>
    <w:p>
      <w:r>
        <w:t>125. Beyond these interventions, the unions of restaurateurs and the hospitality industries emphasize the essential nature of the CRT for dematerialized securities: "[r]estaurateurs cannot address a particular issuer, they must go through the CRT, and when a restaurateur wishes to receive TRP [paper securities] and TRD [dematerialized securities], they must go through the CRT and Conecs respectively. However, on the one hand, for TRD, only the approval of the CNTR is necessary, and on the other hand, to be affiliated with Conecs, it is not necessary to be affiliated with the CRT. Ultimately, the only way for a restaurateur to avoid going through the CRT or CONECS would be to accept only TRD from new issuers, but this choice is unlikely given the size of the relevant market"95.</w:t>
      </w:r>
    </w:p>
    <w:p>
      <w:r>
        <w:t>Conecs</w:t>
      </w:r>
    </w:p>
    <w:p>
      <w:r>
        <w:t>126. In February 2012, the companies Edenred France, Up, Sodexo Pass France, and Natixis Intertitres created Conecs, a simplified joint-stock company, of which they are exclusive shareholders96. The company was registered on June 15, 2014, in the Paris Trade and Companies Register, number 750 291 239.</w:t>
      </w:r>
    </w:p>
    <w:p>
      <w:r>
        <w:t>127. As explained in paragraphs 32 and following, this company developed a proprietary system for the technical acquisition of restaurant voucher transactions, meaning the capture of the transaction, the transmission of a request for authorization of the transaction to the relevant issuer, and, depending on the response to this request, the blocking or, conversely, the execution of said transaction.</w:t>
      </w:r>
    </w:p>
    <w:p>
      <w:r>
        <w:t>128. Conecs thus provides services for its clients, the issuers of restaurant vouchers, which are associated with costs and a pricing model97.</w:t>
      </w:r>
    </w:p>
    <w:p>
      <w:r>
        <w:t>129. In December 2015, 81,000 merchants were able to accept cards using the Conecs solution thanks to the instantiation of their payment terminals for this purpose (i.e., the creation of a "Conecs" instance and its configuration – see paragraph 35)98.</w:t>
      </w:r>
    </w:p>
    <w:p>
      <w:r>
        <w:t>130. In 2016, Conecs generated a turnover of approximately 6.2 million euros99.</w:t>
      </w:r>
    </w:p>
    <w:p>
      <w:r>
        <w:t>c) New issuers</w:t>
      </w:r>
    </w:p>
    <w:p>
      <w:r>
        <w:t>Moneo Payment Solutions</w:t>
      </w:r>
    </w:p>
    <w:p>
      <w:r>
        <w:t>131. This company has been offering a dematerialized voucher in the form of a card since late 2012, marketed under the Moneo Resto brand, backed by the MasterCard network.</w:t>
      </w:r>
    </w:p>
    <w:p>
      <w:r>
        <w:t>132. In 2016, 57.8 million euros of face value of restaurant vouchers were issued on the Moneo Resto card, used by [50,000 – 60,000] beneficiary employees100.</w:t>
      </w:r>
    </w:p>
    <w:p>
      <w:r>
        <w:t>133. On May 18, 2017, Moneo Payment Solutions (hereinafter "Moneo") transferred the Moneo Resto brand to the company Edenred France101.</w:t>
      </w:r>
    </w:p>
    <w:p>
      <w:r>
        <w:t>Caisse Fédérale du Crédit Mutuel</w:t>
      </w:r>
    </w:p>
    <w:p>
      <w:r>
        <w:t>134. This company, registered under number 588 505 354 (RCS Strasbourg), has been marketing a dematerialized restaurant voucher since 2014. It is a card, marketed under the Monetico Resto brand. This card is backed by the MasterCard network.</w:t>
      </w:r>
    </w:p>
    <w:p>
      <w:r>
        <w:t>135. In 2016, 32 million euros of face value of restaurant vouchers were issued on the Monetico Resto card, used by [40,000 – 50,000] beneficiary employees102.</w:t>
      </w:r>
    </w:p>
    <w:p>
      <w:r>
        <w:t>Digibon France</w:t>
      </w:r>
    </w:p>
    <w:p>
      <w:r>
        <w:t>136. Digibon France belongs to the Digibon group, which markets restaurant vouchers in Austria, Switzerland, and Liechtenstein. Digibon France has been marketing a card since 2014, under the lunchbonCard brand. This card is backed by the MasterCard network.</w:t>
      </w:r>
    </w:p>
    <w:p>
      <w:r>
        <w:t>137. In 2016, 11,143 euros of face value of restaurant vouchers were issued by Digibon France, used by 91 beneficiary employees103.</w:t>
      </w:r>
    </w:p>
    <w:p>
      <w:r>
        <w:t>138. On April 24, 2017, the Tribunal de Grande Instance of Strasbourg pronounced the opening of the judicial liquidation procedure for the company104.</w:t>
      </w:r>
    </w:p>
    <w:p>
      <w:r>
        <w:t>Octoplus</w:t>
      </w:r>
    </w:p>
    <w:p>
      <w:r>
        <w:t>139. Octoplus was created in April 2011. It has been offering a dematerialized voucher on mobile support since November 2012, under the Resto flash brand105 (see paragraphs 37 and following).</w:t>
      </w:r>
    </w:p>
    <w:p>
      <w:r>
        <w:t>140. This solution is currently accepted by [20,000 - 30,000] restaurateurs106, and used by [10,000 - 20,000] beneficiary employees107. In 2016, it issued a face value of restaurant vouchers of 635,004 euros108.</w:t>
      </w:r>
    </w:p>
    <w:p>
      <w:r>
        <w:t>d) The unions of restaurateurs and the hospitality industries</w:t>
      </w:r>
    </w:p>
    <w:p>
      <w:r>
        <w:t>The SNRTC and the SNRPO</w:t>
      </w:r>
    </w:p>
    <w:p>
      <w:r>
        <w:t>141. The SNRTC brings together approximately 1,300 restaurants belonging to about twenty restaurant chains (Buffalo Grill, Léon de Bruxelles, El Rancho, CourtePaille, Pizza-Paï, Il Ristorante, Les Trois Brasseurs, Flo, Groupe Bertrand, Groupe Les Frères Blanc, etc.), whose total annual turnover amounts to 2 billion euros109.</w:t>
      </w:r>
    </w:p>
    <w:p>
      <w:r>
        <w:t>142. The SNRPO is a professional union whose purpose is "to have recognized, defended, and promoted, notably with public authorities and the media, the restaurant businesses with multiple establishments, organized according to an integrated management perspective" (Statutes of the SNRPO updated on January 9, 2003, Article 2)110.</w:t>
      </w:r>
    </w:p>
    <w:p>
      <w:r>
        <w:t>143. It represents approximately 700 restaurants in mainland France, belonging to seven cafeteria brands (Flunch, Autogrill, Casino, Eris, Toquenelle, Crescendo, and L’Arche), and generates an annual turnover of approximately 1 billion euros111.</w:t>
      </w:r>
    </w:p>
    <w:p>
      <w:r>
        <w:t>144. During their hearing, the SNRPO and the SNRTC indicated that the share represented by restaurant voucher payments in their turnover is between 6 and 10%112, although this share can be higher in some cases.</w:t>
      </w:r>
    </w:p>
    <w:p>
      <w:r>
        <w:t>145. The most precise data collected from the unions indicate that this share is between 2 and 27%, depending on the brand, the time of activity (i.e., lunch versus dinner), and the year considered113.</w:t>
      </w:r>
    </w:p>
    <w:p>
      <w:r>
        <w:t>The UMIH</w:t>
      </w:r>
    </w:p>
    <w:p>
      <w:r>
        <w:t>146. The UMIH is an organization that brings together several employer organizations, including the National Group of Hotel Chains (GNC), the SNRPO, the SNRTC, and the Trade Union Chamber of Artistic Cabarets and Nightclubs (CSCAD).</w:t>
      </w:r>
    </w:p>
    <w:p>
      <w:r>
        <w:t>147. This professional organization "represents, defends, and promotes independent professionals in hospitality, catering, bars, cafes, brasseries, nightlife, and seasonal professions, in all regions and departments of France."114.</w:t>
      </w:r>
    </w:p>
    <w:p>
      <w:r>
        <w:t>The CNTR</w:t>
      </w:r>
    </w:p>
    <w:p>
      <w:r>
        <w:t>148. Established by Decree No. 67-1165 of December 22, 1967, relating to restaurant vouchers, the CNTR has the main mission of approving restaurateurs and similar entities wishing to accept restaurant vouchers, and to exercise "control over the operation of restaurant voucher accounts [of issuers]"115.</w:t>
      </w:r>
    </w:p>
    <w:p>
      <w:r>
        <w:t>149. Furthermore, it gathers information related to the application of restaurant voucher regulations, provides practical information to issuers and users of these vouchers, and facilitates the agreement of interested parties on improvements that can be made to the issuance and use of restaurant vouchers116.</w:t>
      </w:r>
    </w:p>
    <w:p>
      <w:r>
        <w:rPr>
          <w:b/>
        </w:rPr>
        <w:t>[Pages 31–33]</w:t>
      </w:r>
    </w:p>
    <w:p>
      <w:r>
        <w:t>150. However, as the Council of State ruled in a decision dated May 6, 2019, which concerned the legality of a decision to refuse to repeal the provisions of 1° to 6° and 8° of Article R. 3262-36 of the Labor Code, relating to the missions of the National Commission for Restaurant Vouchers, these provisions "do not have the effect of granting this commission regulatory authority, particularly to define the technical specifications that issuers should comply with (...)117.</w:t>
      </w:r>
    </w:p>
    <w:p>
      <w:r>
        <w:t>151. Its composition and functioning "are determined by a joint order of the ministers responsible for labor and finance"118. It is composed of 21 members representing professional organizations (5 members), trade union organizations (5 members), unions of restaurateurs, retailers of fruits and vegetables, and businesses that may be assimilated to restaurateurs (7 members), and the issuing companies of restaurant vouchers (4 members – the historical issuers)119.</w:t>
      </w:r>
    </w:p>
    <w:p>
      <w:r>
        <w:t>152. The general secretariat of this body is provided by "the services of the minister responsible for the economy and finance"120.</w:t>
      </w:r>
    </w:p>
    <w:p>
      <w:r>
        <w:t>4. THE DYNAMICS OF THE SECTOR</w:t>
      </w:r>
    </w:p>
    <w:p>
      <w:r>
        <w:t>153. The competitive dynamics of the sector can be analyzed in light of several characteristic elements: the domiciliation of client companies and approved merchants with issuers (a), the interaction between the two sides of the restaurant voucher market (b), the transparency of the market ensured notably by the publication of acceptance commission rates (c), the stability of issuers in the market (d), and the low dematerialization of restaurant vouchers (e). All of these specificities lead to the conclusion set out in point (f).</w:t>
      </w:r>
    </w:p>
    <w:p>
      <w:r>
        <w:t>a) The domiciliation of client companies and approved merchants</w:t>
      </w:r>
    </w:p>
    <w:p>
      <w:r>
        <w:t>154. The domiciliation of client companies and approved merchants with issuers differs as they are situated on different sides of the market.</w:t>
      </w:r>
    </w:p>
    <w:p>
      <w:r>
        <w:t>155. On the acceptance side, given that each issuer brings a potential turnover exclusive of that brought by other issuers, approved merchants have an interest in accepting vouchers from as many issuers as possible, in order to maximize their chances of having consumers benefiting from the vouchers issued by these issuers come to consume at their establishments. In theory, the advantages for merchants are maximized when they can accept vouchers from all issuers. This is a manifestation of network externality. In economic theory, there is a network externality when the value of a good increases or decreases depending on the number of units of that good that make up the network121.</w:t>
      </w:r>
    </w:p>
    <w:p>
      <w:r>
        <w:t>117 Judgment of the Council of State, 1st and 4th chambers combined, May 6, 2019, Société Octoplus, no. 416369, concl. R. Decout-Paolini.</w:t>
      </w:r>
    </w:p>
    <w:p>
      <w:r>
        <w:t>118 Article R. 3262-41 of the Labor Code.</w:t>
      </w:r>
    </w:p>
    <w:p>
      <w:r>
        <w:t>119 Article 1 of the order of March 3, 1978, relating to the commission for restaurant vouchers.</w:t>
      </w:r>
    </w:p>
    <w:p>
      <w:r>
        <w:t>120 Article R. 3262-43 of the Labor Code.</w:t>
      </w:r>
    </w:p>
    <w:p>
      <w:r>
        <w:t>121 Network Externalities, Competition, and Compatibility, Michael L. Katz and Carl Shapiro, The American Economic Review, Vol. 75, No. 3 (Jun., 1985), pp. 424-440.</w:t>
      </w:r>
    </w:p>
    <w:p>
      <w:r>
        <w:t>156. In practice, affiliated merchants then accept restaurant vouchers from several issuers, which is referred to as multi-domiciliation ("multi-homing"). This was, moreover, automatic in practice for issuers that are members of the CRT until the CRT modified the general conditions of affiliation of the latter (see paragraph 116).</w:t>
      </w:r>
    </w:p>
    <w:p>
      <w:r>
        <w:t>157. On the issuance side, conversely, client companies have an interest in sourcing, for a given medium (i.e., paper, card, or mobile application), from a single issuer of restaurant vouchers, particularly given the observed122 decrease in commission rates charged on the issuance of vouchers based on the volume of vouchers ordered, on the one hand, and the fixed management costs of said vouchers, on the other hand. In this case, it is a matter of mono-domiciliation ("single-homing").</w:t>
      </w:r>
    </w:p>
    <w:p>
      <w:r>
        <w:t>158. In other words, while on the acceptance side, the fact that an affiliate accepts vouchers issued by one issuer does not prevent it from accepting vouchers issued by other issuers, it is different on the issuance side where, when a company chooses an issuer, the sale of the concerned vouchers is "lost" for the other issuers, which is also demonstrated by the reality of the market.</w:t>
      </w:r>
    </w:p>
    <w:p>
      <w:r>
        <w:t>b) The interaction of the issuance and acceptance sides of restaurant vouchers</w:t>
      </w:r>
    </w:p>
    <w:p>
      <w:r>
        <w:t>The existence of numerous network externalities</w:t>
      </w:r>
    </w:p>
    <w:p>
      <w:r>
        <w:t>159. Beyond the network externalities at the level of one side, such as the incentive for approved merchants to accept restaurant vouchers if one of their competitors has already made this choice, the restaurant voucher sector is also characterized by network externalities generated by one side on the other. These are indirect externalities: the utility that an agent derives from a given group depends on the number of agents in the other group.</w:t>
      </w:r>
    </w:p>
    <w:p>
      <w:r>
        <w:t>160. For example, in a food market, the utility that a seller of agricultural products derives depends on the number of potential buyers in the market.</w:t>
      </w:r>
    </w:p>
    <w:p>
      <w:r>
        <w:t>161. In the restaurant voucher sector, these externalities concern the number of participants on each side, but also their characteristics.</w:t>
      </w:r>
    </w:p>
    <w:p>
      <w:r>
        <w:t>162. Regarding the number of participants, their increase on one side enhances the attractiveness of the restaurant voucher for real and potential participants on the other side, and vice versa. Thus, the higher the number of employees benefiting from restaurant vouchers, the more interesting it is for merchants to accept them, and the higher the number of approved merchants accepting restaurant vouchers, the more interesting it is for employees to benefit from them.</w:t>
      </w:r>
    </w:p>
    <w:p>
      <w:r>
        <w:t>163. Regarding the characteristics of participants, the interactions are also notable.</w:t>
      </w:r>
    </w:p>
    <w:p>
      <w:r>
        <w:t>164. Thus, any price change on one side has consequences on the number, characteristics, and activity of participants on the other side. The issuer's objective to maximize its profits will lead it to determine a global level of remuneration across both sides and to distribute it between the two sides.</w:t>
      </w:r>
    </w:p>
    <w:p>
      <w:r>
        <w:t>165. In this case, the decrease in issuance commission rates leads, all else being equal, to a direct increase in the number of client companies, and thus of beneficiary employees123, and ultimately of the potential turnover of affiliates and therefore of the operating costs of the CRT.</w:t>
      </w:r>
    </w:p>
    <w:p>
      <w:r>
        <w:t>166. Conversely, a decrease in the acceptance commission rates of one or more issuers leads to an increase in the number of approved merchants, and only indirectly, through the increase in the perceived quality of the network by companies, a potential increase in the turnover that can be achieved in restaurant vouchers. Furthermore, given the number and variety of the current 180,000 affiliates on the one hand, and the fact that most approved merchants accept vouchers from several issuers on the other hand, this impact will likely be limited.</w:t>
      </w:r>
    </w:p>
    <w:p>
      <w:r>
        <w:t>The symmetry of the sides in terms of market shares of issuers</w:t>
      </w:r>
    </w:p>
    <w:p>
      <w:r>
        <w:t>167. The restaurant voucher sector is, in terms of the face value of issued restaurant vouchers, perfectly symmetrical: thus, not only is the total face value identical, but also the market share of each issuer is, except for lost and expired vouchers, rigorously identical on each side.</w:t>
      </w:r>
    </w:p>
    <w:p>
      <w:r>
        <w:t>168. Two important consequences arise from this. First, any increase in face value issued leads, except for lost and expired vouchers, to an increase, in the same proportions, of the turnover achievable in restaurant vouchers on the "acceptance" side of the vouchers by merchants. Second, any lost client on the issuance side leads not only to the loss of the issuance commission for the concerned issuer but also, on the acceptance side, to the loss of the acceptance commissions that would have been collected following the use of said client's restaurant vouchers. In other words, the sale of restaurant vouchers on the issuance side mechanically leads to the provision of the business supply service on the acceptance side, given the random nature of the identity of the concerned approved merchant.</w:t>
      </w:r>
    </w:p>
    <w:p>
      <w:r>
        <w:t>The asymmetry of the sides in terms of competitive pressure</w:t>
      </w:r>
    </w:p>
    <w:p>
      <w:r>
        <w:t>169. All issuers indicated that client companies could easily change issuers from a contractual point of view123. Indeed, the notice period in case of termination is short (generally three or even six months124) and changing the issuer of restaurant vouchers does not pose any particular logistical difficulties.</w:t>
      </w:r>
    </w:p>
    <w:p>
      <w:r>
        <w:t>170. For example, the manager of the company Up indicated during his hearing that "the change is easy. Contractually, there is a notice period of three months. A client can quickly decide to consult other issuers and then change issuer. The notice period allows them to organize the change of issuer and allows the issuer to organize the end of services with their client. In practice, some clients do not invoke the notice period; the end of the relationship is manifested by a cessation of orders. The restaurant vouchers that have been put into service can be used until they are completely exhausted125."</w:t>
      </w:r>
    </w:p>
    <w:p>
      <w:r>
        <w:t>171. On the acceptance side, the increase in the number of affiliated merchants (within a given relevant competitive geographical area) is not likely to intensify competition among issuers, given the multi-domiciliation.</w:t>
      </w:r>
    </w:p>
    <w:p>
      <w:r>
        <w:rPr>
          <w:b/>
        </w:rPr>
        <w:t>[Pages 34–36]</w:t>
      </w:r>
    </w:p>
    <w:p>
      <w:r>
        <w:t>172. In the same vein, given that each client company on the issuing side is a potential source of revenue exclusive of other issuers, authorized merchants are, in the absence of fixed costs related to the acceptance of restaurant vouchers (TR), and provided that the margin they achieve is greater than the commission paid during the transaction, incentivized to accept TR from any issuer, regardless of its size.</w:t>
      </w:r>
    </w:p>
    <w:p>
      <w:r>
        <w:t>173. Representatives of the SNTRC indicated that accepting a restaurant voucher for a restaurateur "provides an additional outlet and offers convenience for customers who have TR" and that "our members are very motivated by new entrants because they have very low commission rates. For a restaurateur, it is not problematic to work with several issuers"126. All new issuers indicated that it was not difficult to convince authorized merchants to accept their restaurant vouchers127.</w:t>
      </w:r>
    </w:p>
    <w:p>
      <w:r>
        <w:t>174. Furthermore, the acceptance of restaurant vouchers is facilitated, in the case of paper vouchers, by the fact that a single affiliation contract allows affiliates to accept restaurant vouchers from the four issuer members of the CRT, and, in the case of dematerialized vouchers, by the fact that they can be accepted even before a contract is concluded with the relevant issuer. In the absence of a transaction, the merchant pays nothing to the issuer.</w:t>
      </w:r>
    </w:p>
    <w:p>
      <w:r>
        <w:t>175. It follows from the above that the issuing side is more likely, at least in theory, to see competition develop among issuers than the acceptance side where merchants are inherently less price-sensitive.</w:t>
      </w:r>
    </w:p>
    <w:p>
      <w:r>
        <w:t>The gradual shift of commission rates from the issuing side to the acceptance side.</w:t>
      </w:r>
    </w:p>
    <w:p>
      <w:r>
        <w:t>176. The sector is marked by a gradual shift of commission rates from the issuing side to the acceptance side.</w:t>
      </w:r>
    </w:p>
    <w:p>
      <w:r>
        <w:t>177. Indeed, regarding, for example, the commissions actually received (i.e., actually billed) on each side, the effective commission rates decreased from 58% to 74% on the issuing side (with annual averages of 13.3% to 20.1%) and increased by a rate ranging from 23% to 64% on the acceptance side (with annual averages of 3.5% to 8.5%), as indicated in the following table.</w:t>
      </w:r>
    </w:p>
    <w:p>
      <w:r>
        <w:t>178. The effective commission rate on a given side, calculated by the Authority, is here equal to the total commissions received on said side, measured by the revenue generated on this side as reported by historical issuers, relative to the relevant face value (i.e., the face value issued for the issuing side and the face value reimbursed for the acceptance side). In total, the cumulative commission rates on both sides increased by 4% over the period considered.</w:t>
      </w:r>
    </w:p>
    <w:p>
      <w:r>
        <w:t>Table 1 - Evolution between 2010 and 2016 of the commission rates received on paper vouchers</w:t>
        <w:br/>
        <w:t>Issuing Acceptance Total</w:t>
        <w:br/>
        <w:t>Up -74% 64% 15%</w:t>
        <w:br/>
        <w:t>Edenred France -61% 23% -6%</w:t>
        <w:br/>
        <w:t>Natixis Intertitres -58% 32% 17%</w:t>
        <w:br/>
        <w:t>Sodexo Pass France -71% 24% 3%</w:t>
        <w:br/>
        <w:t>Total -68% 36% 4%</w:t>
        <w:br/>
        <w:t>Source: data provided by issuers (see references cited in the table in 15/0092 F – reference 10 426). The calculations were carried out in two stages: (1) for each side, each issuer of paper restaurant vouchers, and each year from 2010 to 2016, calculation of the effective commission rates by applying the formula indicated in paragraph 178 to the relevant data provided by the issuers and (2) for each side and each issuer, calculation of the rate of change, between 2010 and 2016, of the effective commission rate. The calculation of the total, i.e., the cumulative commission rate, does not take into account a small portion of lost or expired vouchers.</w:t>
      </w:r>
    </w:p>
    <w:p>
      <w:r>
        <w:t>179. This shift appears to be consistent with the single domiciliation (for a given support) of clients on the issuing side, and the multi-domiciliation on the acceptance side. The decrease in commissions on the issuing side leads, by attracting new beneficiaries, to an increase, all else being equal, in the size of the restaurant voucher market on the issuing side, and, mechanically, on the acceptance side, whereas conversely, a decrease in commissions on the acceptance side has little impact on the number of merchants accepting TR, and indirectly on the size of the TR markets on the issuing and acceptance sides, most of whom are already incentivized to accept TR.</w:t>
      </w:r>
    </w:p>
    <w:p>
      <w:r>
        <w:t>180. Furthermore, to the extent that authorized merchants accept vouchers from multiple issuers, the perceived quality of the network of each issuer appears similar in the eyes of client companies on the issuing side. Thus, client companies find themselves in a favorable position to put issuers in competition regarding the commission rates they offer.</w:t>
      </w:r>
    </w:p>
    <w:p>
      <w:r>
        <w:t>c) The publication of acceptance commission rates</w:t>
      </w:r>
    </w:p>
    <w:p>
      <w:r>
        <w:t>181. The CRT is aware of all the commission rates practiced by each of its member-shareholders, with respect to each of their authorized merchant clients, whether it is a public rate, or a rate negotiated with the relevant professional organizations, or certain large accounts in the restaurant sector128.</w:t>
      </w:r>
    </w:p>
    <w:p>
      <w:r>
        <w:t>182. It indeed emerges from the file that "[e]very year, the CRT receives, on a date determined by itself (generally at the end of November) and under confidential cover from each issuer, the commission rates of each of them for the following calendar year"129.</w:t>
      </w:r>
    </w:p>
    <w:p>
      <w:r>
        <w:t>183. Once this information is received, the CRT proceeds to publish a general pricing grid, encompassing all member-shareholders, without indicating, however, the rates possibly negotiated with certain authorized merchants. This pricing grid was previously posted online by the CRT on its website130 and is now accessible via a link from this site to that of each relevant issuer.</w:t>
      </w:r>
    </w:p>
    <w:p>
      <w:r>
        <w:t>184. By way of illustration, the table below records the acceptance commission rates applied by issuers of paper vouchers in 2016. They vary according to the issuer, the reimbursement circuit proposed (defined based on the duration of reimbursement and services), and finally, where applicable, the amount of the total value submitted by the merchant. They are applied to most vouchers, meaning a proportion of the face value of paper vouchers submitted in 2016 exceeding 70%131.</w:t>
      </w:r>
    </w:p>
    <w:p>
      <w:r>
        <w:rPr>
          <w:b/>
        </w:rPr>
        <w:t>[Pages 37–39]</w:t>
      </w:r>
    </w:p>
    <w:p>
      <w:r>
        <w:t xml:space="preserve">Figure 3 – Acceptance commission rates on paper securities in 2016  </w:t>
        <w:br/>
        <w:t xml:space="preserve">Note: the "Collection Center" service, optional, corresponds to the deposit of paper securities in a secure collection center, and the transportation of the securities to the premises of the CRT T.  </w:t>
        <w:br/>
        <w:t>Source: 15/0092 F – cote 1 692</w:t>
      </w:r>
    </w:p>
    <w:p>
      <w:r>
        <w:t>185. It should be noted that while there are several reimbursement circuits, an affiliate cannot, for a given submission of securities to the CRT for reimbursement, choose only one reimbursement circuit for all issuers132.</w:t>
      </w:r>
    </w:p>
    <w:p>
      <w:r>
        <w:t>186. Beyond the aforementioned grids, which have been filed with a bailiff by each issuer since 2017, and then submitted to the CRT S, "it falls within the missions of the CRT PROCESSING - which subcontracted this particular mission to the SSIM - (until the end of 2015) and of the CRT SERVICES (since January 1, 2016) to perform the calculations of the amount to be reimbursed by each issuer to the affiliates for the paper securities."133.</w:t>
      </w:r>
    </w:p>
    <w:p>
      <w:r>
        <w:t xml:space="preserve">132 15/0093 M – cote 921.  </w:t>
        <w:br/>
        <w:t>133 15/0092 F – cote 1 342.</w:t>
      </w:r>
    </w:p>
    <w:p>
      <w:r>
        <w:t>187. In contrast, the pricing conditions, on issuance, do not benefit from the same publicity. Firstly, most issuers do not publish their general pricing conditions, even if they may share them with their clients. Secondly, these conditions are applied to a minority proportion of the face value of the issued TRs, i.e., less than 25 %134.</w:t>
      </w:r>
    </w:p>
    <w:p>
      <w:r>
        <w:t xml:space="preserve">d) The stability of issuers in the market  </w:t>
        <w:br/>
        <w:t>The entry of issuers into the market</w:t>
      </w:r>
    </w:p>
    <w:p>
      <w:r>
        <w:t>188. Certain characteristics of the market may hinder the development of new issuers.</w:t>
      </w:r>
    </w:p>
    <w:p>
      <w:r>
        <w:t>189. Firstly, since the TR market is bifacial, a new issuer must, in theory, quickly see the number of its clients on each side increase simultaneously, or risk entering a vicious circle that could lead to its disappearance. This obligation thus responds to the risk for an issuer, firstly, of not affiliating enough merchants so that employees can effectively use the issued securities, and, secondly, of not having enough client companies to encourage merchants to affiliate with them.</w:t>
      </w:r>
    </w:p>
    <w:p>
      <w:r>
        <w:t>190. However, if, on the acceptance side, in the absence of high fixed costs (in addition to the solicitation costs for the new entrant), merchants will easily accept the securities of a new issuer, on the issuance side, it can be costly for new entrants to gain the trust of client companies, especially the largest ones, particularly regarding the ability to provide a significant volume of paper restaurant vouchers, while the four implicated issuers enjoy both notoriety and legitimacy due to their historical presence in the TR market.</w:t>
      </w:r>
    </w:p>
    <w:p>
      <w:r>
        <w:t>191. Secondly, there are also economies of scale, given that some client companies require fixed retro-commissions from issuers, i.e., independent of the face value provided. However, the collected elements show that fixed retro-commissions, when they exist, concern a very small, even negligible, share of the face value issued by the issuers and, in any case, less than 2 % of the total face value of the TRs issued by the issuers135.</w:t>
      </w:r>
    </w:p>
    <w:p>
      <w:r>
        <w:t>192. Thirdly, it should also be noted that the market is characterized by a certain inertia, which Edenred France acknowledges by stating that "a part of the demand is 'dormant'"136, particularly due to the low entry of operators into the market. According to this company, new acquisitions represent "less than 5 % of the volume of TRs issued by EDENRED in 2016"137.</w:t>
      </w:r>
    </w:p>
    <w:p>
      <w:r>
        <w:t>193. During the session, Edenred France even estimated the duration during which client companies remained tied to an issuer at "[0 – 10] years on average." Up, for its part, estimated this loyalty at several years with very high retention rates.</w:t>
      </w:r>
    </w:p>
    <w:p>
      <w:r>
        <w:t>194. Furthermore, still during the session, Natixis Intertitres mentioned a retention rate of its clientele across all segments of [90 – 100] % in terms of the number of clients.</w:t>
      </w:r>
    </w:p>
    <w:p>
      <w:r>
        <w:t xml:space="preserve">134 15/0092 F – cotes 5 715, 5 677 and 5 749.  </w:t>
        <w:br/>
        <w:t xml:space="preserve">135 15/0092 F – cotes 5 678, 5 749, 5 715 and 5 783.  </w:t>
        <w:br/>
        <w:t xml:space="preserve">136 15/0092 F – cote 12 823.  </w:t>
        <w:br/>
        <w:t>137 15/0092 F – cote 14 192.</w:t>
      </w:r>
    </w:p>
    <w:p>
      <w:r>
        <w:t>195. Fourthly, and in connection with the inertia of the market, the reluctance of beneficiaries of restaurant vouchers to adopt dematerialized solutions instead of paper vouchers may have hindered the development of new entrants in the market. However, this observation should be tempered regarding the "4 corners" cards. Indeed, in the absence of fixed costs related to the technical possibility of accepting this type of card, new issuers have not experienced, in practice, any difficulty in convincing merchants to accept their solution.</w:t>
      </w:r>
    </w:p>
    <w:p>
      <w:r>
        <w:t>196. It follows from the documents in the file that issuers of restaurant vouchers who offer a "4 corners" card, including the new entrants Moneo, CFCM, and Digibon France, rely on this advantage to build their acceptance network for their dematerialized vouchers, with the merchants approved who have not yet contracted with them being perfectly able to accept their card.</w:t>
      </w:r>
    </w:p>
    <w:p>
      <w:r>
        <w:t>197. Furthermore, it also follows from the documents in the file that membership in the CRT allows at least partially overcoming these barriers to entry for new issuers in the market.</w:t>
      </w:r>
    </w:p>
    <w:p>
      <w:r>
        <w:t>198. Indeed, firstly, a new issuer does not benefit from the economies of scale generated by the CRT. The CRT indeed pools the processing of paper securities for issuers who use its services; it thus allows for economies of scale, particularly given the fixed costs associated with processing the securities, by processing all their paper securities for a total cost lower than what the costs would be for each issuer (which corresponds in particular to the fact that 10 % of the CRT's expenses, distributed equally, are fixed).</w:t>
      </w:r>
    </w:p>
    <w:p>
      <w:r>
        <w:t>199. This is, as indicated by a joint economic study of the implicated parties, "the prospect of benefiting from these economies of scale [which] motivated Natixis Intertitres to entrust, in 2001, the processing of its paper securities to the CRT and to become a member"138. In the same vein, the study emphasizes that "[t]he membership of NIT in the CRT in 2002 aimed to pool certain costs related to the processing of PRV [paper securities], to increase the overall efficiency of this process and to benefit from the created savings. In an internal document from 2002, the company thus estimates that this movement and these gains should allow it to reassess its value upwards, due to reduced investment costs"139.</w:t>
      </w:r>
    </w:p>
    <w:p>
      <w:r>
        <w:t>200. This study also shows, using data from Natixis Intertitres, that the pooling of the processing of paper securities within the CRT "has generated cost efficiencies in the processing of PRV [paper securities]." It estimates the reduction in unit processing costs of paper securities at approximately 24 %, while specifying that this estimate may be conservative140.</w:t>
      </w:r>
    </w:p>
    <w:p>
      <w:r>
        <w:t xml:space="preserve">201. The study also assesses the efficiency gains made possible by membership in the CRT at approximately 20-25 % of processing costs141. In this study, these gains are calculated by comparing the unit processing costs of Natixis Intertitres before its entry into the CRT, when the issuer relied on subcontracting with a third party, the  </w:t>
        <w:br/>
        <w:t xml:space="preserve">138 15/0092 F – cote 19 590.  </w:t>
        <w:br/>
        <w:t xml:space="preserve">139 15/0092 F – cote 19 591.  </w:t>
        <w:br/>
        <w:t xml:space="preserve">140 15/0092 F – cote 14 891.  </w:t>
        <w:br/>
        <w:t>141 15/0092 F – cote 14 892.</w:t>
      </w:r>
    </w:p>
    <w:p>
      <w:r>
        <w:rPr>
          <w:b/>
        </w:rPr>
        <w:t>[Pages 40–42]</w:t>
      </w:r>
    </w:p>
    <w:p>
      <w:r>
        <w:t xml:space="preserve">Banque Populaire de Nantes, to its unit processing costs after its entry into the CRT142.  </w:t>
        <w:br/>
        <w:t xml:space="preserve">202. In other words, membership in the CRT allows for efficiency gains on processing costs, including in relation to a third-party outsourcing option. According to the assumptions made in the joint economic study for the issuers143, these efficiency gains on processing costs could represent savings of approximately 5 to 6% of the total operating costs of an issuer, including processing costs but also, for example, production and shipping costs of paper securities.  </w:t>
        <w:br/>
        <w:t xml:space="preserve">203. Furthermore, their pooling within the CRT is likely to reduce the amount of investments for its members, including for a new entrant.  </w:t>
        <w:br/>
        <w:t xml:space="preserve">204. Finally, the joint economic study mentioned above also notes gains brought by the CRT on the demand side: "The CRT simplifies the processing of TRP [paper securities] for affiliates, by reducing the number of contacts for the same volume of TRP [paper securities] and simplifying their management: time savings, reduction of shipping and handling costs. This simplification also allows the restaurateur to send the TRP [paper securities] received to the CRT more quickly and regularly, which improves the cash flow of the affiliates (the reimbursement circuit is shortened). The importance of the volumes processed by the CRT also allows it to achieve a recognized quality of service and expertise by the affiliates"144.  </w:t>
        <w:br/>
        <w:t xml:space="preserve">205. Secondly, and as mentioned previously (see paragraph 115), membership in the CRT gives its new member-shareholder practical access to all approved merchants in the market. In this context, the membership of a new entrant correlatively generates a significant increase in the volume of securities issued by it.  </w:t>
        <w:br/>
        <w:t xml:space="preserve">The number of issuers  </w:t>
        <w:br/>
        <w:t xml:space="preserve">206. The restaurant voucher market is characterized by its small number of players. This concentration has been observed since its inception.  </w:t>
        <w:br/>
        <w:t xml:space="preserve">207. In the early 1970s, as specified by the Competition Commission (which preceded the Competition Council before the ordinance of December 1, 1986) in its opinion of May 20, 1980, on the restaurant voucher sector, there were mainly three major issuing companies145 (now known as Edenred France, Up, and Sodexo Pass France146).  </w:t>
        <w:br/>
        <w:t xml:space="preserve">208. Nearly fifty years later, the sector had only eight active operators in 2016: Edenred France, Up, Sodexo Pass France, Natixis Intertitres, Moneo Payment Solutions (hereinafter "Moneo"), Caisse Fédérale de Crédit Mutuel (hereinafter "CFCM"), Digibon, and Octoplus.  </w:t>
        <w:br/>
        <w:t xml:space="preserve">209. While the first four operators mentioned have been present in the market for several decades, the other operators, active only in the segment of dematerialized securities – since 2012 for Octoplus and Moneo – represented, together, less than 1.5% of the face value issued across all media in 2016 (see paragraph 227).  </w:t>
        <w:br/>
        <w:t xml:space="preserve">210. Furthermore, it emerges from the aforementioned opinion and the decision of the Competition Council (hereinafter "the Council") No. 01-D-41 regarding practices implemented in the restaurant voucher and employment-service voucher markets147 that when companies sought to enter or develop in the restaurant voucher market, they encountered certain obstacles posed by the three aforementioned issuers.  </w:t>
        <w:br/>
        <w:t xml:space="preserve">211. Firstly, in its 1980 opinion, the Competition Commission presented the arrival of a new issuer, Ticket-repas, and the difficulties encountered by it.  </w:t>
        <w:br/>
        <w:t xml:space="preserve">212. Indeed, following the creation of the CRT, it and three restaurateur unions signed on March 20, 1972, a protocol establishing a so-called "participation" contribution from restaurateurs to the CRT's expenses. The amount of this contribution was originally between 0.60% and 1% of the nominal value of the vouchers. In exchange for its payment by a restaurateur, the CRT committed to reimburse the value of the presented vouchers within seven days.  </w:t>
        <w:br/>
        <w:t xml:space="preserve">213. In response to the practices of the issuers grouped within the CRT, a new restaurant voucher issuer was created on July 15, 1975, by restaurateurs, under the name Ticket-repas. This issuer decided not to request any participation from restaurateurs and to settle the vouchers in less than five days.  </w:t>
        <w:br/>
        <w:t xml:space="preserve">214. In this context, the Competition Commission specified that "the arrival of this new issuer has sparked a number of conflicts, pressures, and maneuvers aimed at hindering the development of Ticket-repas; that, for example, according to documents attached to a report drawn up on July 2, 1976, against the president of the CRT for refusal of service, agents of the Central Settlement of Restaurant Vouchers "strongly requested restaurateurs to remove the sign of the company Ticket-repas and to no longer accept the vouchers issued by this company" and that "failure to comply with these prescriptions" would result in the withdrawal of the short circuit benefit, even after payment of the participation; that these various incidents only ceased after various interventions by the administration and the restaurant voucher commission"148. It concluded that "it also results from the investigation that the meeting within the CRT of the main issuers led them to use this common body to limit the exercise of free competition by other companies, which they notably attempted to hinder the actions of a new company (Ticket-repas)"149. However, the Competition Commission also admitted in this regard that in practice, it resulted in "only a slight hindrance to the development of the company Ticket-repas"150.  </w:t>
        <w:br/>
        <w:t xml:space="preserve">215. In 1981, Ticket-repas was ultimately acquired by Sodexho (which has since become Sodexo).  </w:t>
        <w:br/>
        <w:t xml:space="preserve">216. Secondly, in its decision No. 01-D-41, the Council notes that in 1997, fifteen years after the launch in 1982, without access to the CRT, by the group of Banques Populaires, (of which Natixis Intertitres is now a part), of its own restaurant voucher through its company Le Chèque de Table, Banques Populaires held no more than 6.35% market share, and was still far behind the three other historical issuers (Sodexho: 19.38%, Chèque-Déjeuner: 35.98%, Accor: 38.29%).  </w:t>
        <w:br/>
        <w:t xml:space="preserve">217. Furthermore, according to the Council, it results "from the minutes of a meeting of the board of directors of Sodexho, dated December 10, 1996, that the participants considered it undesirable to allow the company Chèque de Table to enter the CRT".  </w:t>
        <w:br/>
        <w:t xml:space="preserve">218. Six months after the adoption of decision No. 01-D-41, Le Chèque de Table became a member of the CRT and the historical issuers adopted the Protocol.  </w:t>
        <w:br/>
        <w:t xml:space="preserve">219. From the end of 2012, new issuers of restaurant vouchers in dematerialized form, Octoplus and Moneo, gradually appeared on the market.  </w:t>
        <w:br/>
        <w:t xml:space="preserve">220. These companies considered positioning themselves in the paper format by initiating discussions with the CRT to join it at the end of the first quarter of 2014151. However, these discussions ultimately did not lead to any outcome.  </w:t>
        <w:br/>
        <w:t xml:space="preserve">221. In 2016, France thus had eight issuers, whose corporate names as well as the brand of their paper and dematerialized securities are presented below:  </w:t>
        <w:br/>
        <w:t xml:space="preserve">Table 2 – Issuers of restaurant vouchers in France in 2016  </w:t>
        <w:br/>
        <w:t xml:space="preserve">Corporate Name              Paper Securities               Dematerialized Securities  </w:t>
        <w:br/>
        <w:t xml:space="preserve">Edenred France              Ticket Restaurant              Carte Ticket Restaurant  </w:t>
        <w:br/>
        <w:t xml:space="preserve">Up                           Chèque Déjeuner              Chèque Déjeuner  </w:t>
        <w:br/>
        <w:t xml:space="preserve">Natixis Intertitres         Chèque de Table              Apetiz  </w:t>
        <w:br/>
        <w:t xml:space="preserve">Sodexo Pass France         Pass Restaurant               Pass Restaurant  </w:t>
        <w:br/>
        <w:t xml:space="preserve">Moneo                      X                           Moneo Resto  </w:t>
        <w:br/>
        <w:t xml:space="preserve">Caisse Fédérale du Crédit  X                           Monetico Resto  </w:t>
        <w:br/>
        <w:t xml:space="preserve">Mutuel (hereinafter  </w:t>
        <w:br/>
        <w:t xml:space="preserve">"CFCM")  </w:t>
        <w:br/>
        <w:t xml:space="preserve">Digibon France             X                           lunchbonCard  </w:t>
        <w:br/>
        <w:t xml:space="preserve">Octoplus                   X                           Resto flash  </w:t>
        <w:br/>
        <w:t xml:space="preserve">Source: Competition Authority.  </w:t>
        <w:br/>
        <w:t>222. Since 2016, the Tribunal de Grande Instance de Strasbourg has pronounced the opening of the judicial liquidation of Digibon France (see paragraph 138) and Moneo has transferred the Moneo Resto brand to Edenred France (see paragraph 133). Finally, the company Lunchr also entered the market in January 2018 and offers a "4 corners" card backed by the MasterCard network152.</w:t>
      </w:r>
    </w:p>
    <w:p>
      <w:r>
        <w:rPr>
          <w:b/>
        </w:rPr>
        <w:t>[Pages 43–45]</w:t>
      </w:r>
    </w:p>
    <w:p>
      <w:r>
        <w:t xml:space="preserve">The market shares of issuers  </w:t>
        <w:br/>
        <w:t xml:space="preserve">223. The restaurant voucher sector is characterized by the consistency and strength of its growth since the early 2000s.  </w:t>
        <w:br/>
        <w:t xml:space="preserve">224. The following graph illustrates the stability of the growth of the restaurant voucher market since 2010, between 3.3% and 4.6% per year, and more generally since the beginning of the 2000s:  </w:t>
        <w:br/>
        <w:t xml:space="preserve">Graph 1 – Market of TR in terms of face value, billions of euros (current)  </w:t>
        <w:br/>
        <w:t xml:space="preserve">Source: CNTR website (http://www.cntr.fr/V2/guide/tr_chiffres.php).  </w:t>
        <w:br/>
        <w:t xml:space="preserve">225. In its decision No. 01-D-41, the Council already identified a similar trend during the 1990s: "the market is characterized by a growth of around 4.5% per year."  </w:t>
        <w:br/>
        <w:t xml:space="preserve">226. In addition to the regular and strong growth of the sector since the early 1990s, the stability of the market shares of its players is also noteworthy. In the aforementioned decision, the Council noted that the market shares of the different issuers were "particularly stable" and, in this sense, that between "(...) the years 1996 to 1998, the most significant change in market share, which concerned the company Sodexho, was only 0.45 points."  </w:t>
        <w:br/>
        <w:t xml:space="preserve">227. While the cumulative market share of the four historical issuers, calculated based on the total face value issued by the issuers, across all media, has been stable since 2010, i.e. 100% in 2010 and approximately 98.5% in 2016, it is observed that Natixis Intertitres has seen its market share increase by nearly 5 percentage points, rising from just over 11% in 2010 to just over 16% in 2016, as illustrated by the graph below:  </w:t>
        <w:br/>
        <w:t xml:space="preserve">Graph 2 – Annual market shares of the issuers involved in the TR market  </w:t>
        <w:br/>
        <w:t xml:space="preserve">40.0%  </w:t>
        <w:br/>
        <w:t xml:space="preserve">35.0%  </w:t>
        <w:br/>
        <w:t xml:space="preserve">30.0%  </w:t>
        <w:br/>
        <w:t xml:space="preserve">25.0%  </w:t>
        <w:br/>
        <w:t xml:space="preserve">20.0%  </w:t>
        <w:br/>
        <w:t xml:space="preserve">15.0%  </w:t>
        <w:br/>
        <w:t xml:space="preserve">10.0%  </w:t>
        <w:br/>
        <w:t xml:space="preserve">5.0%  </w:t>
        <w:br/>
        <w:t xml:space="preserve">0.0%  </w:t>
        <w:br/>
        <w:t xml:space="preserve">2010 2011 2012 2013 2014 2015 2016  </w:t>
        <w:br/>
        <w:t xml:space="preserve">UP EDENRED FRANCE NATIXIS INTERTITRES SODEXO PASS FRANCE  </w:t>
        <w:br/>
        <w:t xml:space="preserve">Source: Data provided by the issuers (see references cited in the table in 15/0092 F – reference 10 426).  </w:t>
        <w:br/>
        <w:t xml:space="preserve">The calculation was carried out in three steps: (1) calculation of the total face value issued each year by each issuer, across all media, (2) calculation of the total annual face value issued, equal to the sum of the face values calculated above by all issuers, and (3) calculation of individual market shares, and the cumulative market share of the four issuers involved in this case.  </w:t>
        <w:br/>
        <w:t xml:space="preserve">228. However, it is important to put the progress of Natixis Intertitres into perspective. Indeed, the changes remain relatively slow: for the latter, this corresponds to +0.8 points per year on average between 2010 and 2016; for its competitors, this represents, over 6 years, a loss of between approximately 1 and 4 points of market share or between 0.2 and 0.5 points per year on average.  </w:t>
        <w:br/>
        <w:t xml:space="preserve">229. Furthermore, the average amount of the restaurant voucher issued (i.e. the ratio between the total face value issued and the total number of vouchers issued), as well as its evolution since 2010, appears very homogeneous among the four member-shareholders and reflects the low differentiation of the issuers:  </w:t>
        <w:br/>
        <w:t xml:space="preserve">Graph 3 – Average amount of the restaurant voucher issued, current euros  </w:t>
        <w:br/>
        <w:t xml:space="preserve">10.00  </w:t>
        <w:br/>
        <w:t xml:space="preserve">8.00  </w:t>
        <w:br/>
        <w:t xml:space="preserve">6.00  </w:t>
        <w:br/>
        <w:t xml:space="preserve">4.00  </w:t>
        <w:br/>
        <w:t xml:space="preserve">2.00  </w:t>
        <w:br/>
        <w:t xml:space="preserve">-  </w:t>
        <w:br/>
        <w:t xml:space="preserve">2010 2011 2012 2013 2014 2015 2016  </w:t>
        <w:br/>
        <w:t xml:space="preserve">UP EDENRED FRANCE NATIXIS INTERTITRES SODEXO PASS FRANCE  </w:t>
        <w:br/>
        <w:t xml:space="preserve">Source: Data provided by the issuers (see references cited in the table in 15/0092 F – reference 10 426).  </w:t>
        <w:br/>
        <w:t xml:space="preserve">The calculation was carried out according to the following method: the average annual amount of the restaurant voucher issued is here equal, for a given year and issuer, to the ratio between (a) the annual number of restaurant vouchers issued, across all media, and (b) the annual face value issued, across all media.  </w:t>
        <w:br/>
        <w:t xml:space="preserve">230. This stability of market shares over time can be partly explained by the high degree of inertia in the market with a low customer turnover rate (see paragraphs 192 to 194) and a low competitive intensity on the part of the issuers.  </w:t>
        <w:br/>
        <w:t xml:space="preserve">e) The low dematerialization of restaurant vouchers  </w:t>
        <w:br/>
        <w:t xml:space="preserve">231. Despite certain undeniable advantages, particularly regarding management and processing costs, potentially much lower than those associated with paper vouchers (i.e. printing, delivery, handover, reading, processing, storage, destruction), dematerialized vouchers represented in 2016 only a small share of the total face value issued, about 7%.  </w:t>
        <w:br/>
        <w:t xml:space="preserve">232. The explanatory elements gathered during the investigation concern a certain reluctance of beneficiaries towards this new medium, whose use is less "flexible" than that of paper vouchers, the technical constraints that the acceptance of dematerialized vouchers imposes on affiliates, and the legal uncertainty regarding the possibility of issuing dematerialized vouchers, prior to the publication of the 2014 decree153.  </w:t>
        <w:br/>
        <w:t xml:space="preserve">233. On this last point, the Authority notes, however, that even before the publication of said decree, steps for the launch of dematerialized vouchers on the market had been initiated.  </w:t>
        <w:br/>
        <w:t xml:space="preserve">234. Indeed, and first of all, as early as 2002, the CRT informed the DGCCRF of its desire to experiment with a dematerialized electronic medium. Following a meeting between the CRT and the DGCCRF on July 18, 2002, the latter gave its approval, on October 1, 2002, for the experimentation of a card "dedicated to restaurant voucher transactions" and which could "be read on the most common payment terminal format among merchants"154. The DGCCRF also indicated in a letter to the CRT that this experimentation should be implemented "in light of the regulations on restaurant vouchers"155.  </w:t>
        <w:br/>
        <w:t xml:space="preserve">153 15/0092 F – references 1 733, 1 734, 1 074, 1 075, 1 363, 1 364, 1 408 and 1 409; 15/0093 M – references 824, 825, 888, 946, 1 020, 1 791, 2 300, 2 180, 1 916 and 2 286.  </w:t>
        <w:br/>
        <w:t xml:space="preserve">154 15/0092 F – reference 11 549.  </w:t>
        <w:br/>
        <w:t>155 15/0092 F – reference 11 549.</w:t>
      </w:r>
    </w:p>
    <w:p>
      <w:r>
        <w:rPr>
          <w:b/>
        </w:rPr>
        <w:t>[Pages 46–48]</w:t>
      </w:r>
    </w:p>
    <w:p>
      <w:r>
        <w:t xml:space="preserve">235. Secondly, in an internal note dated June 25, 2009, Accor Services France, holder of the restaurant voucher activity transferred in 2010 to Edenred, analyzes the risks associated with the launch of a dematerialized voucher solution, in response to the launch by a competitor of such a solution156.  </w:t>
        <w:br/>
        <w:t xml:space="preserve">236. Thirdly, in a presentation on June 10, 2010, four years before the publication of the aforementioned decree, Edenred France mentions a project called "À la carte," consisting of the launch of a dematerialized solution by Edenred France in response to the entry of a Spanish operator, Buen Menu, into the market157.  </w:t>
        <w:br/>
        <w:t xml:space="preserve">237. Edenred France emphasizes that the application of the regulation on restaurant vouchers to the dematerialized vouchers considered by the company (i.e., an "open loop filtered card") "highlights contradictions with the letter of the texts, associated with a low risk of sanction" (i.e., the "reintegration of exemptions" and "fines for violations").  </w:t>
        <w:br/>
        <w:t xml:space="preserve">238. It also highlights, in a slide titled "three regulatory points can be leveraged within the framework of a lobbying strategy and/or slowing down the penetration of BM-FR (Buen Menu) in the market," certain regulatory obstacles that could be raised against Buen Menu for the launch of its dematerialized voucher and in response the possible compliance for Buen Menu to meet said obligations.  </w:t>
        <w:br/>
        <w:t xml:space="preserve">239. Finally, Edenred emphasizes that "other regulatory provisions can be implemented in the spirit, in the absence of strict compliance with the texts"158.  </w:t>
        <w:br/>
        <w:t xml:space="preserve">240. Fourthly, in 2011, Buen Menu published a press release, picked up by a dispatch from the Agence France Presse, announcing its arrival in the restaurant voucher market in France, through the marketing of a dematerialized card called "Bon Menu": "(...) following the presentation of the COPEL Group to the National Commission of Restaurant Vouchers (CNTR) on February 11, 2011, your Group is pleased to announce its arrival in France with one of its products, the Bon Menu card"159.  </w:t>
        <w:br/>
        <w:t xml:space="preserve">241. Fifthly, as indicated in paragraphs 131 and 139, the two issuers Octoplus and Moneo launched their dematerialized vouchers respectively in October 2012 (Resto Flash) and in November 2012 (Moneo Resto).  </w:t>
        <w:br/>
        <w:t xml:space="preserve">242. Finally, and sixthly, Edenred France launched its own dematerialized vouchers at the end of 2013 "on an experimental basis."  </w:t>
        <w:br/>
        <w:t xml:space="preserve">f) Conclusion  </w:t>
        <w:br/>
        <w:t xml:space="preserve">243. The dynamics of the TR sector is marked by the slow progression of the number of TR issuers since its creation. While new issuers of dematerialized vouchers have emerged since 2012, they still represent only a small share of TR issuance. Moreover, dematerialized vouchers still account for only a small share of the total face value issued.  </w:t>
        <w:br/>
        <w:t xml:space="preserve">244. In addition to its pricing transparency, in terms of acceptance, the sector is also marked by the stability of market shares of the various issuers, with the exception of the slow and steady growth of Natixis Intertitres over the past twenty years.  </w:t>
        <w:br/>
        <w:t xml:space="preserve">245. Finally, the CRT plays a fundamental role in the development of the paper voucher activity and incidentally of dematerialized vouchers.  </w:t>
        <w:br/>
        <w:t xml:space="preserve">C. THE PRACTICES DENOUNCED  </w:t>
        <w:br/>
        <w:t xml:space="preserve">246. The Authority emphasizes that the instruction services proposed the rejection of the practices denounced by the company Octoplus, the SNRTC, the SNRPO, and the CPIH (hereinafter, taken together, "the complainants") in their respective submissions for lack of sufficiently probative elements within the meaning of the second paragraph of Article L. 462-8 of the Commercial Code.  </w:t>
        <w:br/>
        <w:t>247. The table below summarizes all the practices denounced by the complainants:</w:t>
      </w:r>
    </w:p>
    <w:p>
      <w:r>
        <w:t xml:space="preserve">Table 3 - Synopsis of the denounced practices  </w:t>
        <w:br/>
        <w:t xml:space="preserve">Practices  </w:t>
        <w:br/>
        <w:t xml:space="preserve">Concerted change of pricing policy towards restaurateurs and client companies160  </w:t>
        <w:br/>
        <w:t xml:space="preserve">1 Pricing policy  </w:t>
        <w:br/>
        <w:t xml:space="preserve">Increase and exorbitant nature of commission rates on acceptance161  </w:t>
        <w:br/>
        <w:t xml:space="preserve">Existence of surcharges and additional pricing162  </w:t>
        <w:br/>
        <w:t xml:space="preserve">2 Collective launch of the "4 corners" cards163  </w:t>
        <w:br/>
        <w:t xml:space="preserve">3 Anticompetitive nature of the "3 corners" cards164  </w:t>
        <w:br/>
        <w:t xml:space="preserve">4 Distortion of competition of a fiscal nature165  </w:t>
        <w:br/>
        <w:t xml:space="preserve">5 Other practices  </w:t>
        <w:br/>
        <w:t xml:space="preserve">Tied selling between paper vouchers and denounced dematerialized vouchers166  </w:t>
        <w:br/>
        <w:t xml:space="preserve">Commission deductions related to dematerialized vouchers on reimbursements related to paper vouchers167  </w:t>
        <w:br/>
        <w:t xml:space="preserve">Disparagement of the Resto Flash solution by historical issuers168  </w:t>
        <w:br/>
        <w:t xml:space="preserve">Refusal of access to inter-company restaurants of the Sodexo group169  </w:t>
        <w:br/>
        <w:t xml:space="preserve">Forced affiliation to the CRT170  </w:t>
        <w:br/>
        <w:t xml:space="preserve">Lack of information on the "21-day rate"171  </w:t>
        <w:br/>
        <w:t xml:space="preserve">160 15/0092 F – cotes 50 to 54.  </w:t>
        <w:br/>
        <w:t xml:space="preserve">161 16/0097 F – cote 85.  </w:t>
        <w:br/>
        <w:t xml:space="preserve">162 16/0097 F – cote 85.  </w:t>
        <w:br/>
        <w:t xml:space="preserve">163 15/0092 F – cotes 54 to 67.  </w:t>
        <w:br/>
        <w:t xml:space="preserve">164 15/0092 F – cotes 67 to 77.  </w:t>
        <w:br/>
        <w:t xml:space="preserve">165 16/0097 F – cote 85.  </w:t>
        <w:br/>
        <w:t xml:space="preserve">166 15/0092 F – cotes 54 to 67.  </w:t>
        <w:br/>
        <w:t xml:space="preserve">167 16/0097 F – cote 85.  </w:t>
        <w:br/>
        <w:t xml:space="preserve">168 15/0092 F – cotes 77 to 78.  </w:t>
        <w:br/>
        <w:t xml:space="preserve">169 15/0092 F – cotes 78 to 80.  </w:t>
        <w:br/>
        <w:t xml:space="preserve">170 16/0097 F – cote 85.  </w:t>
        <w:br/>
        <w:t>171 16/0097 F – cote 85.</w:t>
      </w:r>
    </w:p>
    <w:p>
      <w:r>
        <w:rPr>
          <w:b/>
        </w:rPr>
        <w:t>[Pages 49–51]</w:t>
      </w:r>
    </w:p>
    <w:p>
      <w:r>
        <w:t xml:space="preserve">1. PRICING PRACTICES  </w:t>
        <w:br/>
        <w:t xml:space="preserve">a) The change in pricing policy towards restaurateurs and client companies  </w:t>
        <w:br/>
        <w:t xml:space="preserve">248. The complainant Octoplus denounces the gradual shift, in parallel, of the pricing structure of the implicated issuers, from the issuance side, on which commission rates are decreasing, to the acceptance side, on which commission rates are increasing (see paragraphs 176 and following).  </w:t>
        <w:br/>
        <w:t xml:space="preserve">249. Thus, the high commission rates on the acceptance side of the four issuers would result from the elimination of any competition among them on this side of the market and allow them to charge, on the issuance side, "very low rates, even zero or negative172".  </w:t>
        <w:br/>
        <w:t xml:space="preserve">b) The increase and exorbitant nature of commission rates on the acceptance side  </w:t>
        <w:br/>
        <w:t xml:space="preserve">250. The complainants SNRPO, SNRTC, and CPIH note "an exponential increase in commissions paid by restaurateurs to issuers and to the CRT (referred to as 'TR commissions'): +119% between 2005 and 2014 compared to a consumer price increase of +16% over the same period," even though "[t]his constant increase in rates is not accompanied by the introduction of new services or improvements to existing ones"173.  </w:t>
        <w:br/>
        <w:t xml:space="preserve">251. The supplementary complaint from the restaurateurs' unions further deems the "commission rates [on the acceptance side] exorbitant"174.  </w:t>
        <w:br/>
        <w:t xml:space="preserve">252. The supplementary complaint specifies that the practice denounced could be classified as collusion, or as an abuse of a dominant position, in the form of exploitative abuse (i.e. "economic dependence") or exclusionary abuse (i.e. "predatory pricing").  </w:t>
        <w:br/>
        <w:t xml:space="preserve">c) The existence of overpricing and additional pricing  </w:t>
        <w:br/>
        <w:t xml:space="preserve">253. The supplementary complaint from the restaurateurs' unions denounces, on the one hand, the existence of overpricing by the issuers related notably to the terms of discounts, settlement fees, or the reimbursement circuit, i.e. "1% via collection centers, €1 by bank transfer, +2% for the default 7-day circuit," and on the other hand, the billing of certain costs related to the deployment of the Conecs solution175.  </w:t>
        <w:br/>
        <w:t xml:space="preserve">2. THE COLLECTIVE LAUNCH OF THE "4 COINS" CARDS  </w:t>
        <w:br/>
        <w:t xml:space="preserve">254. Octoplus believes that the "first generation card [4 coins card] is (...) the result of an agreement among the four historical issuers176," materialized by the "collective choice of all historical issuers, via the CRT, to adopt the same technological solution consisting of using the bank card network and then to affiliate together to the Groupement Carte Bancaire," which would have "reduced their competitive autonomy in technological matters"177.  </w:t>
        <w:br/>
        <w:t xml:space="preserve">255. This decision for a collective launch would also have been accompanied by a collective communication, via the CRT, promoting the "4 coins" cards of its member-shareholders.  </w:t>
        <w:br/>
        <w:t xml:space="preserve">3. THE ANTICOMPETITIVE NATURE OF THE "3 COINS" CARDS  </w:t>
        <w:br/>
        <w:t xml:space="preserve">256. Octoplus considers that the cooperation of the four historical issuers through the company Conecs constitutes an anticompetitive practice. It believes that Conecs has "three objectives, one of defining a common standard in terms of interoperability, another of jointly operating a technical platform, and finally a joint promotion178," and that it "has given rise, through the pooling of costs of the four historical issuers, to a genuine cooperation among them for the promotion and acceptance of their dematerialized titles, whereas dematerialization should normally have led the historical issuers to offer differentiated products, had they sought to engage in genuine competition in the market179." It also questions Conecs' role as an interlocutor with large retailers.  </w:t>
        <w:br/>
        <w:t xml:space="preserve">4. THE FISCAL COMPETITION DISTORTION  </w:t>
        <w:br/>
        <w:t xml:space="preserve">257. In the supplementary complaint from the restaurateurs' unions, reference is made to a distortion of competition concerning large and medium-sized retailers (hereinafter "GMS")180, particularly in connection with the difference between the VAT rate to which their members are subject (i.e. 10%) on the one hand, and the rate (i.e. 5.5%) to which certain food products paid for with restaurant vouchers are subject181.  </w:t>
        <w:br/>
        <w:t xml:space="preserve">5. OTHER PRACTICES  </w:t>
        <w:br/>
        <w:t xml:space="preserve">a) Tied selling between paper titles and dematerialized titles  </w:t>
        <w:br/>
        <w:t xml:space="preserve">258. Octoplus considers that the historical issuers have established a tied selling mechanism between paper and dematerialized titles. It indeed indicates that "the fact of subordinating the acceptance of general terms of use to the first use of a TPE by a customer of the restaurateur and providing that the commissions due for this card will be deducted from the reimbursements of paper titles by the CRT constitutes a tied sale between the acceptance of paper titles and electronic titles182."  </w:t>
        <w:br/>
        <w:t xml:space="preserve">259. The supplementary complaint from the restaurateurs also denounces the fact that certain commissions due on dematerialized titles are deducted from the amounts to be reimbursed for the discounts on paper titles on the one hand, and, on the other hand, "the absence of any contractualization of the relationship between the restaurant voucher issuers, directly or via the CRT, and the 'affiliates'," which would constitute "a characterized abuse of economic dependence"183.  </w:t>
        <w:br/>
        <w:t xml:space="preserve">260. Octoplus further specifies that the link between paper and dematerialized titles "results both from, on the one hand, the attachment of restaurant cards to the bank card network which obliges merchants to accept them and, on the other hand, the mandatory compensation imposed by each issuer (...) between paper reimbursements and reimbursements of electronic titles"184, which would contractually link the two products.  </w:t>
        <w:br/>
        <w:t xml:space="preserve">261. Finally, Octoplus specifies that the four issuers "do not hesitate to use paper commissions as a negotiation lever"185. It cites as an example a statement from the SNRTC: "it is the choice of reason for the SNRTC which wanted above all to secure the rates of the paper title in 2015 for its member companies, because to do so, the condition set by the issuers was an agreement on the rates of dematerialized titles"186.  </w:t>
        <w:br/>
        <w:t xml:space="preserve">b) The denigration of the Resto Flash solution by historical issuers  </w:t>
        <w:br/>
        <w:t xml:space="preserve">262. Octoplus accuses the historical issuers of denigrating it: "Resto Flash has also been informed by numerous client companies that the 4 historical issuers had initiated a collective campaign of denigration against it187."  </w:t>
        <w:br/>
        <w:t xml:space="preserve">263. To support its claim, Octoplus provides various attestations from its President, its General Director, and one of its sales managers, reporting the content of certain remarks, "which have multiplied since September 2015"188, allegedly made by certain issuers. These statements relate notably to the alleged illegality of the Resto Flash solution, at the very least the expression of doubts regarding its compatibility with applicable regulations, the abrupt nature of certain breaks in commercial prospecting exchanges, or even the pressures exerted on certain affiliates to accept the Conecs solution.  </w:t>
        <w:br/>
        <w:t>264. Furthermore, Octoplus claims that Edenred France would have, during a conference call of the CNTR on December 11, 2015, attended by all issuers except Digibon France, made the following remarks: "[addressing the President of Octoplus] Stop bothering us</w:t>
      </w:r>
    </w:p>
    <w:p>
      <w:r>
        <w:rPr>
          <w:b/>
        </w:rPr>
        <w:t>[Pages 52–54]</w:t>
      </w:r>
    </w:p>
    <w:p>
      <w:r>
        <w:t>emmerder with the paper, you are the first to be in illegality, just look at your site, you allow the use of multiple phones, you have nothing to say about the paper or you will hear from us"189.</w:t>
      </w:r>
    </w:p>
    <w:p>
      <w:r>
        <w:t>265. Furthermore, Octoplus reports the "harshness/violence" exhibited by certain prospects: "at the order of (...), I will not meet you today or tomorrow"190 and "I am sorry but my management has informed me that they do not wish to meet you"191 for one, and for another, "it is out of the question to talk to you"192.</w:t>
      </w:r>
    </w:p>
    <w:p>
      <w:r>
        <w:t>266. Octoplus also reports the existence of "real pressure from Conecs on restaurant brands to integrate their system to the detriment of others"193.</w:t>
      </w:r>
    </w:p>
    <w:p>
      <w:r>
        <w:t>267. Finally, Octoplus reports the existence of threats, "notably (...) brandished to the acceptors of the GMS," "of an increase in the level of commissions on paper vouchers in case of refusal to accept the CONECS dematerialized vouchers, in order to compensate for the loss of earnings, even mentioning a possible cut-off of paper voucher flows to brands that refuse to accept these Conecs vouchers"194.</w:t>
      </w:r>
    </w:p>
    <w:p>
      <w:r>
        <w:t>c) The refusal of access to the group Sodexo's inter-company restaurants</w:t>
        <w:br/>
        <w:t>268. Octoplus complains that Sodexo would have denied it access to the inter-company restaurants (hereinafter "RIE") of its group, that is to say the possibility for holders of dematerialized Resto flash vouchers to pay for their meals in said restaurants. The complainant specifies that this practice would contribute, given the strategic importance of the sites concerned for its development, to reinforce its exclusion from the restaurant voucher market.</w:t>
      </w:r>
    </w:p>
    <w:p>
      <w:r>
        <w:t>269. The complainant Octoplus claims to have been denied access to three RIE of the Sodexo group, without these refusals being justified, and provides in support of this allegation exchanges of emails on the one hand between the company Octoplus and potential affiliates of Octoplus, and on the other hand between Octoplus and the Sodexo group that manages the RIE for which access was requested by Resto flash.</w:t>
      </w:r>
    </w:p>
    <w:p>
      <w:r>
        <w:t>270. Furthermore, the complainant Octoplus claims that Sodexo would only accept the vouchers from the four implicated issuers in its RIE.</w:t>
      </w:r>
    </w:p>
    <w:p>
      <w:r>
        <w:t>d) Forced affiliation to the CRT</w:t>
        <w:br/>
        <w:t>271. The complainants SNRPO and SNRTC denounce the fact that they are forced to be affiliated with the CRT in order to accept paper restaurant vouchers and have their equivalent reimbursed. Thus, during their hearing on January 10, 2017, the complainants SNRPO and SNRTC indicated that "a restaurateur must go through the CRT to be paid in TR [restaurant vouchers]. There is a package that the restaurateur must accept, the affiliation being notably paid (65 euros)"195.</w:t>
      </w:r>
    </w:p>
    <w:p>
      <w:r>
        <w:t>e) The lack of information "21-day rate"</w:t>
        <w:br/>
        <w:t>272. The complainants SNRPO and SNRTC assert that affiliates are not informed of the existence of the "21-day" reimbursement circuits, which have a longer reimbursement time than the standard circuit (i.e. "7 days"), and whose affiliated commissions are consequently lower.</w:t>
      </w:r>
    </w:p>
    <w:p>
      <w:r>
        <w:t>273. Thus, the complainants SNRPO and SNRTC stated during their hearing on January 10, 2017, that "new affiliates are automatically registered at the '7 days' rate, the information regarding the '21 days' rate not being communicated to them. Until 2014, there was no access to the CRT's pricing grid." Furthermore, regarding the conditions for changing the reimbursement circuit, according to the restaurateurs' unions, "[a letter] registered RAR, response time of two to three months (to be verified), new membership form, and there is a cost."196</w:t>
      </w:r>
    </w:p>
    <w:p>
      <w:r>
        <w:t>274. The SNRTC and the SNRPO also specified during the aforementioned hearing that "[i]t is an official rate [i.e. 'the 21-day rate'], the first to have existed and which concerns the TRP. It was at the request of restaurateurs that a short circuit '7 days', but with higher commissions, was established."197.</w:t>
      </w:r>
    </w:p>
    <w:p>
      <w:r>
        <w:t>D. OBSERVED PRACTICES</w:t>
        <w:br/>
        <w:t>1. INFORMATION EXCHANGES BETWEEN MEMBER-SHAREHOLDERS</w:t>
        <w:br/>
        <w:t>275. It appears from the case files that the CRT transmitted to the administrative and financial directors of its member-shareholders (hereinafter "DAF issuers") "dashboard" reports of market shares relating to the number of vouchers processed by the CRT for each of its member-shareholders.</w:t>
      </w:r>
    </w:p>
    <w:p>
      <w:r>
        <w:t>276. Thus, during his hearing on June 13, 2017, Mr. X..., General Director of CRT T, stated that: "every month, the CRT justified the proper monitoring of the budget against the actual, compared to the forecast (budget monitoring): the communication methods have not changed (i.e. addressed to the DAF of the issuers). The cost distribution [was] carried out by a monthly call for funds. Only the 10%-90% rule changed and became direct and indirect costs. Furthermore, for informational purposes, [the Administrative and Financial Director of the CRT] sent by email, the tables with the number of vouchers processed for each issuer every month, 'since always'"198 (emphasis added).</w:t>
      </w:r>
    </w:p>
    <w:p>
      <w:r>
        <w:t>277. This statement is corroborated by the emails sent by CRT T to the investigation services, which attest that, between July 2010 and July 2013, the CRT simultaneously sent to the DAF issuers, at the beginning of each month, an email to which was attached a file containing, among other things, the number of restaurant vouchers processed, the previous month, on behalf of each issuer. The following table summarizes twenty-seven emails communicated to the Authority:</w:t>
      </w:r>
    </w:p>
    <w:p>
      <w:r>
        <w:t>Table 4 – Inventory of monthly "Market Share Tables" emails sent by the CRT to DAF issuers199</w:t>
        <w:br/>
        <w:t>2010 2011 2012 2013</w:t>
        <w:br/>
        <w:t>January X X</w:t>
        <w:br/>
        <w:t>February X X X</w:t>
        <w:br/>
        <w:t>March X X X</w:t>
        <w:br/>
        <w:t>April X X</w:t>
        <w:br/>
        <w:t>May X X</w:t>
        <w:br/>
        <w:t>June X</w:t>
        <w:br/>
        <w:t>July X X X X</w:t>
        <w:br/>
        <w:t>August X X</w:t>
        <w:br/>
        <w:t>September X X X</w:t>
        <w:br/>
        <w:t>October X</w:t>
        <w:br/>
        <w:t>November X X</w:t>
        <w:br/>
        <w:t>December X X</w:t>
        <w:br/>
        <w:t>Source: Competition Authority.</w:t>
      </w:r>
    </w:p>
    <w:p>
      <w:r>
        <w:t>278. As illustrated by the table 3 below, the aforementioned dashboards recorded, among other things, the number of paper vouchers processed by the CRT in the month preceding the communication of said dashboards, disaggregated at the issuer level, as well as the monthly market shares of each issuer calculated from the number of vouchers processed.</w:t>
      </w:r>
    </w:p>
    <w:p>
      <w:r>
        <w:rPr>
          <w:b/>
        </w:rPr>
        <w:t>[Pages 55–57]</w:t>
      </w:r>
    </w:p>
    <w:p>
      <w:r>
        <w:t xml:space="preserve">Figure 4 – Example of "Dashboard" sent to issuers200  </w:t>
        <w:br/>
        <w:t xml:space="preserve">Legend: TR Securities = restaurant vouchers; CD = Lunch Check (issued by Up); CDT = Table Check (issued by Natixis Intertitres); CR = Restaurant Check (issued by Sodexo Pass France, now called Pass restaurant); TR = Ticket Restaurant (issued by Edenred France).  </w:t>
        <w:br/>
        <w:t xml:space="preserve">279. At the geographical level, the data transmitted related to the number of securities processed on national territory, with further disaggregation between the mainland on one hand, and the departments, regions, or overseas territories on the other201.  </w:t>
        <w:br/>
        <w:t xml:space="preserve">280. Furthermore, the tables communicated contained retrospective information: first, the number of securities processed issued by each issuer and the subsequent individual monthly market shares for the last six months; second, the data from the last three calendar years; finally, the cumulative monthly data on one hand since January 1 of the current year, and on the other hand during the last twelve months202.  </w:t>
        <w:br/>
        <w:t xml:space="preserve">281. Beyond the monthly frequency of these communications, the elements of the file on this point show that the delay between the date of data update by the CRT on one hand, and the date of their transmission to the member-shareholders on the other hand, was short.  </w:t>
        <w:br/>
        <w:t xml:space="preserve">282. Thus, with reference to the "PDM Dashboards," the administrative and financial director of the CRT indicated in an internal email dated July 5, 2010, that, "before the 5th of the month, I send this table representing the market share [part de marché] of each issuer"203. This information is corroborated by the fact that twenty-three of the twenty-seven aforementioned emails were sent no later than the 5th of the month following the date of data update regarding the number of securities processed, which is summarized in the following table:  </w:t>
        <w:br/>
        <w:t xml:space="preserve">200 15/0092 F – reference 5 826.  </w:t>
        <w:br/>
        <w:t xml:space="preserve">201 For example, see 15/0092 F – references 5 826, 3067, and 3068.  </w:t>
        <w:br/>
        <w:t xml:space="preserve">202 For example, see 15/0092 F – references 5 826 to 5 832 and 3 085 to 3 092.  </w:t>
        <w:br/>
        <w:t>203 15/0092 F – reference 9 997.</w:t>
      </w:r>
    </w:p>
    <w:p>
      <w:r>
        <w:t xml:space="preserve">Table 5 – Date of sending emails "Issuer PDM Dashboards"204  </w:t>
        <w:br/>
        <w:t xml:space="preserve">2010 2011 2012 2013  </w:t>
        <w:br/>
        <w:t xml:space="preserve">January 07/01 03/01  </w:t>
        <w:br/>
        <w:t xml:space="preserve">February 03/02 03/02 05/02  </w:t>
        <w:br/>
        <w:t xml:space="preserve">March 04/03 06/03 04/03  </w:t>
        <w:br/>
        <w:t xml:space="preserve">April 03/04 04/04  </w:t>
        <w:br/>
        <w:t xml:space="preserve">May 04/05 02/05 03/05  </w:t>
        <w:br/>
        <w:t xml:space="preserve">June 05/06  </w:t>
        <w:br/>
        <w:t xml:space="preserve">July 05/07 07/07 03/07 02/07  </w:t>
        <w:br/>
        <w:t xml:space="preserve">August 03/08 02/08  </w:t>
        <w:br/>
        <w:t xml:space="preserve">September 03/09 06/09 05/09  </w:t>
        <w:br/>
        <w:t xml:space="preserve">October 05/10  </w:t>
        <w:br/>
        <w:t xml:space="preserve">November 04/11 05/11  </w:t>
        <w:br/>
        <w:t xml:space="preserve">December 02/12 05/12  </w:t>
        <w:br/>
        <w:t xml:space="preserve">Source: Competition Authority.  </w:t>
        <w:br/>
        <w:t xml:space="preserve">283. Finally, in the context of meetings of the CRT office, composed of 4 members, one for each member-shareholder (see Article XI, first paragraph of the Articles of Association205), data relating to the individual market shares of the issuers were also communicated to the members of said office206.  </w:t>
        <w:br/>
        <w:t xml:space="preserve">284. Also during his hearing, Mr. X..., General Director of CRT T, stated that: "[s]ince January 1, 2016, information regarding the number of securities processed by each issuer is no longer sent. Only the comparative table between the forecast and the actual direct and indirect costs, based on the total number of securities processed, is sent every month"207 (emphasis added).  </w:t>
        <w:br/>
        <w:t xml:space="preserve">285. These statements are corroborated by an internal email from the CRT dated January 5, 2017, in which the following mention is found, referring to the market share tables: "Please do not transmit anything directly to the issuers"208.  </w:t>
        <w:br/>
        <w:t xml:space="preserve">204 15/0092 F – references 9 969 to 9 995.  </w:t>
        <w:br/>
        <w:t xml:space="preserve">205 15/0093 M – reference 1 582 (Articles of Association updated on June 15, 2011); 15/0092 F – reference 4 134 (Articles of Association dated February 11, 2002).  </w:t>
        <w:br/>
        <w:t xml:space="preserve">206 15/0092 F – references 8 450 to 8 453 and 5 819.  </w:t>
        <w:br/>
        <w:t xml:space="preserve">207 15/0092 F – reference 5 834.  </w:t>
        <w:br/>
        <w:t>208 15/0092 F – reference 9 996.</w:t>
      </w:r>
    </w:p>
    <w:p>
      <w:r>
        <w:t xml:space="preserve">2. THE PROVISIONS RELATING TO THE OPERATION OF THE CRT  </w:t>
        <w:br/>
        <w:t xml:space="preserve">286. It appears from the file that through the Articles of Association, the Protocol, and the Internal Regulations, the member-shareholders have established and/or agreed to comply with various operational rules of the CRT, notably those concerning:  </w:t>
        <w:br/>
        <w:t xml:space="preserve">- the conditions for entry and exit of their common entity (a);  </w:t>
        <w:br/>
        <w:t xml:space="preserve">- the conditions for access to CRT services by third parties (b);  </w:t>
        <w:br/>
        <w:t xml:space="preserve">- the obligation to process their restaurant vouchers only through the CRT (c); as well as  </w:t>
        <w:br/>
        <w:t xml:space="preserve">- the prohibition for member-shareholders to develop a system for accepting dematerialized securities outside of the CRT (d).  </w:t>
        <w:br/>
        <w:t xml:space="preserve">a) The conditions for entry and exit of the CRT  </w:t>
        <w:br/>
        <w:t xml:space="preserve">The entry conditions  </w:t>
        <w:br/>
        <w:t xml:space="preserve">287. As indicated in the Articles of Association, four cumulative conditions are required for the entry of a new member-shareholder: "- be a legal entity whose main activity consists of issuing "RESTAURANT VOUCHERS," on any medium whatsoever, - be presented by a member-shareholder of the Association [i.e., the CRT], - be approved by the Board of Directors, - adhere to these Articles of Association." (see Article VI of the Articles of Association209, to which Article 15.1 of the CRT Internal Regulations refers210).  </w:t>
        <w:br/>
        <w:t xml:space="preserve">288. Furthermore, while it is indicated in the Articles of Association that the Board of Directors has the power to "decide on the admission or exclusion of Shareholders" (see Article X), it should be noted that there is an absence, in the Articles of Association, of additional details regarding the decision-making procedures for the admission of a new member by the Board of Directors on one hand, and, on the other hand, regarding any entry and exit fees211.  </w:t>
        <w:br/>
        <w:t xml:space="preserve">289. These procedures are partially specified in the CRT Internal Regulations212. It indicates first that an entry fee is possible (Article 13, second paragraph)213. The amount of this entry fee, determined by a formula, may be reduced by decision of the CRT Board of Directors "to take into account the contributions made by the new Member upon joining the association or their particular situation regarding the importance of their activity" (Article 15.4, fourth and fifth paragraphs)214.  </w:t>
        <w:br/>
        <w:t xml:space="preserve">290. Furthermore, the decision of the CRT Board of Directors regarding admission or rejection "is not subject to appeal and does not need to be justified," and "[t]he admission decision is made 209 15/0092 F – reference 4 132 (Articles of Association updated on June 15, 2011); 15/0093 M – reference 1 580 (Articles of Association dated February 11, 2002).  </w:t>
        <w:br/>
        <w:t xml:space="preserve">210 15/0093 M – reference 1 598.  </w:t>
        <w:br/>
        <w:t xml:space="preserve">211 15/0092 F – reference 4 132 (Articles of Association updated on June 15, 2011); 15/0093 M – reference 1 582 (Articles of Association dated February 11, 2002).  </w:t>
        <w:br/>
        <w:t xml:space="preserve">212 15/0092 F – reference 10 179.  </w:t>
        <w:br/>
        <w:t xml:space="preserve">213 15/0093 M – reference 1 597.  </w:t>
        <w:br/>
        <w:t>214 15/0093 M – reference 1 600.</w:t>
      </w:r>
    </w:p>
    <w:p>
      <w:r>
        <w:rPr>
          <w:b/>
        </w:rPr>
        <w:t>[Pages 58–60]</w:t>
      </w:r>
    </w:p>
    <w:p>
      <w:r>
        <w:t>unanimously by the Administrators [i.e., members of the Board of Directors of the CRT]" (Article 15.3 of the CRT Internal Regulations)215.</w:t>
      </w:r>
    </w:p>
    <w:p>
      <w:r>
        <w:t>291. It appears from the documents in the file that the CRT has not issued any decision to refuse admission since the arrival of its fourth and last member-shareholder in 2002216. However, it should be noted that discussions regarding the membership of Moneo and Octoplus took place in 2014 without resulting in any outcome (see paragraph 220).</w:t>
      </w:r>
    </w:p>
    <w:p>
      <w:r>
        <w:t>The conditions for exit</w:t>
      </w:r>
    </w:p>
    <w:p>
      <w:r>
        <w:t>292. Article VII of the Articles of Association provides for the possibility for any member-shareholder to voluntarily withdraw from the CRT, and for the exclusion of a member-shareholder.</w:t>
      </w:r>
    </w:p>
    <w:p>
      <w:r>
        <w:t>293. The CRT Internal Regulations specify, in this regard, that "[t]he withdrawing or excluded Member is required to pay a compensation intended to offset the additional cost imposed on the remaining Members of the CRT due to the increase in the share of operating and investment costs that they will have to bear" (Article 8.4). The aforementioned regulation further specifies, on the one hand, the rule for determining the ceiling of the compensation due, and, on the other hand, that it is up to the Board of Directors of the CRT to set, within the limit of said ceiling, the actual amount of said compensation (Article 8.5)217.</w:t>
      </w:r>
    </w:p>
    <w:p>
      <w:r>
        <w:t>b) The conditions for providing CRT services to third parties</w:t>
      </w:r>
    </w:p>
    <w:p>
      <w:r>
        <w:t>294. Since their update on June 15, 2011, the Articles of Association provide for the possibility for a third-party issuer to have its securities processed by the CRT. Indeed, Article II of the Articles of Association states that the association aims in France to "ensure on behalf of third parties the processing for their reimbursement, of securities (on any media whatsoever) and to perform any ancillary service or market any service related to the processing of said securities"218.</w:t>
      </w:r>
    </w:p>
    <w:p>
      <w:r>
        <w:t>295. However, neither the Articles of Association updated in 2011, nor those updated on September 30, 2015219 to take into account the differentiation between CRT T and CRT S, provide for the conditions of access for third parties to the services of the CRT.</w:t>
      </w:r>
    </w:p>
    <w:p>
      <w:r>
        <w:t>296. In particular, the Articles of Association do not specify the financial and legal conditions related to the possibility for third-party issuers to have their securities processed by the CRT, nor the way to submit such a request to the CRT or the issuers, nor finally the conditions for processing such a request.</w:t>
      </w:r>
    </w:p>
    <w:p>
      <w:r>
        <w:t>297. In this regard, the CRT Internal Regulations simply indicate that third parties may access the processing services of the CRT "without those [third parties] being able to claim similar pricing conditions to those of the Members [of the CRT]" (Article 9.2).</w:t>
      </w:r>
    </w:p>
    <w:p>
      <w:r>
        <w:t>c) Exclusivity in the processing of restaurant vouchers</w:t>
      </w:r>
    </w:p>
    <w:p>
      <w:r>
        <w:t>298. Under the Protocol, the member-shareholders of the CRT commit "to have the processing for their reimbursement of all their restaurant vouchers (...) issued on French territory (...), all these vouchers being materialized or dematerialized" (Article 2, first paragraph – emphasis added).</w:t>
      </w:r>
    </w:p>
    <w:p>
      <w:r>
        <w:t>299. It is also specified that "the processing of any other voucher than those processed to date by the CRT (on any media whatsoever) requires the unanimous agreement of the other members of the CRT" (Article 2, second paragraph)220.</w:t>
      </w:r>
    </w:p>
    <w:p>
      <w:r>
        <w:t>300. Article 7 of the Protocol provides for sanctions in case of non-compliance with these obligations: "Any breach of the provisions of this protocol will result for the defaulting party, after a formal notice addressed under the joint signature of all other members, remaining ineffective after the expiration of a period of one month, the acknowledgment of receipt serving as proof, in the payment to the CRT of an amount equal to 10% of its annual forecast share of the CRT's charges for the defaulting party, independently of all amounts that the defaulting party must pay under this protocol, and if applicable, under the protocol dated December 6, 2001. Furthermore, the other members reserve the right, in case of persistence in the default of the defaulting party, to impose an exclusion measure against it, in accordance with Article VII of the Articles of Association of the CRT and according to the procedures as provided in Article 1 of this protocol"221 (emphasis added).</w:t>
      </w:r>
    </w:p>
    <w:p>
      <w:r>
        <w:t>301. Regarding this exclusivity clause related to the processing of vouchers, whether paper or dematerialized, the signing parties and the CRT note that it represents the counterpart of investments made, or contemplated, regarding the processing of restaurant vouchers222.</w:t>
      </w:r>
    </w:p>
    <w:p>
      <w:r>
        <w:t>d) The prohibition on developing a system for accepting dematerialized vouchers outside the CRT</w:t>
      </w:r>
    </w:p>
    <w:p>
      <w:r>
        <w:t>General context</w:t>
      </w:r>
    </w:p>
    <w:p>
      <w:r>
        <w:t>302. It appears from the documents in the file that, since the early 2000s, discussions with public authorities regarding the use of dematerialized vouchers by issuers have taken place.</w:t>
      </w:r>
    </w:p>
    <w:p>
      <w:r>
        <w:t>303. During a meeting on December 16, 2001, the three member-shareholders of the CRT at that time informed the DGCCRF of the project to develop a common electronic platform that would allow the CRT to collect transactions made with the dematerialized vouchers of its members and organize their reimbursement by each issuer.</w:t>
      </w:r>
    </w:p>
    <w:p>
      <w:r>
        <w:t>304. The main points of this meeting were summarized in a letter from the issuing members of the CRT to the DGCCRF dated January 3, 2002, in which they indicated that they were in the process of defining a "specification for the implementation of a transposition of the current restaurant voucher model from its paper version to an electronic form"223. They also indicated on this occasion to the DGCCRF their desire to "associate the fourth French issuer, the company Intertitres Banque Populaire, with this reflection as a member of this commission [the CNTR]"224.</w:t>
      </w:r>
    </w:p>
    <w:p>
      <w:r>
        <w:t>305. Following this meeting, the Protocol, signed in February 2002 and integrating Natixis Intertitres into the CRT, provided for the development of an electronic platform within the CRT for the processing of dematerialized vouchers and reciprocally a prohibition on developing a system for accepting dematerialized vouchers outside the CRT.</w:t>
      </w:r>
    </w:p>
    <w:p>
      <w:r>
        <w:t>The stipulations of the Protocol</w:t>
      </w:r>
    </w:p>
    <w:p>
      <w:r>
        <w:t>306. Beyond the necessary investments for processing paper vouchers, the Protocol provides for the development "of an electronic platform allowing the CRT to manage (...) a system for accepting restaurant vouchers (...) dematerialized in France" aimed at "the collection of transactions (made using payment terminals) and their processing for reimbursement to affiliates by the members of the CRT"225 (Article 3.1., paragraphs 3 and 4).</w:t>
      </w:r>
    </w:p>
    <w:p>
      <w:r>
        <w:t>307. The Protocol further specifies that the member issuers of the CRT "therefore prohibit themselves from developing electronic platforms that would have as their object and/or purpose a system for accepting in France identical to the [a]cceptance system as defined above and this, outside the CRT/SSIM"226 (Article 3.1., paragraph 5).</w:t>
      </w:r>
    </w:p>
    <w:p>
      <w:r>
        <w:t>308. Regarding the aforementioned prohibition, it is specified that "[a]ny breach of this commitment will result in the application to the offender of Article 7 of this protocol," and that "[t]he same sanction would apply in the event that any of the companies in the group to which they belong develops a system for acceptance identical to the Acceptance System as referred to in this article"227 (Article 3.1., paragraphs 6 and 7).</w:t>
      </w:r>
    </w:p>
    <w:p>
      <w:r>
        <w:t>309. The aforementioned Article 7 indicates the methods for calculating the amount of the financial sanction in case of default by one of the four issuers on the one hand (i.e., "an amount equal to 10% of [the] annual forecast share of the CRT's charges [of the defaulting issuer]"), and, on the other hand, specifies that the other issuers reserve the right, in case of "persistence of default by the defaulting party," to take an "exclusion measure [from the CRT]," in accordance with Article VII of the Articles of Association228. It should be added that exclusion from the CRT entails, according to the terms of Article 1, paragraph 4, that the excluded party is liable for an amount equal "to two years of its participation in the CRT's budget"229.</w:t>
      </w:r>
    </w:p>
    <w:p>
      <w:r>
        <w:rPr>
          <w:b/>
        </w:rPr>
        <w:t>[Pages 61–63]</w:t>
      </w:r>
    </w:p>
    <w:p>
      <w:r>
        <w:t>310. Similarly to the mutual exclusivity commitment provided for in the Protocol, the violation of the mutual prohibition to autonomously develop a system for the acceptance of dematerialized securities may be subject to the sanctions provided for in Article 7 of the Protocol.</w:t>
      </w:r>
    </w:p>
    <w:p>
      <w:r>
        <w:t>Implementation of the stipulations of the Protocol</w:t>
        <w:br/>
        <w:t>311. Several documents attest to the binding force of the Protocol with respect to the signatory parties and the CRT, particularly in the event that a member-shareholder considers developing independently, outside the framework set by the Protocol, a solution for dematerialized securities.</w:t>
      </w:r>
    </w:p>
    <w:p>
      <w:r>
        <w:t>312. Thus, the internal note from the legal department of Accor Services France mentioned above (see paragraph 235) is quite illustrative in this regard230.</w:t>
      </w:r>
    </w:p>
    <w:p>
      <w:r>
        <w:t>313. Firstly, the note recalls the relevant provisions of the Protocol (Articles 2 and 3.1) regarding the risks associated with the development by Accor Services France of a solution for dematerialized securities outside the CRT, even in response to the entry of a competitor, as well as the purpose of the CRT as it appears in the Articles of Association231, namely to ensure, on behalf of its members, the processing of securities, on any media whatsoever.</w:t>
      </w:r>
    </w:p>
    <w:p>
      <w:r>
        <w:t>314. Secondly, the note analyzes the potential consequences for Accor Services France of launching a solution for dematerialized securities. These are of two kinds: (i) a monetary sanction whose maximum amount is estimated at "7.7M€" and (ii) the risk of exclusion from the CRT and its consequences, i.e. "payment of an amount corresponding to 2 years of the defaulting party's participation in the annual budget of the CRT calculated on the basis of the last calendar year" and "transfer of the participation held in the SSIM." The note further highlights that "exclusion would also apply to the processing of paper securities (excluding amicable negotiation with the CRT)"232. (emphasis added)</w:t>
      </w:r>
    </w:p>
    <w:p>
      <w:r>
        <w:t>315. Thirdly, the note presents the arguments of Accor Services France to avoid or limit the scope of the aforementioned sanctions: the incapacity of the CRT to respond immediately to the processing of dematerialized securities (card); the fact that Accor Services France's project would be a response to the entry of a competitor into the market; the contractual uncertainty linked to the fact that the CRT had not to date developed a "system for the acceptance [of dematerialized securities]"; finally, the temporary nature of a "card solution outside the CRT"233.</w:t>
      </w:r>
    </w:p>
    <w:p>
      <w:r>
        <w:t>316. Finally, the note specifies that "[i]n any case, obtaining a derogation from the Protocol (and the statutes) would secure ACCOR SERVICES FRANCE for the needs of the Response and especially the preservation of the processing of paper securities"234. The analysis of the different scenarios of sanctions, depending on whether the competitor is or is not one of the three other member-shareholders on the one hand, and on the other hand, depending on the reaction of the other member-shareholders, indeed concludes to the risk of application of sanctions in all cases where Accor Services France does not obtain a derogation235.</w:t>
      </w:r>
    </w:p>
    <w:p>
      <w:r>
        <w:t>317. These elements were partially included in the presentation of June 10, 2010, of the project, named "À la carte" (see paragraph 236).</w:t>
      </w:r>
    </w:p>
    <w:p>
      <w:r>
        <w:t>318. This presentation recalls among other things the provisions of the Protocol relating to the commitment of exclusive processing of restaurant vouchers of the issuers with respect to the CRT and the prohibition for each of them to develop outside the CRT a monetary acceptance platform for dematerialized securities.</w:t>
      </w:r>
    </w:p>
    <w:p>
      <w:r>
        <w:t>319. It also specifies the amount (i.e. "7.7M€") of the monetary sanction incurred in the event of Accor Services France launching its dematerialized securities project, and outlines the arguments to escape it, namely firstly the "[i]ncapacity of the CRT to respond immediately to the reimbursement of a dematerialized restaurant voucher" and secondly the "[p]robable willingness of all signatories to review the terms of the agreement in the context of the entry of a new issuer into the market offering a dematerialized product"236.</w:t>
      </w:r>
    </w:p>
    <w:p>
      <w:r>
        <w:t>320. Finally, in a slide presenting certain operational characteristics of the aforementioned project, mention is made of the "[r]isk of CRT fine"237.</w:t>
      </w:r>
    </w:p>
    <w:p>
      <w:r>
        <w:t>321. Among the elements submitted to the file are also the presentation materials, dated August 29, 2011, and October 19, 2011, of a feasibility study for a CRT project for the development of dematerialized securities238.</w:t>
      </w:r>
    </w:p>
    <w:p>
      <w:r>
        <w:t>322. This presentation comes from the CRT, the framework for the development of a "System for the Acceptance of Dematerialized Securities" according to the terms of the Protocol.</w:t>
      </w:r>
    </w:p>
    <w:p>
      <w:r>
        <w:t>323. In a context where "[t]he transition to the card seems to be a matter of time," the purpose of this project was threefold. It consisted of the "search for a solution allowing to preserve" (i) the "Economic Model," (ii) the "market," and (iii) the "affiliate relationship"239.</w:t>
      </w:r>
    </w:p>
    <w:p>
      <w:r>
        <w:t>324. Furthermore, according to the terms of the presentation of August 29, 2011, it was to "best safeguard the economic model of restaurant vouchers in France (by distancing itself as much as possible from banks)," to "[r]espond to the wishes of the government and the IGF. Preserve the spirit of the law and control new entrants by developing a new medium (card or other)" (emphasis added), and finally to "maintain the affiliate relationship (CRT)"240. On this last point, it was more precisely about "[p]reserving the centralized management of the affiliate base" and in particular "not facilitating the entry of new actors"241.</w:t>
      </w:r>
    </w:p>
    <w:p>
      <w:r>
        <w:t>325. In a context of technological changes, this project was to allow for the sustainability of the activity and economic model of the CRT with a view to "protection against new entrants"242.</w:t>
      </w:r>
    </w:p>
    <w:p>
      <w:r>
        <w:t>326. To this end, the CRT proposes to "[u]se the existing TPE park without routing transactions through the banking network"243, and then essentially presents a description of technical, economic, and operational elements of the envisaged solution for dematerialized securities.</w:t>
      </w:r>
    </w:p>
    <w:p>
      <w:r>
        <w:t>327. According to the consistent statements of certain implicated issuers and the CRT, this project, submitted by the CRT to its member-shareholders, never came to fruition. Furthermore, Edenred France indicated that "the [P]rotocol has never been implemented regarding dematerialization" and that investments concerning dematerialization were "only considered"244. This point is confirmed both by the CRT, which indicates that all investments made by the SSIM concerned the processing of paper securities, and by Sodexo Pass France, which stated that "this platform [the system for the acceptance of dematerialized securities] has, however, never been developed in practice"245.</w:t>
      </w:r>
    </w:p>
    <w:p>
      <w:r>
        <w:t>328. Indeed, the member-shareholders ultimately opted for the creation of another joint structure dedicated to capturing transactions and their transmission, the company Conecs, and thus released themselves, on the day of the signing of the agreement concluded between the holders of securities of the company Conecs and said company Conecs, from their commitments provided for by the Protocol.</w:t>
      </w:r>
    </w:p>
    <w:p>
      <w:r>
        <w:t>329. Thus, by the Amendment Letter of December 2012, the four issuers released themselves from: "(i) their exclusivity commitment in favor of the Central Settlement of Securities regarding the processing of dematerialized restaurant vouchers and (ii) their prohibition to develop outside the Central Settlement of Securities a monetary platform that would have the purpose or aim of managing, based on standard technical norms (electronic payment terminals, back and front office acquirer), a system for the acceptance in France of dematerialized restaurant vouchers. The terms herein have the effect of an amendment to the provisions of the Protocol"246.</w:t>
      </w:r>
    </w:p>
    <w:p>
      <w:r>
        <w:t>E. NOTIFIED GRIEVANCES</w:t>
        <w:br/>
        <w:t>330. In light of the factual elements set out in the notification of grievances, the following grievances have been notified:</w:t>
        <w:br/>
        <w:t>"Grievance No. 1 concerning information exchange practices</w:t>
        <w:br/>
        <w:t>The following companies or organizations are charged:</w:t>
        <w:br/>
        <w:t>- EDENRED FRANCE SAS, registered under number 393 365 135 R.C.S. Nanterre, for the period from October 1, 2002, to December 31, 2015, due to its direct participation;</w:t>
        <w:br/>
        <w:t>- ACCOR SA, registered under number 602 036 444 R.C.S. Nanterre, for the period from October 1, 2002, to June 28, 2010, in its capacity as the parent company of EDENRED FRANCE SAS;</w:t>
        <w:br/>
        <w:t>- EDENRED SA, registered under number 493 322 978 R.C.S. Nanterre, for the period from June 29, 2010, to December 31, 2015, in its capacity as the parent company of EDENRED FRANCE SAS;</w:t>
      </w:r>
    </w:p>
    <w:p>
      <w:r>
        <w:rPr>
          <w:b/>
        </w:rPr>
        <w:t>[Pages 64–66]</w:t>
      </w:r>
    </w:p>
    <w:p>
      <w:r>
        <w:t>- UP, registered under number 642 044 366 R.C.S. Nanterre, for the period from October 1, 2002 to December 31, 2015, due to its direct participation;</w:t>
        <w:br/>
        <w:t>- SODEXO PASS FRANCE SA, registered under number 340 393 065 R.C.S. Nanterre, for the period from October 1, 2002 to December 31, 2015, due to its direct participation;</w:t>
        <w:br/>
        <w:t>- SODEXO SA, registered under number 301 940 219 R.C.S. Nanterre, for the period from October 1, 2002 to December 31, 2015, in its capacity as the parent company of SODEXO PASS FRANCE SA;</w:t>
        <w:br/>
        <w:t>- NATIXIS INTERTITRES SA, registered under number 718 503 386 R.C.S. Paris, for the period from October 1, 2002 to December 31, 2015, due to its direct participation;</w:t>
        <w:br/>
        <w:t>- NATIXIS SA, registered under number 542 044 524 R.C.S. Paris, for the period from January 1, 2003 to December 31, 2015, in its capacity as the parent company of NATIXIS INTERTITRES SA;</w:t>
        <w:br/>
        <w:t>- The CRT TRAITEMENT, association located at 155, avenue Gallieni in Bagnolet (93170), for the period from October 1, 2002 to December 31, 2015, due to its direct participation;</w:t>
      </w:r>
    </w:p>
    <w:p>
      <w:r>
        <w:t>for having participated in an agreement in the French market for restaurant vouchers, by implementing a concerted practice consisting of regular and ongoing exchanges of confidential, recent, precise, and individualized information on the national activity of issuers of restaurant vouchers. This information was communicated by the CRT (now CRT T), a common structure for the pooling of the processing of paper restaurant vouchers, to its member-shareholders.</w:t>
      </w:r>
    </w:p>
    <w:p>
      <w:r>
        <w:t>This concerted practice had the object and effect of informing each party of the commercial strategic line of its competitors, thereby reducing their commercial autonomy, and disrupting the proper functioning of competition in this restaurant voucher market. This practice is prohibited by Article L.420-1 of the Commercial Code and Article 101 TFEU.</w:t>
      </w:r>
    </w:p>
    <w:p>
      <w:r>
        <w:t>Complaint No. 2 regarding the mutual prohibition of developing dematerialized vouchers</w:t>
      </w:r>
    </w:p>
    <w:p>
      <w:r>
        <w:t>The following companies or organizations are charged:</w:t>
        <w:br/>
        <w:t>- EDENRED FRANCE SAS, registered under number 393 365 135 R.C.S. Nanterre, for the period from January 21, 2002 to the date of this notification of complaints, due to its direct participation;</w:t>
        <w:br/>
        <w:t>- ACCOR SA, registered under number 602 036 444 R.C.S. Nanterre, for the period from January 21, 2002 to June 28, 2010, in its capacity as the parent company of EDENRED FRANCE SAS;</w:t>
        <w:br/>
        <w:t>- EDENRED SA, registered under number 493 322 978 R.C.S. Nanterre, for the period from June 29, 2010 to the date of this notification of complaints, in its capacity as the parent company of EDENRED FRANCE SAS;</w:t>
        <w:br/>
        <w:t>- UP, registered under number 642 044 366 R.C.S. Nanterre, for the period from January 21, 2002 to the date of this notification of complaints, due to its direct participation;</w:t>
        <w:br/>
        <w:t>- SODEXO PASS FRANCE SA, registered under number 340 393 065 R.C.S. Nanterre, for the period from January 21, 2002 to the date of this notification of complaints, due to its direct participation;</w:t>
        <w:br/>
        <w:t>- SODEXO SA, registered under number 301 940 219 R.C.S. Nanterre, for the period from January 21, 2002 to the date of this notification of complaints, in its capacity as the parent company of SODEXO PASS FRANCE SA;</w:t>
        <w:br/>
        <w:t>- NATIXIS INTERTITRES SA, registered under number 718 503 386 R.C.S. Paris, for the period from January 21, 2002 to the date of this notification of complaints, due to its direct participation;</w:t>
        <w:br/>
        <w:t>- NATIXIS SA, registered under number 542 044 524 R.C.S. Paris, for the period from January 1, 2003 to the date of this notification of complaints, in its capacity as the parent company of NATIXIS INTERTITRES SA;</w:t>
        <w:br/>
        <w:t>- The CRT TRAITEMENT, association located at 155, avenue de Gallieni in Bagnolet (93170), for the period from January 21, 2002 to the date of this notification of complaints, due to its direct participation;</w:t>
      </w:r>
    </w:p>
    <w:p>
      <w:r>
        <w:t>for having participated in an agreement in the French market for restaurant vouchers, whereby (i) they prohibited themselves, for an indefinite period and under penalty of sanctions, from developing, outside the framework of the CRT, a platform for the acceptance of dematerialized vouchers, and (ii) they could control the entry of new competitors into the paper voucher market segment.</w:t>
      </w:r>
    </w:p>
    <w:p>
      <w:r>
        <w:t>This agreement had the object and effect of locking the restaurant voucher market, by controlling (i) the entry of competitors into the paper voucher market segment, and (ii) the development of dematerialized restaurant vouchers. This practice is prohibited by Article L. 420-1 of the Commercial Code and Article 101 TFEU.</w:t>
      </w:r>
    </w:p>
    <w:p>
      <w:r>
        <w:t>This notification of complaints opens a period of two months for the companies and the Government Commissioner to consult the file at the headquarters of the Competition Authority and present observations in accordance with Article L. 463-2 of the Commercial Code. It does not prejudge the decision that the Competition Authority will have to make.</w:t>
      </w:r>
    </w:p>
    <w:p>
      <w:r>
        <w:t>II. Discussion</w:t>
        <w:br/>
        <w:t>A. ON THE PROCEDURE</w:t>
        <w:br/>
        <w:t>1. ON THE STATUTE OF LIMITATIONS</w:t>
        <w:br/>
        <w:t>331. The first paragraph of Article L. 462-7 of the Commercial Code provides that "[t]he Authority cannot be seized of facts dating back more than five years if no act has been made to seek, establish, or sanction them. (...)".</w:t>
      </w:r>
    </w:p>
    <w:p>
      <w:r>
        <w:t>332. In this regard, it follows from national and Union case law that the statute of limitations only begins to run from the cessation of the practices247 or, where applicable, from the end of each company's participation in the infringement248.</w:t>
      </w:r>
    </w:p>
    <w:p>
      <w:r>
        <w:t>333. In this case, on June 29, 2010, the company Accor split its hotel activities on the one hand, and on the other hand, its business services activities, by transferring the assets concerned to the company New Services Holding, which changed its name on the same day to become Edenred249.</w:t>
      </w:r>
    </w:p>
    <w:p>
      <w:r>
        <w:t>334. In light of the aforementioned case law, it should be noted that the five-year statute of limitations provided for in the first paragraph of Article L. 462-7 of the Commercial Code is acquired with respect to Accor.</w:t>
      </w:r>
    </w:p>
    <w:p>
      <w:r>
        <w:t>2. ON THE ADMISSIBILITY OF CERTAIN DOCUMENTS SUBMITTED TO THE FILE</w:t>
        <w:br/>
        <w:t>a) The documents communicated by the counsel of Octoplus on March 22, 2016</w:t>
        <w:br/>
        <w:t>335. By email dated March 22, 2016, Octoplus sent to the investigation services as well as to the parties involved documents which, according to it, would establish the alleged practices. These include, in particular, the Protocol, the internal presentation of the company Edenred dated June 10, 2010, the note from the legal department of Accor Services dated June 25, 2009, the presentation of the CRT dated August 29, 2011, and an email from the CRT to the CFOs of the historical issuers dated July 2, 2013, accompanied by tables.</w:t>
      </w:r>
    </w:p>
    <w:p>
      <w:r>
        <w:t>336. After requesting Octoplus to justify the origin of the documents in question and in the absence of a response on this point, the deputy general rapporteur informed Octoplus by email on March 31, 2016, that the documents communicated on March 22 were inadmissible and could not be added to the file on the grounds that: "these documents belong to third-party companies to the</w:t>
        <w:br/>
        <w:t>247 Judgment of the Court of Cassation of March 15, 2011, Ets Guy Joubert, No. 09-17055; judgment of the Court of Appeal of Paris of May 17, 2018, Umicore et al., No. 16/16621, point 42.</w:t>
        <w:br/>
        <w:t>248 See in particular the judgment of the Court of Cassation of March 15, 2011, Ets Guy Joubert, No. 09-17055 and the judgment of the Union Tribunal of May 17, 2013, Manuli Rubber Industries SpA (MRI)/Commission, T-154/09, point 195; judgment of the Union Tribunal of May 17, 2013, Trelleborg Industrie and Trellborg/Commission, T-147/09 and T-148/09, point 87; judgment of the Union Tribunal of June 16, 2015, FSL et al./Commission, T-655/11, point 481 and judgment of the Union Tribunal of November 10, 2017, ICAP et al./Commission, T-180/015, point 218.</w:t>
        <w:br/>
        <w:t>249 15/0092 F – reference 5 207.</w:t>
      </w:r>
    </w:p>
    <w:p>
      <w:r>
        <w:rPr>
          <w:b/>
        </w:rPr>
        <w:t>[Pages 67–69]</w:t>
      </w:r>
    </w:p>
    <w:p>
      <w:r>
        <w:t>siez and their obtaining does not appear [sic] to comply with the principle of fairness in the administration of evidence."</w:t>
      </w:r>
    </w:p>
    <w:p>
      <w:r>
        <w:t>337. Following a session on April 5, 2016, and by a decision dated May 30, 2016, the Authority informed the parties: "at this stage, the Authority is not in a position to rule on the conditions for obtaining these documents nor on their evidentiary value. It is therefore necessary to reopen the discussions by ordering Resto Flash [Octoplus] to produce the disputed documents and to explain both the conditions under which they were obtained and the value of their content"250. In its sole article, the decision states that: "the discussions concerning the case recorded under numbers 15/0092 F and 15/0093 M are reopened. They will continue during the session on July 7, 2016."</w:t>
      </w:r>
    </w:p>
    <w:p>
      <w:r>
        <w:t>338. Following a new session held on July 7, 2016, the Authority stated in decision no. 16-D-21 that the documents transmitted by Octoplus on March 22, 2016, were admissible and ordered their inclusion in the file (Article 1 of the decision).</w:t>
      </w:r>
    </w:p>
    <w:p>
      <w:r>
        <w:t>339. In their observations, the parties involved argue that due to the principle of separation of investigative and adjudicative functions, the Authority's college was not competent to decide on the admissibility of the documents and to order their inclusion in the file. Furthermore, the Authority would have committed a legal error in its assessment of the admissibility of said documents.</w:t>
      </w:r>
    </w:p>
    <w:p>
      <w:r>
        <w:t>340. In this regard, the Authority recalls paragraph 109 of decision no. 16-D-21 which found that, given the state of the procedure and the elements brought to the Authority's attention by the parties, nothing appears to oppose the production of said documents by Octoplus. Indeed: "1°) To establish the fraudulent origin of the documents, the parties involved do not invoke the authority of res judicata of any final criminal conviction. Thus, the alleged fraudulent origin of the produced documents is not attested at all. 2°) Even if, according to a final criminal judgment, the fraudulent origin of the documents were established, the disputed documents do not contain, at first glance, any statements or declarations obtained unfairly without the knowledge of their author. Submitted for the assessment of all parties during the referral of the examination of the case ordered by the college, no company has alleged the falsification or forgery of said documents. On the contrary, the CRT claims ownership of them as evidenced by its willingness to file a complaint for misappropriation. 3°) Finally, the conditions under which the Authority received said documents from Octoplus do not in themselves infringe the principles of fairness enshrined in Article 6, paragraph 1 of the ECHR, as they do not deprive the parties of the exercise of their rights of defense and in particular of the possibility of subsequently contesting during the adversarial examination of the referral the evidentiary value of these documents. In this regard, both the case law of the European Court of Human Rights251, and the most recent case law of the Union Court, which also recalls that in order not to "undermine the unity of Union law, the uniform interpretation and application of the principle of free administration of evidence in the Union are essential"252, distinguish depending on whether the contested element constitutes or not the sole means of evidence retained to justify the conviction."</w:t>
      </w:r>
    </w:p>
    <w:p>
      <w:r>
        <w:t>341. Therefore, the Authority confirms the admissibility of the disputed documents in this case.</w:t>
      </w:r>
    </w:p>
    <w:p>
      <w:r>
        <w:t>b) The documents communicated by CRT T on June 13, 2017</w:t>
      </w:r>
    </w:p>
    <w:p>
      <w:r>
        <w:t>342. On June 13, 2017, the investigative services conducted a hearing with the general director of CRT, Mr. X..., at the premises of CRT.</w:t>
      </w:r>
    </w:p>
    <w:p>
      <w:r>
        <w:t>343. At the end of this hearing, the investigative services requested Mr. X... to provide certain documents, including emails from CRT to the CFOs of the member-shareholders mentioned during the hearing.</w:t>
      </w:r>
    </w:p>
    <w:p>
      <w:r>
        <w:t>344. The parties involved allege that the documents transmitted by CRT to the investigative services on June 13, 2017, are not admissible, on the grounds that the investigative services would have seized them without authorization from the competent judge of freedoms and detention, which is required by Article L. 450-4 of the Commercial Code.</w:t>
      </w:r>
    </w:p>
    <w:p>
      <w:r>
        <w:t>345. They emphasize in this regard the following factual circumstances, which would tend to demonstrate that the reporters would have carried out a "seizure" of the emails in question:</w:t>
        <w:br/>
        <w:t>- the presence among the reporters present on June 13, 2017, of Mr. Y..., at the time deputy head of the investigations service in charge of the legal IT pole of the Authority, which would demonstrate that the hearing was in reality a "disguised raid";</w:t>
        <w:br/>
        <w:t>- the reference in the minutes of the hearing253 to the fact that the reporters "[have] obtained a copy" of the emails in question would demonstrate that they were not handed over by CRT T to the reporters but that they were seized by the investigative services following a search of Ms. Z...'s computer, CFO of CRT;</w:t>
        <w:br/>
        <w:t>- the return by the investigative services of internal emails and emails falling within the scope of attorney-client correspondence, which would demonstrate that the handing over of the documents would have been done under the coercion of the reporters; and</w:t>
        <w:br/>
        <w:t>- the specific and particularly detailed request of the reporter regarding the dates of said emails, which could only be explained by the fact that prior to this request, the reporters had become aware of the existence of these emails by directly searching in Ms. Z...'s computer.</w:t>
      </w:r>
    </w:p>
    <w:p>
      <w:r>
        <w:t>346. Furthermore, CRT T notes that the minutes of the hearing:</w:t>
        <w:br/>
        <w:t>- do not attribute any statement to Ms. Z..., who nevertheless participated in the hearing and whose computer contained the disputed emails;</w:t>
        <w:br/>
        <w:t>- do not mention the particular circumstances of the "communication" of the emails exchanged by Ms. Z... with the CFOs of the member-shareholders; and</w:t>
        <w:br/>
        <w:t>- were not signed by Ms. Z..., whereas she would have been the only one able to formulate any reservations regarding the communication made in the absence of Mr. X....</w:t>
      </w:r>
    </w:p>
    <w:p>
      <w:r>
        <w:t>347. However, and first of all, the investigation that led to the communication of the emails in question was conducted on the basis of Article L. 450-3 of the Commercial Code254. Now, the minutes in question established under the authority of this provision were indeed signed by Mr. X..., and this, without reservations.</w:t>
      </w:r>
    </w:p>
    <w:p>
      <w:r>
        <w:t>348. Secondly, Article L. 450-2 of the Commercial Code provides that the minutes "are valid until proven otherwise." However, the parties do not provide evidence that the disputed documents were communicated by CRT to the reporters under their coercion.</w:t>
      </w:r>
    </w:p>
    <w:p>
      <w:r>
        <w:t>349. Indeed, this communication of emails follows a statement by Mr. X..., referenced in the minutes, which attests to the existence of periodic emails containing sensitive data sent by CRT to the CFOs of its members: "every month, CRT justified the proper monitoring of the budget in real terms, compared to the forecast (budget monitoring): the communication methods have not changed (i.e., sent to the CFOs of the issuers). (...) Furthermore, for informational purposes, Ms. Z... sends by email the number of titles processed for each issuer every month, 'since always'."255</w:t>
      </w:r>
    </w:p>
    <w:p>
      <w:r>
        <w:t>350. Thirdly, the investigative services are not required to specify in the minutes the circumstances of obtaining the documents whose communication is requested. The fourth paragraph of Article L. 450-3 of the Commercial Code indeed provides that the agents of the Authority may "require communication and obtain or take copies, by any means and on any medium, of books, invoices, and other professional documents of any kind, in whatever hands they may be, suitable for facilitating the accomplishment of their mission." Article R. 450-2 of the same code also states that the minutes only refer to "the nature, date, and place of the findings or controls carried out."</w:t>
      </w:r>
    </w:p>
    <w:p>
      <w:r>
        <w:t>351. Fourthly, the signature of the persons heard during the hearings is no longer mandatory since the entry into force on October 3, 2014, of decree no. 2014-1109 of September 30, 2014256. Indeed, paragraph I of Article R. 450-1 of the Commercial Code has provided since the entry into force of this decree that "[t]he minutes provided for in Article L. 450-2 state the nature, date, and place of the findings or controls carried out. They are signed by an agent mentioned in Article L. 450-1." (emphasis added, Article 33 of the aforementioned decree removed the mention "and of the person heard"). The signature of Ms. Z... was therefore not required here.</w:t>
      </w:r>
    </w:p>
    <w:p>
      <w:r>
        <w:t>352. In light of these developments, it is therefore appropriate to declare admissible the documents communicated by CRT on June 13, 2017.</w:t>
      </w:r>
    </w:p>
    <w:p>
      <w:r>
        <w:t>3. ON THE REFUSAL TO USE THE COMMITMENT PROCEDURE</w:t>
      </w:r>
    </w:p>
    <w:p>
      <w:r>
        <w:t>353. CRT communicated, by telephone, to the investigative services its wish to open a commitment procedure. The investigative services informed CRT that they did not consider that the case lent itself to a commitment procedure.</w:t>
      </w:r>
    </w:p>
    <w:p>
      <w:r>
        <w:rPr>
          <w:b/>
        </w:rPr>
        <w:t>[Pages 70–72]</w:t>
      </w:r>
    </w:p>
    <w:p>
      <w:r>
        <w:t>354. No preliminary assessment of the practices, within the meaning of Article R. 464-2 of the Commercial Code, was subsequently conducted by the investigation services until the notification of the grievances to the parties.</w:t>
      </w:r>
    </w:p>
    <w:p>
      <w:r>
        <w:t>355. In their respective observations, the companies Edenred France, Edenred, and Up, as well as the CRT, consider that the alleged proposal of commitments from the CRT regarding the Articles of Association and the CRT Internal Regulations was wrongly rejected. They emphasize the absence of explanation regarding the reasons that led the investigation services not to retain this proposal and the fact that it was not submitted to the Authority's college, which is the only body competent to decide on the appropriateness of resorting to the commitments procedure. Furthermore, the companies Up and Edenred point out that given the decision-making practice of the Authority in similar cases, the investigation services should have accepted the CRT's proposal for commitments.</w:t>
      </w:r>
    </w:p>
    <w:p>
      <w:r>
        <w:t>356. Article R. 464-2 of the Commercial Code provides that "when the Competition Authority considers applying paragraph I of Article L. 464-2 concerning the acceptance of commitments proposed by companies, the rapporteur informs the concerned companies or organizations of their preliminary assessment of the practices in question (...)".</w:t>
      </w:r>
    </w:p>
    <w:p>
      <w:r>
        <w:t>357. In a ruling delivered on May 17, 2018, the Paris Court of Appeal stated that "it follows from the very wording of Article R. 464-2 of the Commercial Code that it is only if the college intends to resort to the commitments procedure that the rapporteur is obliged to establish a preliminary assessment of the practices, which is a prerequisite for initiating this procedure. Otherwise, the rapporteur has no obligation to do so" (emphasis added)257.</w:t>
      </w:r>
    </w:p>
    <w:p>
      <w:r>
        <w:t>358. The Paris Court of Appeal also clarified that "(...) the refusal to resort to the commitments procedure stems from the implicit negative decision of the college which, while having every opportunity to request the rapporteurs for a preliminary assessment of the practices, did not do so, the court recalling that the decision to resort or not to the commitments procedure is discretionary and that the college is therefore not required to formalize or, a fortiori, to justify its decision"258 (emphasis added).</w:t>
      </w:r>
    </w:p>
    <w:p>
      <w:r>
        <w:t>359. In the present case, it does not appear from the file that the college requested the investigation services to carry out a preliminary assessment of the practices with a view to resorting to the commitments procedure.</w:t>
      </w:r>
    </w:p>
    <w:p>
      <w:r>
        <w:t>360. Furthermore, "the applicants do not allege that the college, which is neither divested nor deprived of access to the file during the investigation phase, considered applying paragraph I of Article L. 464-2 concerning the acceptance of commitments proposed by companies"259.</w:t>
      </w:r>
    </w:p>
    <w:p>
      <w:r>
        <w:t>361. Consequently, the rapporteurs cannot be reproached for not having conducted such an assessment, which they were not obliged to do given the college's decision, a decision which is also discretionary and which the latter is not required to formalize or justify.</w:t>
      </w:r>
    </w:p>
    <w:p>
      <w:r>
        <w:t>362. Finally, the procedural communication of March 2, 2009, concerning commitments in competition matters, which aims to synthesize the decision-making practice of the Authority, recalls that "[t]he Authority does not apply the commitments procedure in cases where, in any event, the infringement of public economic order requires the imposition of financial penalties, which notably excludes a priori particularly serious agreements such as cartels and certain abuses of dominant position that have already caused significant harm to the economy" (paragraphs 10 and 11).</w:t>
      </w:r>
    </w:p>
    <w:p>
      <w:r>
        <w:t>363. In the present case, the practices referred to in grievance No. 2, which were implemented between 2002 and 2018, harmed the public economic order, which requires the imposition of financial penalties (see paragraphs 809 and following). Consequently, the investigation services rightly considered that these practices were not eligible for the acceptance of commitments procedure.</w:t>
      </w:r>
    </w:p>
    <w:p>
      <w:r>
        <w:t>364. It should therefore be noted that the parties' arguments must be rejected as ineffective.</w:t>
      </w:r>
    </w:p>
    <w:p>
      <w:r>
        <w:t>4. ON THE RESPECT FOR THE PRINCIPLES OF LEGITIMATE EXPECTATION, LEGAL CERTAINTY, AND PROHIBITION OF MULTIPLE PROSECUTIONS</w:t>
      </w:r>
    </w:p>
    <w:p>
      <w:r>
        <w:t>365. The parties involved in this case point out that certain statutory provisions related to the functioning of the CRT had been brought to the attention of the investigation services and the Council during the case that led to decision No. 01-D-41 concerning practices implemented in the restaurant voucher and employment service voucher markets.</w:t>
      </w:r>
    </w:p>
    <w:p>
      <w:r>
        <w:t>366. However, even though the Council had been seized in rem in this case, that is to say "of all the facts and practices affecting the functioning of a market" according to national case law, the decision did not sanction the parties involved in this procedure, i.e., Sodexho Chèques et Cartes De Services (now Sodexo Pass France), Le chèque déjeuner (now UP), Accor (restaurant vouchers division, sold and then became Edenred France), and finally the CRT, under these provisions.</w:t>
      </w:r>
    </w:p>
    <w:p>
      <w:r>
        <w:t>367. The use of the Articles of Association by the investigation services to qualify the practices referred to in this case would therefore constitute a violation of the principles of legitimate expectation and legal certainty as well as the principle prohibiting multiple prosecutions for identical facts (principle non bis in idem).</w:t>
      </w:r>
    </w:p>
    <w:p>
      <w:r>
        <w:t>a) Respect for the principle of legitimate expectation</w:t>
      </w:r>
    </w:p>
    <w:p>
      <w:r>
        <w:t>368. As a preliminary point, it should be recalled that, according to consistent European and national case law, the principle of legitimate expectation extends to any individual placed in a situation where it appears that the administration has created founded expectations in them, it being specified that no one can invoke a violation of this principle in the absence of precise, unconditional, and consistent assurances provided by authorized and reliable sources from the administration260.</w:t>
      </w:r>
    </w:p>
    <w:p>
      <w:r>
        <w:t>369. National courts also recognize this principle. For the Council of State, which refers to it in cases where the legal situation is governed by Union law261, it applies when a national authority creates "founded expectations" in the economic operator. However, "a prudent and diligent operator must be able to foresee the adoption of a measure likely to affect their interests"262. Similarly, the Court of Cassation refers to the "principle of protection of legitimate expectation as stated by the Court of Justice of the European Union as a general principle of Union law." This applies when an individual "finds themselves in a situation where it appears that the administration, by providing them with precise assurances, has created founded expectations"263.</w:t>
      </w:r>
    </w:p>
    <w:p>
      <w:r>
        <w:t>370. In this regard, it should be emphasized that the statutory provisions in question were analyzed in conjunction with other elements of the investigation, subsequent to decision No. 01-D-41 mentioned above. These elements, such as the Protocol adopted on January 21, 2002, and in particular its clause prohibiting the development of a platform for the acceptance of dematerialized vouchers outside the CRT (see paragraph 307), were not known to the Council in 2001.</w:t>
      </w:r>
    </w:p>
    <w:p>
      <w:r>
        <w:t>371. Furthermore, according to consistent decision-making practice, an in rem referral allows the Authority to retain, in certain cases, practices different from those referred to in the initial referral, but does not obligate it to do so.</w:t>
      </w:r>
    </w:p>
    <w:p>
      <w:r>
        <w:t>372. Indeed, according to the Paris Court of Appeal: "the Council, which is seized in rem of all the facts and practices affecting the functioning of a market and is not bound by the requests and qualifications of the referring party, can, without having to act ex officio, retain the practices revealed by the investigations it has conducted following its referral which, although not expressly mentioned therein, have the same object or effect as those that have been reported to it"264 (emphasis added).</w:t>
      </w:r>
    </w:p>
    <w:p>
      <w:r>
        <w:t>373. Therefore, the fact that practices not referred to in the Authority's referral were not examined and qualified in its decision cannot be construed as an implicit dismissal of those practices within the meaning of Article L. 464-6 of the Commercial Code, nor can it constitute precise, unconditional, and consistent assurances within the meaning of the aforementioned case law.</w:t>
      </w:r>
    </w:p>
    <w:p>
      <w:r>
        <w:t>374. Finally, it follows from the case law of the Court of Justice of the European Union that national competition authorities cannot create legitimate expectations in companies that their behavior does not infringe Article 101 TFEU265. Indeed, in order to ensure a consistent application of competition rules, only the European Commission can determine, by way of decision, that Articles 101 and 102 TFEU are inapplicable. National authorities are not competent to issue a "negative decision" concluding that there is no violation of these articles. Thus, when they consider, based on the elements available to them, that the conditions for prohibition are not met, they can only note that there is no reason for them to intervene266.</w:t>
      </w:r>
    </w:p>
    <w:p>
      <w:r>
        <w:rPr>
          <w:b/>
        </w:rPr>
        <w:t>[Pages 73–75]</w:t>
      </w:r>
    </w:p>
    <w:p>
      <w:r>
        <w:t>375. This solution, enshrined by the Tele2 Polska267 judgment of the Court of Justice, was rendered based on Article 5 of Regulation No. 1/2003268. In this case, it was Regulation 17/62/EEC of the Council concerning the application of Articles 85 and 86 of the Treaty establishing the European Economic Community269 that was applicable at the time of the adoption of decision No. 01-D-41. However, just as with Regulation No. 1/2003, allowing national authorities to adopt "negative decisions" concluding that there was no violation of Article 101 TFEU would have been contrary to this regulation, as it granted exclusive competence to the European Commission to "declare the provisions of Article 85, paragraph 1, inapplicable in accordance with Article 85, paragraph 3" (formerly Article 101 paragraph 3 TFEU)270.</w:t>
      </w:r>
    </w:p>
    <w:p>
      <w:r>
        <w:t>376. In light of the above, the argument based on the violation of the principle of legitimate expectations must be dismissed.</w:t>
      </w:r>
    </w:p>
    <w:p>
      <w:r>
        <w:t>b) Respect for the principle of legal certainty</w:t>
      </w:r>
    </w:p>
    <w:p>
      <w:r>
        <w:t>377. The principle of legal certainty constitutes a general principle of Union law271 as well as a general principle of autonomous law at the national level272.</w:t>
      </w:r>
    </w:p>
    <w:p>
      <w:r>
        <w:t>378. As the Authority indicated in decision No. 11-D-11 concerning practices implemented by the Groupement des Cartes Bancaires, "a sanction decision (...) concerning anti-competitive practices cannot be qualified as an administrative act of an individual nature creating rights in favor of the companies concerned"273.</w:t>
      </w:r>
    </w:p>
    <w:p>
      <w:r>
        <w:t>379. In this case, not only was decision No. 01-D-41 a sanction decision and could not be regarded as creating rights in favor of the interested parties, but moreover, the parties could not invoke the silence of this decision regarding the disputed statutory provisions to claim a violation of the principle of legal certainty.</w:t>
      </w:r>
    </w:p>
    <w:p>
      <w:r>
        <w:t>380. In light of these developments, the argument based on the alleged non-respect of the principle of legal certainty can therefore only be dismissed.</w:t>
      </w:r>
    </w:p>
    <w:p>
      <w:r>
        <w:t>c) Respect for the principle of prohibition of multiple prosecutions</w:t>
      </w:r>
    </w:p>
    <w:p>
      <w:r>
        <w:t>381. The argument raised by the parties regarding the prohibition of multiple prosecutions amounts to invoking a violation of the non bis in idem principle.</w:t>
      </w:r>
    </w:p>
    <w:p>
      <w:r>
        <w:t>382. In this regard, in a judgment rendered on January 30, 2014, in the so-called "Laundry" case, the Paris Court of Appeal held that: "The application of the non bis in idem principle is subject to a triple condition of identity of facts, unity of offender, and unity of protected legal interest [and which] therefore prohibits sanctioning the same person more than once for the same unlawful behavior"274.</w:t>
      </w:r>
    </w:p>
    <w:p>
      <w:r>
        <w:t>383. Thus, the principle "non bis in idem" applies only in cases where multiple findings of infringement sanction identical facts, having the same anti-competitive object.</w:t>
      </w:r>
    </w:p>
    <w:p>
      <w:r>
        <w:t>384. However, in this case, Natixis Intertitres was not implicated in decision No. 01-D-41, and the object of the practices concerned in the two cases is not identical.</w:t>
      </w:r>
    </w:p>
    <w:p>
      <w:r>
        <w:t>385. It follows that the investigating services did not violate the principle of prohibition of multiple prosecutions.</w:t>
      </w:r>
    </w:p>
    <w:p>
      <w:r>
        <w:t>B. ON THE APPLICATION OF EU LAW</w:t>
      </w:r>
    </w:p>
    <w:p>
      <w:r>
        <w:t>1. RECALL OF APPLICABLE PRINCIPLES</w:t>
      </w:r>
    </w:p>
    <w:p>
      <w:r>
        <w:t>386. According to the case law of the Union summarized in the European Commission's Communication on guidelines regarding the notion of affecting trade as set out in Articles 101 and 102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significant nature of this effect275.</w:t>
      </w:r>
    </w:p>
    <w:p>
      <w:r>
        <w:t>387. Regarding the first element, point 19 of the guidelines specifies that: "[t]he notion of 'trade' is not limited to traditional cross-border exchanges of products and services, but has a broader scope that encompasses all international economic activity, including establishment"276.</w:t>
      </w:r>
    </w:p>
    <w:p>
      <w:r>
        <w:t>388. Regarding the second element, it is specified in points 78 and 79 of the guidelines that: "[h]orizontal agreements covering the entirety of a Member State are normally likely to affect trade between Member States. Moreover, Community courts often consider that an agreement extending to the entire territory of a Member State has, by its very nature, the effect of consolidating national barriers, thereby hindering the economic interpenetration intended by the Treaty. The ability of these agreements to partition the internal market is due to the fact that, normally, companies participating in agreements in a single Member State must protect themselves against competitors from other Member States. If they do not, and if the product concerned by the agreement is marketable, the agreement risks being weakened by competition from companies in other Member States." (emphasis added).</w:t>
      </w:r>
    </w:p>
    <w:p>
      <w:r>
        <w:t>389. In cases of agreements extending to the entirety or vast majority of the territory of a Member State, the Court of First Instance of the European Communities (now the Court of the European Union, hereinafter "the Court"), in a judgment of December 14, 2006, ruled that "there is, at the very least, a strong presumption that a restrictive competition practice applied to the entire territory of a Member State is likely to contribute to the partitioning of markets and affect intra-Community trade. This presumption can only be rebutted if the analysis of the characteristics of the agreement and the economic context in which it is situated demonstrates otherwise"277. On appeal, the Court of Justice clarified in this regard that: "(...) the fact that an agreement has as its object only the marketing of products in a single Member State is not sufficient to exclude that trade between Member States may be affected. Indeed, an agreement extending to the entire territory of a Member State has, by its very nature, the effect of consolidating national barriers, thereby hindering the economic interpenetration intended by the EC Treaty"278.</w:t>
      </w:r>
    </w:p>
    <w:p>
      <w:r>
        <w:t>390. Regarding the third element, the aforementioned guidelines specify in point 44 that: "The criterion of affecting trade incorporates a quantitative element that limits the applicability of Community law to agreements and practices that are likely to have effects of a certain magnitude. Agreements and practices are exempt from the prohibition set out in Articles 81 and 82 when they only affect the market in an insignificant manner, given the weak position of the companies concerned in the market for the products in question"279.</w:t>
      </w:r>
    </w:p>
    <w:p>
      <w:r>
        <w:t>391. The significant nature of such direct or indirect, potential or actual effects results from a set of criteria, among which the nature of the practices, the nature of the products concerned, and the market position of the companies involved, with the total sales volume concerned relative to the national volume being just one element among others280.</w:t>
      </w:r>
    </w:p>
    <w:p>
      <w:r>
        <w:t>392. Paragraph 52 of the aforementioned guidelines refers to two cumulative thresholds, below which an agreement is presumed not to significantly affect trade between Member States:</w:t>
        <w:br/>
        <w:t>- the total market share of the parties in the affected Community market does not exceed 5%;</w:t>
        <w:br/>
        <w:t>- and, in the case of horizontal agreements, the average annual turnover achieved in the Union by the companies involved with the products concerned by the agreement does not exceed 40 million euros.</w:t>
      </w:r>
    </w:p>
    <w:p>
      <w:r>
        <w:t>2. APPLICATION TO THE CASE AT HAND</w:t>
      </w:r>
    </w:p>
    <w:p>
      <w:r>
        <w:t>a) On trade between Member States</w:t>
      </w:r>
    </w:p>
    <w:p>
      <w:r>
        <w:t>393. In this particular case, the existence of a flow of exchanges between Member States concerning the products and services in question is established.</w:t>
      </w:r>
    </w:p>
    <w:p>
      <w:r>
        <w:rPr>
          <w:b/>
        </w:rPr>
        <w:t>[Pages 76–78]</w:t>
      </w:r>
    </w:p>
    <w:p>
      <w:r>
        <w:t xml:space="preserve">394. The member-shareholders belong to internationally sized groups, and three of them (i.e. Edenred France, Up, and Sodexo Pass France) issue securities comparable to those concerned in this case in other Member States of the Union (see paragraphs 77, 83, and 89).  </w:t>
        <w:br/>
        <w:t xml:space="preserve">395. Furthermore, the file shows that a Spanish company, Buen Menu, attempted to enter the French TR market in 2011. Anticipating the possible arrival of this operator in France, Edenred France even initiated a reflection on the establishment of a "response" strategy (see paragraphs 236 and 240).  </w:t>
        <w:br/>
        <w:t xml:space="preserve">396. The aforementioned elements attest to the existence of an "economic activity [of European dimension], including establishment" in the restaurant voucher sector, which characterizes trade between Member States within the meaning of Union law.  </w:t>
        <w:br/>
        <w:t xml:space="preserve">b) On the allocation of trade between Member States  </w:t>
        <w:br/>
        <w:t xml:space="preserve">397. This decision concerns two agreements consisting of, respectively, the regular sending of emails by the CRT to its members, revealing strategic information related to their activities, and the adoption of statutory, regulatory, and protocol provisions by which (i) it was prohibited for member-shareholders to develop outside the framework of the CRT a platform for the acceptance of dematerialized vouchers and (ii) a control was established over the accession of new issuers to the CRT.  </w:t>
        <w:br/>
        <w:t xml:space="preserve">398. These practices involve the CRT T and TR issuers, who operate throughout the national territory.  </w:t>
        <w:br/>
        <w:t xml:space="preserve">399. Consequently, the practices cover the entirety of the national territory and can be presumed to affect trade between Member States, within the meaning of the aforementioned case law and guidelines.  </w:t>
        <w:br/>
        <w:t xml:space="preserve">c) On the sensitive nature of the allocation  </w:t>
        <w:br/>
        <w:t xml:space="preserve">400. The practices examined involve companies whose European turnover exceeded 40 million euros in 2016. The total amount of commissions received, on all fronts and on all media, by the four implicated issuers amounts to approximately 230 million euros281. Moreover, the historical issuers represented, until 2012, 100% of the TR market, and in 2016, 98.5% of the face value of the issued restaurant vouchers (see paragraph 227).  </w:t>
        <w:br/>
        <w:t xml:space="preserve">401. Taken together, these elements demonstrate the sensitive nature of the potential allocation of trade between Member States resulting from the practices examined in this case.  </w:t>
        <w:br/>
        <w:t xml:space="preserve">d) Conclusion  </w:t>
        <w:br/>
        <w:t xml:space="preserve">402. It follows from all these developments that trade between Member States is likely to be significantly affected by the practices in question. These practices must therefore be examined in light of Union competition law, and in particular Article 101 TFEU (formerly Article 81 EC) and national law, notably Article L. 420-1 of the Commercial Code.  </w:t>
        <w:br/>
        <w:t xml:space="preserve">281 For the relevant quotes for the calculation, see the quotes referred to in 15/0092 F – quote 10 426.  </w:t>
        <w:br/>
        <w:t xml:space="preserve">C. ON THE RELEVANT MARKET  </w:t>
        <w:br/>
        <w:t xml:space="preserve">1. RECALL OF APPLICABLE PRINCIPLES  </w:t>
        <w:br/>
        <w:t xml:space="preserve">403. First, in its Communication on the definition of the relevant market, the Commission recalls that "a relevant product market comprises all products and/or services that the consumer considers interchangeable or substitutable by reason of their characteristics, their prices, and their intended use."282  </w:t>
        <w:br/>
        <w:t xml:space="preserve">404. At the national level, the Authority considers that "The market, in the sense understood by competition law, is defined as the place where supply and demand meet for a specific product or service. (...). Since perfect substitutability between products or services is rarely observed, the Council considers as substitutable and as being on the same market those products or services that can reasonably be thought to be considered by demanders as alternative means among which they can choose to satisfy the same demand."283  </w:t>
        <w:br/>
        <w:t xml:space="preserve">405. Nevertheless, it follows from Union case law that "(...) the obligation to delimit the relevant market in a decision adopted under Article 81 EC applies to the Commission only when, without such delimitation, it is not possible to determine whether the agreement, the decision to associate companies, or the concerted practice in question is likely to affect trade between Member States and has as its object or effect the prevention, restriction, or distortion of competition within the common market."284  </w:t>
        <w:br/>
        <w:t xml:space="preserve">406. This assessment is shared by the Council and then the Authority which, when "(...) the practices (...) are investigated under the prohibition of agreements (...)", consider that "(...)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them."285  </w:t>
        <w:br/>
        <w:t xml:space="preserve">407. In other words, in order to better determine the scope of the agreement or the anticompetitive practice, it may, in certain cases, be necessary to delimit the scope of the relevant market in cases of horizontal agreements.  </w:t>
        <w:br/>
        <w:t xml:space="preserve">408. Secondly, beyond these general principles, it is useful to recall the content of the case law and decision-making practice of the Authority regarding the payment means on the one hand, and gift vouchers on the other.  </w:t>
        <w:br/>
        <w:t xml:space="preserve">282 Commission Communication on the definition of the relevant market for the purposes of Community competition law (97/C 372/03), point 7.  </w:t>
        <w:br/>
        <w:t xml:space="preserve">283 Decision No. 10-D-19 of the Competition Authority of June 24, 2010, regarding practices implemented in the markets for the supply of gas, heating installations, and the management of heating networks and collective boilers, paragraphs 158 to 159.  </w:t>
        <w:br/>
        <w:t xml:space="preserve">284 Judgment of the Court of First Instance of March 19, 2003, CMA CGM and others/Commission (FETTCSA), T-213/00, point 206.  </w:t>
        <w:br/>
        <w:t xml:space="preserve">285 Decision No. 05-D-27 of June 15, 2005, regarding practices observed in the white tuna sector, paragraph 28; Decision No. 10-D-13 regarding practices implemented in the handling sector for the transport of containers at the port of Le Havre, paragraph 221; Decision of the Competition Authority No. 11-D-02 of January 26, 2011, regarding practices implemented in the sector of the restoration of historical monuments, paragraph 364.  </w:t>
        <w:br/>
        <w:t xml:space="preserve">409. Regarding payment means, the Commission specifies that it is necessary to distinguish, in particular, cash, checks, and finally, bank cards286.  </w:t>
        <w:br/>
        <w:t xml:space="preserve">410. Regarding gift vouchers, the Authority considers that it is necessary, for the definition of the relevant markets287, to establish a distinction firstly between gift checks, gift cards, and finally gift boxes, and secondly according to whether it concerns a consumer or an intermediary organization such as companies, local authorities, or works councils.  </w:t>
        <w:br/>
        <w:t xml:space="preserve">411. The Authority bases its analysis on the difference between gift checks and gift cards on the following four criteria: the technical characteristics of the products, the distribution channels, the regulation, and finally the life cycle of the media288.  </w:t>
        <w:br/>
        <w:t xml:space="preserve">412. Thirdly, as the Authority's guidelines on merger control recall, "[i]n the case of two-sided markets, the economic balance in one market cannot be understood independently of the conditions prevailing in another market. The two markets, although distinct, indeed function interdependently, a specificity that can be taken into account both at the stage of market delimitation and in the analysis of the effects of the operation on competition and efficiency gains."289  </w:t>
        <w:br/>
        <w:t xml:space="preserve">413. In its decision No. 18-DCC-18 regarding the exclusive control of Concept Multimedia by the Axel Springer group, the Authority specified that "[t]he examination of a two-sided market can (...) be conducted by defining a single market with its two inseparable sides or by analyzing the two distinct sides as two linked markets."290 (emphasis added).  </w:t>
        <w:br/>
        <w:t xml:space="preserve">414. In its decision No. 01-D-41 regarding practices implemented in the restaurant voucher and employment service voucher markets, the Authority recognized the existence of a single relevant market by condemning different issuers for a concerted action regarding the sharing of the "restaurant voucher market."291  </w:t>
        <w:br/>
        <w:t xml:space="preserve">2. APPLICATION TO THE CASE AT HAND  </w:t>
        <w:br/>
        <w:t xml:space="preserve">a) The delimitation of the relevant product or service market  </w:t>
        <w:br/>
        <w:t xml:space="preserve">On the definition of a single market  </w:t>
        <w:br/>
        <w:t xml:space="preserve">415. In this case, and as specified in paragraph 16, the restaurant voucher market constitutes a two-sided market.  </w:t>
        <w:br/>
        <w:t xml:space="preserve">286 Decision of the European Commission of October 17, 2007, regarding a procedure for the application of Article 81 EC in case COMP-38.606, Groupement des cartes bancaires "CB", paragraphs 179 to 185.  </w:t>
        <w:br/>
        <w:t xml:space="preserve">287 See decisions No. 11-D-08 of April 27, 2011, regarding the gift voucher sector, paragraphs 55 to 69, No. 16-DCC-130 of August 11, 2016, regarding a concentration operation in the gift voucher sector, paragraph 17, and No. 15-DCC-58 of May 26, 2015, regarding the gift voucher sector, paragraph 11.  </w:t>
        <w:br/>
        <w:t xml:space="preserve">288 See the aforementioned decision No. 11-D-08, points 60 to 69.  </w:t>
        <w:br/>
        <w:t xml:space="preserve">289 Guidelines of the Authority on merger control, point 421.  </w:t>
        <w:br/>
        <w:t xml:space="preserve">290 Decision No. 18-DCC-18 regarding the exclusive control of Concept Multimedia by the Axel Springer group, paragraph 23.  </w:t>
        <w:br/>
        <w:t>291 Decision No. 01-D-41 aforementioned, Article 1.</w:t>
      </w:r>
    </w:p>
    <w:p>
      <w:r>
        <w:rPr>
          <w:b/>
        </w:rPr>
        <w:t>[Pages 79–81]</w:t>
      </w:r>
    </w:p>
    <w:p>
      <w:r>
        <w:t>416. The acceptance and issuance sides of this market are intrinsically linked, as there is a perfect symmetry between these sides: indeed, not only is the total face value identical, but also the market share of each issuer is, except for lost and expired securities, rigorously identical on each side.</w:t>
      </w:r>
    </w:p>
    <w:p>
      <w:r>
        <w:t>417. Furthermore, as indicated in paragraphs 159 to 166, the restaurant voucher sector is characterized by the existence of numerous indirect externalities generated from one side to another.</w:t>
      </w:r>
    </w:p>
    <w:p>
      <w:r>
        <w:t>418. Thus, in light of the aforementioned decision-making practice, the Authority considers that it is appropriate to recognize the existence of a single market for restaurant vouchers.</w:t>
      </w:r>
    </w:p>
    <w:p>
      <w:r>
        <w:t>On the substitutability of paper vouchers and dematerialized vouchers</w:t>
      </w:r>
    </w:p>
    <w:p>
      <w:r>
        <w:t>419. In light of the principles recalled above, it is necessary to verify whether dematerialized restaurant vouchers can be considered "interchangeable or substitutable" with paper vouchers "due to their characteristics, price, and intended use."</w:t>
      </w:r>
    </w:p>
    <w:p>
      <w:r>
        <w:t>420. As a preliminary point, it should be noted that it is the client companies that represent the demand on the issuance side. Indeed, they alone, and not their employees who benefit from the TR, order the vouchers from the issuer(s) of their choice, and, if applicable, negotiate directly with the relevant issuer(s).</w:t>
      </w:r>
    </w:p>
    <w:p>
      <w:r>
        <w:t>On usage</w:t>
      </w:r>
    </w:p>
    <w:p>
      <w:r>
        <w:t>421. Firstly, regardless of the medium, the restaurant voucher aims to facilitate meal consumption by employees during their working days:</w:t>
        <w:br/>
        <w:t>- on the issuance side, it allows client companies to meet their legal obligations regarding the conditions under which employees can have lunch during their working hours (see paragraphs 54 and following); and</w:t>
        <w:br/>
        <w:t>- on the acceptance side, the restaurant voucher, regardless of the medium, allows the authorized merchant who accepts said voucher to be paid in exchange for the meal or food service provided.</w:t>
      </w:r>
    </w:p>
    <w:p>
      <w:r>
        <w:t>422. Secondly, the TR is, regardless of the medium, subject to the same legal and regulatory constraints regarding its conditions of use.</w:t>
      </w:r>
    </w:p>
    <w:p>
      <w:r>
        <w:t>423. As recalled above, regardless of its medium, a restaurant voucher can only be used in authorized points of sale, and for a well-defined type of products and services, and a TR beneficiary can, except in exceptional cases, use their TR only in the department in which they work, or in neighboring departments (see paragraph 48).</w:t>
      </w:r>
    </w:p>
    <w:p>
      <w:r>
        <w:t>424. Furthermore, the employer's contribution "cannot exceed 60%, nor be less than 50% of the redeemable value of the vouchers" (see paragraph 60).</w:t>
      </w:r>
    </w:p>
    <w:p>
      <w:r>
        <w:t>425. Finally, Decree No. 2014-294 of March 6, 2014, which specifies that "[r]estaurant vouchers can be issued on paper or in dematerialized form." (emphasis added), states in particular that "[r]estaurant vouchers are not usable on Sundays and public holidays," and that their use "is limited to a maximum amount of nineteen euros per day" (see paragraphs 48, 49, and 53).</w:t>
      </w:r>
    </w:p>
    <w:p>
      <w:r>
        <w:t>426. Thirdly, unlike gift vouchers, and a fortiori bank cards, given in particular the heterogeneity of the products and services they allow to be acquired on the one hand, and the applicable ceilings on the other hand, the scope of use of the TR is, regardless of the medium, restricted.</w:t>
      </w:r>
    </w:p>
    <w:p>
      <w:r>
        <w:t>427. In other words, the TR is characterized by a great homogeneity. It is a special payment title, allowing beneficiary employees to pay for their professional meals, or to purchase certain food items in authorized points of sale. Its amount is capped at 19 euros per day, which was summarized, during its hearing on December 14, 2015, by the CPIH stating that "[r]estaurant vouchers concern establishments charging around 10 to 15 euros at lunchtime"292.</w:t>
      </w:r>
    </w:p>
    <w:p>
      <w:r>
        <w:t>428. This represents a fundamental difference with gift vouchers, whose total value of the booklet, or the amount on the card, can be spent in one go, and a fortiori with bank cards, whose potential ceilings (weekly or monthly) differ substantially. However, in its decision-making practice, the Commission distinguishes between different means of payment (i.e., cash, checks, cards) based on the amount spent with each of them (see point 409 above).</w:t>
      </w:r>
    </w:p>
    <w:p>
      <w:r>
        <w:t>429. Fourthly, while the dematerialization of vouchers increases the possibilities for controlling the legality of their use, this argument should not be overvalued for the following reasons.</w:t>
      </w:r>
    </w:p>
    <w:p>
      <w:r>
        <w:t>430. Firstly, regarding the daily ceiling on the one hand, and the use of vouchers on authorized days and times on the other hand, control over paper is costly (e.g., verification of usage days), or even nearly impossible to perform (e.g., daily ceiling). In contrast, it is automatic in the case of dematerialized vouchers (transaction refused if the ceiling or the authorized days and times are not respected). It cannot therefore be excluded that some paper vouchers do not practically correspond exactly to the same use as dematerialized vouchers. This would be the case, for example, for meals taken at a restaurant outside the days worked by the beneficiary, or for food purchases on a given day where the total amount paid in TR exceeds 19 euros.</w:t>
      </w:r>
    </w:p>
    <w:p>
      <w:r>
        <w:t>431. However, the weight represented by paper vouchers whose use does not comply with the regulations, particularly regarding ceilings and authorized days and times, is, in light of the elements of the file, impossible to estimate.</w:t>
      </w:r>
    </w:p>
    <w:p>
      <w:r>
        <w:t>432. Furthermore, it is not demonstrated that potential purchases of food products, even if made outside the authorized hours and days and including when their amount exceeds the daily ceiling, do not serve, if applicable, for the preparation of meals taken at their workplace by the concerned beneficiaries.</w:t>
      </w:r>
    </w:p>
    <w:p>
      <w:r>
        <w:t>433. Secondly, the control of the identity of a card user is no less costly than that of the identity of a paper voucher user (e.g., presentation of an identity document), and regarding the approval of products acquired by TR, it is not demonstrated that the control of the use of dematerialized vouchers, particularly via "4 corners" cards, is, to date, easier than that operated on paper vouchers, as summarized by the manager of the company Up who was interviewed: "[t]his 4 corners card, as it goes through an open network, does not necessarily guarantee that the use of the 19 euros is to cover a consumption as provided by the decree. The 4 corners card does not offer all the guarantees of use in compliance with the regulations"293.</w:t>
      </w:r>
    </w:p>
    <w:p>
      <w:r>
        <w:t xml:space="preserve">292 15/0093 M – reference 2 186.  </w:t>
        <w:br/>
        <w:t>293 15/0093 M – reference 1 019.</w:t>
      </w:r>
    </w:p>
    <w:p>
      <w:r>
        <w:t>434. Thirdly, it should be recalled that, except for lost or expired vouchers, which represent about a few percent of the face value of the issued paper vouchers, all paper vouchers, like dematerialized vouchers, are ultimately used in a point of sale authorized by the CNTR.</w:t>
      </w:r>
    </w:p>
    <w:p>
      <w:r>
        <w:t>435. Finally, fifthly, the certain reluctance of employees to use a dematerialized form of TR (see paragraph 232) allows for a partial relativization of the substitutability between paper vouchers and dematerialized vouchers.</w:t>
      </w:r>
    </w:p>
    <w:p>
      <w:r>
        <w:t>436. In light of the above, it appears that the use of paper and dematerialized vouchers is almost perfectly substitutable. The same applies, a fortiori, to the different types of dematerialized vouchers among themselves (i.e., "4 corners" cards, "3 corners" cards, mobile solutions).</w:t>
      </w:r>
    </w:p>
    <w:p>
      <w:r>
        <w:t>On the characteristics</w:t>
      </w:r>
    </w:p>
    <w:p>
      <w:r>
        <w:t>437. It emerges from the documents in the file that some differences exist between paper vouchers and dematerialized vouchers, even if they do not call into question the previous analysis regarding the use of TR.</w:t>
      </w:r>
    </w:p>
    <w:p>
      <w:r>
        <w:t>438. Firstly, dematerialized solutions appear, on both sides, less risky regarding management errors, theft, loss, or fraud.</w:t>
      </w:r>
    </w:p>
    <w:p>
      <w:r>
        <w:t>439. Secondly, dematerialized solutions, which certainly require, at the outset, an adaptation notably of software and IT orders, appear subsequently simpler to implement, on both sides:</w:t>
        <w:br/>
        <w:t>- on the acceptance side, by eliminating certain operations for affiliates (i.e., corner cutting, preparation of envelopes for delivery, etc.); and</w:t>
        <w:br/>
        <w:t>- on the issuance side, by simplifying the procedures both for issuers (delivery of cards versus delivery of booklets of vouchers) and for client companies (i.e., elimination of the distribution of booklets of vouchers to employees).</w:t>
      </w:r>
    </w:p>
    <w:p>
      <w:r>
        <w:t>440. Thirdly, dematerialized solutions open up new possibilities regarding the services offered (e.g., promotions), and regarding differentiation based on the client's profile, whose knowledge is potentially enhanced thanks to data collected, if applicable, during transactions made with the restaurant card or mobile solution (e.g., locations and types of restaurants, amount spent, frequency, etc.).</w:t>
      </w:r>
    </w:p>
    <w:p>
      <w:r>
        <w:t>441. Finally, while the possibility of payment to the nearest cent for dematerialized vouchers represents, if not a gain, at least a convenience for employees, it remains that the total face value of the restaurant vouchers they benefit from, and thus the potential turnover for affiliates, remains unchanged.</w:t>
      </w:r>
    </w:p>
    <w:p>
      <w:r>
        <w:t>On prices</w:t>
      </w:r>
    </w:p>
    <w:p>
      <w:r>
        <w:t>442. As a preliminary point, it should be noted that the rates applied to dematerialized vouchers are not perfectly comparable to the rates applied to paper vouchers, given, regarding paper vouchers, the existence, on the acceptance side, of different circuits, discount tiers, and various services (e.g., collection center), and on the issuance side, of higher delivery costs.</w:t>
      </w:r>
    </w:p>
    <w:p>
      <w:r>
        <w:t>443. Regarding the issuance side, the commission rates applied by the implicated issuers are relatively low, and overall of a comparable order of magnitude whether for paper vouchers or dematerialized vouchers, as illustrated by the following table:</w:t>
      </w:r>
    </w:p>
    <w:p>
      <w:r>
        <w:rPr>
          <w:b/>
        </w:rPr>
        <w:t>[Pages 82–84]</w:t>
      </w:r>
    </w:p>
    <w:p>
      <w:r>
        <w:t>Table 6 – Effective issuance commission rates for 2016</w:t>
        <w:br/>
        <w:t>Company Paper securities Dematerialized securities</w:t>
        <w:br/>
        <w:t>Up 0.20 % 0.24 %</w:t>
        <w:br/>
        <w:t>Edenred France 0.46 % 0.28 %</w:t>
        <w:br/>
        <w:t>Sodexo Pass 0.24 % 0.21 %</w:t>
        <w:br/>
        <w:t>France</w:t>
        <w:br/>
        <w:t>Natixis 0.17 % 0.22 %</w:t>
        <w:br/>
        <w:t>Intertitres</w:t>
        <w:br/>
        <w:t>Source: Calculations based on issuer data – this represents, for each issuer and each medium, the ratio between (a) the total commissions received on issuance (i.e., excluding delivery fees, and, except for the "collection center" service, excluding specific CRT services), and (b) the face value issued on issuance (for the relevant quotes, see quotes referenced in 15/0092 F – quote 10 426).</w:t>
        <w:br/>
        <w:t>444. Regarding the acceptance side, given that approximately one-third of paper securities are reimbursed through the long circuit (i.e., "21 days," see paragraph 184), and consequently a lower commission rate is applied to them, the commissions related to acceptance are also, for similar reimbursement durations (i.e., normal paper circuit), of a comparable order of magnitude, even if the differences are higher in absolute value than those observed on the issuance side:</w:t>
        <w:br/>
        <w:t>Table 7 – Effective acceptance commission rates for 2016</w:t>
        <w:br/>
        <w:t>Company Paper securities Dematerialized securities</w:t>
        <w:br/>
        <w:t>Up 3.64 % 2.96 %</w:t>
        <w:br/>
        <w:t>Edenred France 2.84 % 3.48 %</w:t>
        <w:br/>
        <w:t>Sodexo Pass 3.36 % 3.00 %</w:t>
        <w:br/>
        <w:t>France</w:t>
        <w:br/>
        <w:t>Natixis 3.19 % 3.59 %</w:t>
        <w:br/>
        <w:t>Intertitres</w:t>
        <w:br/>
        <w:t>Source: Calculations based on issuer data – this represents, for each issuer and each medium, the ratio between (a) the total commissions received on acceptance (i.e., excluding delivery fees, and, except for the "collection center" service, excluding specific CRT services), and (b) the face value issued on acceptance (for the relevant quotes, see quotes referenced in 15/0092 F – quote 10 426).</w:t>
        <w:br/>
        <w:t>Conclusion</w:t>
        <w:br/>
        <w:t>445. In light of the above, the differences in characteristics identified between paper securities and dematerialized securities appear minor given the high degree of substitutability of their use, on the one hand, and the fact that the commission rates for both types of medium are of a comparable order of magnitude, on the other hand.</w:t>
        <w:br/>
        <w:t>446. Consequently, the Authority considers that the relevant product market is that of paper and dematerialized restaurant vouchers.</w:t>
        <w:br/>
        <w:t>b) The delimitation of the geographic market</w:t>
        <w:br/>
        <w:t>447. In light of the principles recalled above, it should first be noted that the issuers of TR are present throughout the national territory, secondly that the points of sale where the cards can be used are located exclusively in France, and finally that the issuance of TR is only possible for companies engaged in TR issuance activities in France.</w:t>
        <w:br/>
        <w:t>448. Therefore, the geographic market is the national territory.</w:t>
        <w:br/>
        <w:t>c) Conclusion</w:t>
        <w:br/>
        <w:t>449. Consequently, it follows from all the elements presented above that the relevant market is that of paper and dematerialized restaurant vouchers in France.</w:t>
        <w:br/>
        <w:t>D. ON THE PRACTICES REPORTED BY THE COMPLAINANTS</w:t>
        <w:br/>
        <w:t>1. ON THE FISCAL DISTORTION</w:t>
        <w:br/>
        <w:t>450. The first paragraph of Article L. 462-8 of the Commercial Code states that: "The Competition Authority may declare, by reasoned decision, the complaint inadmissible (...) if it considers that the facts invoked do not fall within the scope of its competence (...) ".</w:t>
        <w:br/>
        <w:t>451. In this regard, the Conflict Tribunal has ruled that while the rules defined in Book Four of the Commercial Code, relating to price freedom and competition, apply to all production, distribution, and service activities, including those carried out by public entities, particularly within the framework of public service delegation agreements, the Authority is, however, not competent to sanction violations of the rules prohibiting anti-competitive practices "concerning decisions or acts relating to the organization of public service or implementing public power prerogatives"294.</w:t>
        <w:br/>
        <w:t>452. In this case, the SNRPO and the SNRTC denounce a distortion of competition induced by different VAT rates between merchants and restaurateurs. Therefore, it follows from the aforementioned case law that the Authority is not competent to rule on the alleged distortion.</w:t>
        <w:br/>
        <w:t>2. ON THE OTHER REPORTED PRACTICES</w:t>
        <w:br/>
        <w:t>453. The second paragraph of Article L. 462-8 of the Commercial Code states that "the Competition Authority may (...) reject the complaint by reasoned decision when it considers that the facts invoked are not supported by sufficiently probative elements".</w:t>
        <w:br/>
        <w:t>454. However, it follows from the analysis conducted by the investigation services in the notification of grievances and the report295 that the practices referred to in paragraphs 248 to 256 and 258 to 274 are not supported by sufficiently probative elements within the meaning of the aforementioned article.</w:t>
        <w:br/>
        <w:t>294 Decision of May 4, 2009, of the Conflict Tribunal, Société Editions Jean-Paul Gisserot, No. 3714, in the collection.</w:t>
        <w:br/>
        <w:t>295 15/0092 F – quotes 10 482 to 10 494 and 14 391 to 14 393.</w:t>
        <w:br/>
        <w:t>E. ON THE MERITS OF THE GRIEVANCES</w:t>
        <w:br/>
        <w:t>1. ON THE EXCHANGE OF INFORMATION BETWEEN MEMBER-SHAREHOLDERS (GRIEVANCE NO. 1)</w:t>
        <w:br/>
        <w:t>a) The concerted practice</w:t>
        <w:br/>
        <w:t>Recalling the applicable principles</w:t>
        <w:br/>
        <w:t>455. The first paragraph of Article 101 of the TFEU and Article L. 420-1 of the Commercial Code prohibit agreements and concerted practices between companies that have the object or effect of restricting competition.</w:t>
        <w:br/>
        <w:t>The notion of concerted practice</w:t>
        <w:br/>
        <w:t>456. The notion of concerted practice refers to "a form of coordination between companies, which, without having been pushed to the realization of a formal agreement, consciously substitutes practical cooperation between them for the risks of competition"296.</w:t>
        <w:br/>
        <w:t>457. The Court of Justice specifies that concerted practice does not require "the development of a genuine plan" but must be "understood in light of the inherent conception of the treaty provisions relating to competition, according to which every economic operator must autonomously determine the policy it intends to follow on the common market"297.</w:t>
        <w:br/>
        <w:t>458. It is indeed established case law that "while it is true that this requirement of autonomy does not exclude the right of economic operators to intelligently adapt to the observed behavior or to anticipate that of their competitors, it does, however, rigorously oppose any direct or indirect contact between such operators, aimed at influencing the market behavior of an actual or potential competitor, or revealing to such a competitor the behavior that one is determined to, or is considering, adopt oneself on the market"298.</w:t>
        <w:br/>
        <w:t>459. A behavior may therefore fall under Article 101, paragraph 1, of the TFEU as a concerted practice, even if the parties have not previously agreed on a common plan defining their action on the market, but nevertheless adopt or align with collusive mechanisms that facilitate the coordination of their commercial policies299.</w:t>
        <w:br/>
        <w:t>The proof of concerted practices</w:t>
        <w:br/>
        <w:t>460. The existence of a concerted practice can be demonstrated by elements proving that contacts have taken place between a number of companies and that they were pursuing</w:t>
        <w:br/>
        <w:t>296 Judgment of the Court of Justice of June 4, 2009, T-mobile Netherlands, C-8/08, paragraph 26.</w:t>
        <w:br/>
        <w:t>297 Judgment of the Court of Justice of December 16, 1975, Suiker Unie/Commission, 40/73, paragraph 173.</w:t>
        <w:br/>
        <w:t>298 Judgment of the Court of Justice of December 16, 1975, Suiker Unie/Commission, 40/73, paragraph 174.</w:t>
        <w:br/>
        <w:t>299 Judgment of the Court of Justice of December 16, 1975, Suiker Unie cited above, paragraphs 175 and 179; judgments of the Tribunal of July 12, 2011, Fuji Electric Co. Ltd./Commission, T-132/07, paragraph 88, and of March 15, 2000, Cimenteries CBR and others/Commission, cases T-25/95 and others, paragraph 19.</w:t>
      </w:r>
    </w:p>
    <w:p>
      <w:r>
        <w:rPr>
          <w:b/>
        </w:rPr>
        <w:t>[Pages 85–87]</w:t>
      </w:r>
    </w:p>
    <w:p>
      <w:r>
        <w:t>precisely the aim of eliminating in advance the uncertainty regarding their future behavior in the market300.</w:t>
      </w:r>
    </w:p>
    <w:p>
      <w:r>
        <w:t>461. The demonstration of the existence of a concerted practice requires not only a consultation between the companies but also a market behavior resulting from this consultation and having a causal link with it. In this regard, it follows from the case law of the Court of Justice that "it must be presumed, subject to contrary evidence which it is for the interested operators to provide, that the companies participating in the consultation and remaining active in the market take into account the information exchanged with their competitors to determine their behavior in that market"301. This will be all the more so when the consultation has taken place on a regular basis over a long period.</w:t>
      </w:r>
    </w:p>
    <w:p>
      <w:r>
        <w:t>462. Thus, even the unilateral communication of confidential information from one company to a competitor and therefore their passive receipt can constitute a concerted practice. Similarly, when a company receives strategic data from a competitor, it will be presumed to have accepted this information and to have adapted its behavior in the market accordingly, unless it has responded with a clear statement that it did not wish to receive such information302.</w:t>
      </w:r>
    </w:p>
    <w:p>
      <w:r>
        <w:t>463. Furthermore, the Commission emphasizes in its guidelines on horizontal cooperation agreements (hereinafter "the Horizontal Guidelines") that exchanges of information between competitors can be addressed by competition law when they are direct or indirect303.</w:t>
      </w:r>
    </w:p>
    <w:p>
      <w:r>
        <w:t>464. In this regard, it emerges from consistent case law that a company can be held liable for agreements or concerted practices having an anti-competitive object when it intended to contribute through its own behavior to the common objectives pursued by all participants and was aware of the material behaviors envisaged or implemented by other companies in pursuit of the same objectives, or could reasonably foresee them and was willing to accept the risk304.</w:t>
      </w:r>
    </w:p>
    <w:p>
      <w:r>
        <w:t>465. Thus, the Court of Justice has ruled that a concerted practice could be attributed to a company if it "intended, through its service provider, to disclose its sensitive business information to its competitors, or when it expressly or tacitly approved that the latter share this sensitive business information with them (see, by analogy, judgments of January 7, 2004, Aalborg Portland e.a./Commission, C-204/00 P, C-205/00 P, C-211/00 P, C-213/00 P, C-217/00 P and C-219/00 P, EU:C:2004:6, paragraphs 82 to 84, as well as January 21, 2016, Eturas e.a., C-74/14, EU:C:2016:42, paragraph 28)" or "if it could reasonably foresee that the service provider it engaged would share its business information with its competitors and was willing to accept the risk"305.</w:t>
      </w:r>
    </w:p>
    <w:p>
      <w:r>
        <w:t>466. Finally, the Court of Appeal of Paris and the Court of Cassation have confirmed the evidentiary value of a set of serious, precise, and consistent indications306. Indeed, in the absence of direct evidence of an anti-competitive practice, the probative value of a set of indications is accepted if, after cross-checking, they constitute a set of serious, precise, and consistent presumptions even if, taken in isolation, they would not have a sufficiently probative character307.</w:t>
      </w:r>
    </w:p>
    <w:p>
      <w:r>
        <w:t>Application to the case at hand</w:t>
      </w:r>
    </w:p>
    <w:p>
      <w:r>
        <w:t>467. As a preliminary point, it should be noted that exchanges of information between the historical issuers took place through the CRT.</w:t>
      </w:r>
    </w:p>
    <w:p>
      <w:r>
        <w:t>468. Indeed, it appears from the file that the CRT communicated to its member-shareholders (i) data regarding the number of securities processed by it for each issuer and (ii) their individual market shares.</w:t>
      </w:r>
    </w:p>
    <w:p>
      <w:r>
        <w:t>469. According to the parties, this communication was intended "to justify the distribution of the operating costs of the CRT"308. However, the application of the rule for distributing the operating costs of the CRT (see paragraph 101) does not require the monthly communication of individual market shares on paper securities, as evidenced, moreover, by the new cost distribution rule, which came into effect on January 1, 2016, which does not require any communication of such data. Furthermore, the costs to be distributed concerned all processed securities (i.e., restaurant vouchers, service vouchers, and personalized accompaniment checks), and not just restaurant vouchers.</w:t>
      </w:r>
    </w:p>
    <w:p>
      <w:r>
        <w:t>470. While it is true that this information was transmitted by the CRT to its member-shareholders, this system of information exchange cannot be considered a unilateral practice of the CRT.</w:t>
      </w:r>
    </w:p>
    <w:p>
      <w:r>
        <w:t>471. Firstly, the historical issuers knew, or at the very least, could reasonably foresee that the information referred to above would be communicated to them by the CRT.</w:t>
      </w:r>
    </w:p>
    <w:p>
      <w:r>
        <w:t>472. Indeed, the email containing the data was sent in a single dispatch to the financial directors of all CRT members, with the list of recipients appearing as follows "To: DAF Issuers CRT" (see paragraph 277). Now, the historical issuers were the only four member-shareholders of the CRT.</w:t>
      </w:r>
    </w:p>
    <w:p>
      <w:r>
        <w:t>473. Secondly, the historical issuers never expressed their desire to no longer receive the information in question. Therefore, they were willing to accept the risk associated with such information sharing between competitors, through the CRT.</w:t>
      </w:r>
    </w:p>
    <w:p>
      <w:r>
        <w:t>474. In this context, it can also be presumed that the historical issuers accepted this information and adapted their behavior in the market accordingly. This is all the more true in the case at hand as the data were exchanged, with a few exceptions, on a monthly basis for over 5 years (see paragraphs 554 to 568).</w:t>
      </w:r>
    </w:p>
    <w:p>
      <w:r>
        <w:t>b) The anti-competitive effect of information exchanges</w:t>
      </w:r>
    </w:p>
    <w:p>
      <w:r>
        <w:t>Recap of applicable principles</w:t>
      </w:r>
    </w:p>
    <w:p>
      <w:r>
        <w:t>475. In its Horizontal Guidelines, the Commission specified that "[an] exchange of information can therefore constitute a concerted practice if it reduces strategic uncertainty in the market and, consequently, facilitates collusion, that is to say, if the exchanged data are strategic in nature. Consequently, the exchange of strategic data between competitors amounts to a consultation, in that it reduces the independence of behavior of competitors in the market and their incentive to compete"309.</w:t>
      </w:r>
    </w:p>
    <w:p>
      <w:r>
        <w:t>476. European courts have clarified the conditions under which an exchange of information is likely to increase transparency in the market, lift uncertainty regarding competitors' behavior, and alter the competition that remains between operators.</w:t>
      </w:r>
    </w:p>
    <w:p>
      <w:r>
        <w:t>477. In this regard, the Union Court indicated in a judgment in the John Deere case that "(...) the generalization, among the main suppliers, of an exchange of precise information and at close intervals, concerning the identification of registered vehicles and the place of their registration, is likely, in a highly concentrated oligopolistic market such as the market in question (see, above, paragraph 52), and where, consequently, competition is already significantly weakened and the exchange of information facilitated, to substantially alter the competition that remains between economic operators. Indeed, in such a case, the regular and close pooling of information relating to the functioning of the market periodically reveals to all competitors the market positions and strategies of the various competitors" (emphasis added)310.</w:t>
      </w:r>
    </w:p>
    <w:p>
      <w:r>
        <w:t>478. In the same case, the Court validated the reasoning followed by the Commission and the Union Court by indicating that "[i]n this assessment, the Court took into account the nature, periodicity, and destination of the information transmitted in this case. As for, firstly, the nature of the exchanged information, notably that relating to sales made in the territory of each of the concessions of the distribution network, the Court thus considered, in paragraphs 51 and 81, that they are trade secrets and allow the companies party to the agreement to know the sales made by their dealers outside and inside the allocated territory, as well as those of other competing companies and their dealers party to the agreement. Secondly, the Court held, in the same paragraphs 51 and 81, that the information relating to sales is disseminated at close intervals and systematically. Finally, in paragraph 51, the Court noted that the information is disseminated among the main suppliers, solely for their benefit, to the exclusion of other suppliers and consumers" (emphasis added)311.</w:t>
      </w:r>
    </w:p>
    <w:p>
      <w:r>
        <w:rPr>
          <w:b/>
        </w:rPr>
        <w:t>[Pages 88–90]</w:t>
      </w:r>
    </w:p>
    <w:p>
      <w:r>
        <w:t xml:space="preserve">479. National case law adopts a similar approach.  </w:t>
        <w:br/>
        <w:t xml:space="preserve">480. Thus, in a case concerning information exchange practices among Parisian hotels, the Court of Appeal ruled that "while transparency among economic actors is not likely, in a competitive market, to restrict decision-making autonomy and consequently competition among suppliers within the meaning of Article L. 420-1 of the Commercial Code, given the atomized nature of the supply and the uncertainty remaining for each economic operator regarding the predictable behavior of its competitors, the situation is different in a highly concentrated oligopolistic market where regular exchanges between actors ensuring the majority or even the entirety of the supply, on a close and systematic periodic basis, of nominative, precise, and non-public information about the market is likely to significantly alter the competition that exists among economic operators, as the regular and close pooling of this information periodically reveals to all competitors the market positions and strategies of each of them" (emphasis added)312.  </w:t>
        <w:br/>
        <w:t xml:space="preserve">481. The Authority applied the same principles to assess the restrictive nature of competition of the monthly exchanges of data on the number of new subscriptions and the number of cancellations implemented by the three operators present in the French mobile telephony market between 1997 and 2003. Regarding the market structure, the Authority noted in its decision that "the criteria that underpin the analysis of the Community judge are therefore those of a closed oligopoly, due to the existence of significant barriers to entry, on which the positions of the companies are relatively stabilized"313 (emphasis added).  </w:t>
        <w:br/>
        <w:t xml:space="preserve">482. Regarding the strategic nature of the exchanged information, the Authority recalled that "what matters, according to the John Deere case law, is not the precision, measured in abstract terms, of the exchanged information but rather the link between the nature of this information and the ability for operators to monitor the impact of their commercial policy, and that of their competitors, on their sales" (emphasis added)314.  </w:t>
        <w:br/>
        <w:t xml:space="preserve">483. By a ruling delivered on June 27, 2007, in the aforementioned mobile telephony case, the Court of Cassation indicated that to establish the grievances, the Court of Appeal should have examined "concretely (...) whether the regular exchange, from 1997 to 2003, of retrospective information between the three companies operating in the market (...) had as its object or actual or potential effect, given the characteristics of the market, its functioning, the nature and level of aggregation of the exchanged data (...), to allow each of the operators to adapt to the predictable behavior of its competitors and thus to distort or significantly restrict competition in the relevant market" (emphasis added)315.  </w:t>
        <w:br/>
        <w:t xml:space="preserve">484. Thus, the characterization of an infringement having restrictive effects on competition must be subject to concrete demonstration according to the circumstances of the case.  </w:t>
        <w:br/>
        <w:t xml:space="preserve">485. In light of the aforementioned case law and decision-making practice, it is necessary, to evaluate the restrictive effects of information exchanges, to analyze the market structure as well as the nature of the exchanged information and the modalities of the exchange.  </w:t>
        <w:br/>
        <w:t xml:space="preserve">486. In this case, it results from this analysis that by increasing transparency in the market, the exchanges of information have reduced uncertainty in the market and the commercial autonomy of the parties.  </w:t>
        <w:br/>
        <w:t xml:space="preserve">The market structure  </w:t>
        <w:br/>
        <w:t xml:space="preserve">487. First, as indicated above (see paragraphs 206 to 230), the restaurant voucher market is a highly concentrated oligopolistic market. In 2016, it had a limited number of players: eight issuers of restaurant vouchers across all media, including the four historical issuers, who were the only ones in the market until 2012.  </w:t>
        <w:br/>
        <w:t xml:space="preserve">488. In 2016, the cumulative market share of the historical issuers was 98.5%: it was 100% for paper vouchers, representing about 95% of the TR market, and about 80% for dematerialized vouchers (see paragraphs 227 to 230).  </w:t>
        <w:br/>
        <w:t xml:space="preserve">489. Secondly, and as indicated in paragraphs 206 to 230, this market was characterized during the examined period by stability in its growth, the number of issuers, and their annual market shares.  </w:t>
        <w:br/>
        <w:t xml:space="preserve">490. On this last point, the parties involved contest the stability observed by the Authority as they argue that the analysis of market shares should not be done at a global level in terms of demand but by segmenting between different categories of client companies based on their size, number of employees, ordering process, or sector of activity. However, at this level, they observe that there would be variations in the market shares of the issuers.  </w:t>
        <w:br/>
        <w:t xml:space="preserve">491. In this regard, the elements submitted to the file do not allow the Authority to conclude that each client segment facing issuance constitutes a market in itself. Contrary to the factual circumstances assessed in the so-called Car Rental case316 where the exchanged data aggregated information relating to two distinct markets in the sense of the Authority's decision-making practice (i.e. "individual" [i.e. private individuals] and "large accounts" [i.e. professionals]317), this is not the case here. Indeed, the demand for TR – of a certain face value, per employee and per day worked by that employee – inherently comes from employers who purchase TR for their employees – is of the same nature. The segmentation of the clientele proposed by the parties appears artificial: it contradicts the existing continuum within this demand. In other words, the entirety of the demand coming from clients facing issuance is a professional demand that cannot be divided into sub-groups exhibiting distinct demands.  </w:t>
        <w:br/>
        <w:t xml:space="preserve">492. Furthermore, this market is characterized by a high inertia of clients, described in paragraphs 192 to 194. As exposed in these paragraphs, the rate of switching contracts from one issuer to another (attrition rate) is low, indicating a low competitive intensity and a strong stability of the customer base.  </w:t>
        <w:br/>
        <w:t xml:space="preserve">493. According to the parties involved, the stability of market shares would also be challenged by the significant increase in the market share of Natixis Intertitres during the period of the practices and by the significant volatility of client companies.  </w:t>
        <w:br/>
        <w:t xml:space="preserve">494. In this regard, it was indicated in paragraph 228 that the growth of Natixis Intertitres should be put into perspective as it corresponds to +0.8 points per year between 2010 and 2016, which for each of the historical issuers represents, over 6 years, a loss of between approximately 1 and 4 points of market share.  </w:t>
        <w:br/>
        <w:t>495. The alleged volatility of client companies must also be put into perspective, as illustrated by the figures recorded in the following table:</w:t>
      </w:r>
    </w:p>
    <w:p>
      <w:r>
        <w:rPr>
          <w:b/>
        </w:rPr>
        <w:t>[Pages 91–93]</w:t>
      </w:r>
    </w:p>
    <w:p>
      <w:r>
        <w:t>Table 8 – Annual turnover rates observed between 2010 and 2016 by issuer (%) in the form of intervals</w:t>
        <w:br/>
        <w:t>Number of contracts Up318 Edenred Natixis Sodexo Pass</w:t>
        <w:br/>
        <w:t>(%) France319 Intertitres320 France321</w:t>
        <w:br/>
        <w:t>(%) (%) (%)</w:t>
        <w:br/>
        <w:t>2010 Lost [4-6] [4-6] [6-8] [4-6]</w:t>
        <w:br/>
        <w:t>Gained [4-6] [8-10] [18-20] [8-10]</w:t>
        <w:br/>
        <w:t>2011 Lost [2-4] [6-8] [8-10] [2-4]</w:t>
        <w:br/>
        <w:t>Gained [4-6] [6-8] [18-20] [8-10]</w:t>
        <w:br/>
        <w:t>2012 Lost [4-6] [2-4] [8-10] [4-6]</w:t>
        <w:br/>
        <w:t>Gained [2-4] [10-12] [16-18] [8-10]</w:t>
        <w:br/>
        <w:t>2013 Lost [8-10] [6-8] [4-6] [2-4]</w:t>
        <w:br/>
        <w:t>Gained [4-6] [6-8] [16-18] [8-10]</w:t>
        <w:br/>
        <w:t>2014 Lost [2-4] [6-8] [6-8] [2-4]</w:t>
        <w:br/>
        <w:t>Gained [4-6] [6-8] [10-12] [6-8]</w:t>
        <w:br/>
        <w:t>2015 Lost [4-6] [0-2] [2-4] [6-8]</w:t>
        <w:br/>
        <w:t>Gained [2-4] [2-4] [6-8] [6-8]</w:t>
        <w:br/>
        <w:t>2016 Lost [2-4] [2-4] [2-4] [6-8]</w:t>
        <w:br/>
        <w:t>Gained [2-4] [2-4] [8-10] [4-6]</w:t>
        <w:br/>
        <w:t>Note: The annual turnover rates are expressed in terms of the number of beneficiaries for the years 2010 to 2014 and in nominal value issued for the years 2015 and 2016.</w:t>
        <w:br/>
        <w:t>496. The volatility of client companies would also be demonstrated by an economic study produced by Edenred France and Edenred322 regarding the turnover rates of Edenred France, which the Authority itself recognized in its decision No. 16-D-21 mentioned above.</w:t>
        <w:br/>
        <w:t>497. The aforementioned economic study presents the attrition rates of Edenred France, that is, the proportion of clients lost by the issuer, between 2002 and 2015. These rates are relatively high in terms of the number of clients (around 10-13% per year) but very limited in terms of volume (between 3 and 5% per year over the same period). It emerges that the majority of measured volume attritions come from the category of small and medium-sized enterprises. Conversely, even when measured in volumes, the attritions of large accounts remain very low over the period. There is therefore indeed a very low volatility of demand from the most important clients during the period concerned by the practices. While there may be some volatility in volume from small and medium-sized enterprises, it does not seem to translate into value323.</w:t>
        <w:br/>
        <w:t>498. Finally, contrary to what the parties argue, decision No. 16-D-21 only highlighted the possibility for client companies to easily change issuers given the short notice periods. The Authority indicated that this possibility "is likely to fluidify the market for the issuance of restaurant vouchers and to make the market positions of issuers more easily contestable"324. However, despite this favorable context for competition, there is practically observed market inertia, a sign of low competitive intensity on the supply side.</w:t>
        <w:br/>
        <w:t>499. Thirdly, the market faces numerous economic entry barriers, which can constitute a particularly significant obstacle to the development of new issuers in the market (see paragraphs 188 to 196). However, being a member-shareholder of the CRT allows for at least partial overcoming of these obstacles (see paragraphs 615 to 622).</w:t>
        <w:br/>
        <w:t>500. The parties involved emphasize that the progress of Natixis Intertitres during the period of practices and the arrival of new entrants since 2012 would demonstrate the absence of entry barriers in this market.</w:t>
        <w:br/>
        <w:t>501. However, as indicated in paragraph 494, the progress of Natixis Intertitres between 2010 and 2016 must be put into perspective. Furthermore, even considering the more favorable context that this company faced before 2002 (three competing issuers instead of four for a new entrant during the period of practices, higher issuance rates, etc.), Natixis Intertitres was only able to capture a limited market share between 1982 and 2002, a period during which it was not a member of the CRT325. Indeed, for example, it increased from 5.5% in 1991 to only 7% in 2001326. This illustrates the extent of the entry barrier that a new entrant must overcome in the absence of membership in the CRT.</w:t>
        <w:br/>
        <w:t>502. A similar observation must be made regarding the entry of new issuers into the market, whose weight remains particularly low (1.5% market share in 2016). In this regard, the Authority also notes that Digibon France disappeared in 2017, that Edenred France acquired Moneo the same year, and that CFCM and Edenred France signed a partnership agreement that resulted in the migration of 60,000 CFCM cardholders to the Edenred France platform327.</w:t>
        <w:br/>
        <w:t>503. Fourthly, the products and services concerned in this case are, if not almost identical in the case of paper alone, at least very homogeneous regarding the following points: same use (i.e., to pay for a meal or food product at an authorized merchant); same regulatory and tax constraints, with a few exceptions (see paragraphs 54 to 69); same potential network of acceptors. Moreover, it has been observed that the average amounts of TR are homogeneous, and their evolution has been similar since 2010 (see paragraph 229).</w:t>
        <w:br/>
        <w:t>504. Fifthly, and as the Commission specifies in its Horizontal Guidelines, "(...) for collusion to be sustainable, the threat of sufficiently credible and swift retaliatory measures must be probable"328. In this case, retaliatory measures could be adopted, in terms of issuance, in the event of aggressive commercial policy from a member-shareholder.</w:t>
        <w:br/>
        <w:t>505. In this regard, the parties argue that retaliatory measures would be impossible in terms of issuance, due to the low level of commission rates. According to Natixis Intertitres and Natixis, in terms of acceptance, multi-homing and the fact that most of the issuers' revenues come from this side would remove any incentive for an issuer to lower its issuance commission rates. Finally, given the inertia of client companies, lowering issuance commission rates would have little interest.</w:t>
        <w:br/>
        <w:t>506. However, a zero commission rate is absolutely not a floor, not only theoretically329, but especially in practice, as evidenced by the existence of negative issuance commission rates for certain contracts330. As indicated earlier in paragraph 415, the service voucher market is a biface market. An issuer's revenue is the sum of the commissions collected (or paid) from companies and merchants respectively. Thus, a commission on the company side can be negative if this charge is offset by the revenues generated from merchants.</w:t>
        <w:br/>
        <w:t>507. In response to Natixis Intertitres' argument, the Authority emphasizes that it is easier to target retaliatory measures in terms of issuance, regardless of the side on which the deviation occurred. Furthermore, lowering issuance rates allows for the acquisition of new client companies on this side and, by symmetry, to recover additional revenue on the acceptance side. Thus, by contracting with new client companies, an issuer causes a loss of revenue to the deviating issuer on the acceptance side.</w:t>
        <w:br/>
        <w:t>508. Finally, regarding market inertia, contracts that do not experience attrition account for a significant portion of the market (i.e., approximately 95% according to Edenred France and Edenred331). However, it emerges from the file that these contracts are generally concluded for a duration exceeding 6 months (annual duration, or even supra-annual332). This means that over a year, a large part of an issuer's client portfolio potentially returns to the market. The attrition rate is thus very low and illustrates a non-competitive equilibrium.</w:t>
        <w:br/>
        <w:t>509. In light of the above, the Authority considers that the restaurant voucher market is a highly concentrated oligopolistic market, characterized during the examined period by strong stability linked in particular to the existence of several entry barriers and price transparency on the acceptance side. Consequently, the characteristics of this market have facilitated the coordination of member-shareholders and its maintenance on both internal and external levels.</w:t>
      </w:r>
    </w:p>
    <w:p>
      <w:r>
        <w:rPr>
          <w:b/>
        </w:rPr>
        <w:t>[Pages 94–96]</w:t>
      </w:r>
    </w:p>
    <w:p>
      <w:r>
        <w:t xml:space="preserve">The nature of the information exchanged and the modalities of the exchange  </w:t>
        <w:br/>
        <w:t xml:space="preserve">510. As a preliminary point, it should be recalled that according to the Commission, "the exchange, between competitors, of strategic data, that is to say data that reduces uncertainty on the strategic level in the market, is more likely to fall under Article 101 than the exchange of other types of information. (...) Generally speaking, information relating to prices and quantities is of the greatest strategic interest, followed by information on costs and demand. (...) The strategic usefulness of the data also depends on their aggregated nature and their age, as well as the market context and the frequency of exchanges"333.  </w:t>
        <w:br/>
        <w:t xml:space="preserve">511. Firstly, the data transmitted is not public and is only accessible to the concerned issuers. The confidential nature of this data, from the issuers' perspective, is further confirmed by the fact that all have requested protection for data of the same nature concerning them (i.e., annual number of securities issued) collected during the investigation334.  </w:t>
        <w:br/>
        <w:t xml:space="preserve">512. The parties involved allege that similar, if not more detailed, information was already accessible to the parties. Therefore, they cannot be considered confidential. They indicate that similar data was transmitted by the CNTR to the issuers during the duration of the practices and that each issuer had access to much more disaggregated data (segmentation of customer categories, even segmentation by customer) internally via market monitoring tools.  </w:t>
        <w:br/>
        <w:t xml:space="preserve">513. Nevertheless, it should be noted that the data transmitted by the CNTR was annual, thus of a frequency significantly lower than the monthly data transmitted by the CRT to its members. Furthermore, it appears from the case files that the data transmitted by the CRT is comprehensive and more timely than that which can be collected internally by the issuers' sales teams. Finally, unlike the data collected internally, the exchanged data is more reliable since it comes from a structure equally controlled by its members.  </w:t>
        <w:br/>
        <w:t xml:space="preserve">514. Secondly, the transmitted data is individual and very precise. Indeed, the number of restaurant vouchers issued by each issuer and then processed by the CRT was communicated to the exact unit.  </w:t>
        <w:br/>
        <w:t xml:space="preserve">515. Thirdly, given the symmetry of the faces in terms of market shares (see paragraphs 167 to 168), the communication of the disputed information allowed each issuer to know the number of vouchers issued by its competitors.  </w:t>
        <w:br/>
        <w:t xml:space="preserve">516. Moreover, it should be recalled that it is the client companies that choose the face value of the restaurant vouchers they purchase (see paragraph 420), and that the average amounts of vouchers issued are similar among historical issuers and have evolved comparably since 2010 (see paragraphs 226 to 229). Consequently, the market shares relative to the number of vouchers processed accurately reflect the performance of the various issuers in the market in terms of total face value reimbursed, and, by symmetry, in terms of total face value issued. It should be noted that face values are public information and that the average amount of TR issued, and its evolution since 2010, appears very homogeneous (see paragraph 229).  </w:t>
        <w:br/>
        <w:t xml:space="preserve">517. Fourthly, and as explained in paragraphs 181 to 187, the degree of price transparency in the market is uneven depending on the faces. The general pricing conditions are indeed much less transparent on the issuance side than on the acceptance side.  </w:t>
        <w:br/>
        <w:t xml:space="preserve">518. However, given the homogeneity of the services on which the exchanged information is based and the fact that the reimbursement circuit (which passes through the CRT) for a given discount on restaurant vouchers is identical for the four issuers, they do not need to know precisely the pricing practices of their competitors. Indeed, the exchanged information reveals to each the commercial strategic line of its competitors on the issuance side. In the face of a potential decrease in voucher orders, or an increase in contract termination, the exchanged data allowed the concerned issuer to quickly identify the aggressive competitor(s).  </w:t>
        <w:br/>
        <w:t xml:space="preserve">519. Under these conditions, the monthly statistics transmitted have enhanced market transparency for the issuers, allowing them to continuously observe the overall effectiveness of the pricing policy of each of their competitors. Furthermore, the analysis of the evolution of monthly market shares shows that they are quite stable from month to month with low attrition rates, which reinforces the usefulness of the exchanged information. In other words, the low variability of market shares and customer volatility significantly limits the uncertainty regarding the causes of a potential decrease in market share of one of the issuers, the uncertainty not being linked to the behavior of other issuers, as illustrated by the following graph:  </w:t>
        <w:br/>
        <w:t xml:space="preserve">Figure 5 – Evolution of individual monthly market shares, 2010 to 2013  </w:t>
        <w:br/>
        <w:t xml:space="preserve">Source: figures provided by the CRT335: the market share of each issuer was calculated as follows: the ratio between (a) the number of TR processed during a given month for a given issuer, and (b) the total number of TR processed by the CRT during the same month for its four members, all multiplied by 100 to obtain a percentage.  </w:t>
        <w:br/>
        <w:t xml:space="preserve">520. According to the parties involved, the strategic usefulness of the exchanged information should be nuanced as they:  </w:t>
        <w:br/>
        <w:t xml:space="preserve">- are affected by parameters independent of the strategy and will of the issuers (e.g., changes in the workforce of client companies, etc.);  </w:t>
        <w:br/>
        <w:t xml:space="preserve">- differ from market shares in revenue, since according to client companies, the level of commission rates on issuance is different and thus also the profit generated. Consequently, market shares in volume were not suitable for allowing issuers to monitor the behavior of issuers; and  </w:t>
        <w:br/>
        <w:t xml:space="preserve">- are by nature "aggregated": they do not allow for the identification of a change in a competitor's behavior as long as there is a significant variation in market shares by customer category.  </w:t>
        <w:br/>
        <w:t xml:space="preserve">521. The Authority notes, regarding the uncertainty linked to exogenous factors, as previously indicated, that annual and monthly market shares are very stable in this market and that attrition rates, particularly in value, are relatively low: in this context, it is difficult to consider that exogenous factors would make the market so unstable that it would be difficult to interpret the exchanged market share data.  </w:t>
        <w:br/>
        <w:t xml:space="preserve">522. Furthermore, regarding the difference between market shares in revenue and in volume, the Authority notes that, according to the parties involved, a member-shareholder could have deviated from the common line of historical issuers without this deviation being identified by its competitors, by adjusting its commercial policy in such a way as to modify the composition of its customer portfolio (i.e., by capturing market share on the most profitable sales volumes, and losing market share on the least profitable sales volumes). However, such a strategy appears to be implausible:  </w:t>
        <w:br/>
        <w:t xml:space="preserve">- either it involves capturing small client companies while abandoning large accounts. However, this strategy would be risky and costly in terms of resources needed to approach the extremely numerous small businesses;  </w:t>
        <w:br/>
        <w:t xml:space="preserve">- or it involves capturing large accounts while abandoning smaller client companies.  </w:t>
        <w:br/>
        <w:t xml:space="preserve">523. Finally, the Authority notes that the "aggregated" nature of the exchanged data partly constitutes their interest. Indeed, they differ precisely from the more detailed information accessible to the sales teams of the issuers, which provide little indication of the overall performance of competitors. It also emerges from a joint economic study of the parties that an analysis at the level of customer categories would not be more relevant.  </w:t>
        <w:br/>
        <w:t xml:space="preserve">524. Indeed, the aforementioned economic study analyzes different parameters (commission rates, market shares, etc.) according to customer categories (1 to 9 employees, 10 to 249 employees, 250 to 4,999 employees, and 5,000 employees and more). It shows that the large variations in market shares for clients with 5,000 employees and more are also observable on the cumulative market share across all clients. Indeed, given that the segment of companies with more than 5,000 employees represents, depending on the year, between [10 – 20%] of the total volume of TR issued in the market336, any significant variation will be reflected in the overall market share. Any attempt at deviation would therefore be easily identifiable on the overall market shares and thus with the help of the information exchanged by the members of the CRT.  </w:t>
        <w:br/>
        <w:t>336 15/0092 F – cote 18 780.</w:t>
      </w:r>
    </w:p>
    <w:p>
      <w:r>
        <w:rPr>
          <w:b/>
        </w:rPr>
        <w:t>[Pages 97–99]</w:t>
      </w:r>
    </w:p>
    <w:p>
      <w:r>
        <w:t>525. In any event, during the period considered, the market shares of the issuers remained stable and the attrition rates were low. This means that fluctuations in clientele between issuers were not reflected in the exchanged market shares, but rather indicated low competition rather than a lack of quality of this indicator for monitoring competitive behaviors.</w:t>
      </w:r>
    </w:p>
    <w:p>
      <w:r>
        <w:t>526. Fifthly, the fact that there is a delay of several months between the issuance of the securities and their processing by the CRT does not render the exchanged information historical.</w:t>
      </w:r>
    </w:p>
    <w:p>
      <w:r>
        <w:t>527. It is important to preliminarily distinguish, on the one hand, the age of the data, that is to say, the time elapsed between the validity date of said data and their transmission to the interested parties, and, on the other hand, the time lag between the issuance, or even the negotiation, of the TR, and their processing. Regarding the time lag, the Commission indicates in its Horizontal Guidelines that "[t]he truly historical nature of the data depends on the specifics of the market in question, and notably on the frequency of price renegotiation in the sector"337.</w:t>
      </w:r>
    </w:p>
    <w:p>
      <w:r>
        <w:t>528. In this case, the time lag between the moment when the TR are negotiated at issuance and when they are processed, which would be 6 months according to certain parties involved338 or 2-3 months according to the CRT (see paragraph 111), remains significantly lower than the annual, or even supra-annual339, frequency of setting the issuers' rates. Thus, at acceptance, public prices are set for one year and applied to more than 70% of the value of the TR issued340. At issuance, the general pricing conditions, applied to a minority part of the clientele, are generally also set for one year, and the duration of certain contracts is even supra-annual341. In any case, a time lag of two to six months does not seem to compromise the identification of deviant behaviors in a market where contracts at issuance are concluded for at least six months or most often one year and where the attrition rate is low.</w:t>
      </w:r>
    </w:p>
    <w:p>
      <w:r>
        <w:t>529. The exchanged information thus allowed each party to quickly detect, regarding the frequency of setting pricing conditions at issuance, any change in the general conduct of its three competitors. This is reinforced by the fact that, at issuance, the market exhibits a certain degree of inertia. In other words, even if a significant price adjustment made by an issuer can only be detected after several months by others, this does not appear sufficient for the first to reap the benefits of this adjustment, and thus does not incentivize it to deviate from the collusion equilibrium.</w:t>
      </w:r>
    </w:p>
    <w:p>
      <w:r>
        <w:t>530. In this case, it follows from the findings set out above that the CRT transmitted to the member-shareholders the market shares of each, relating to the number of securities processed by the CRT, observed in the month preceding the communication of the data. The Authority considers that given the structure of the market, the monthly frequency of exchanges, the level of disaggregation of the exchanged data, the confidentiality of the exchanged data, and their lack of historicity, this data had a certain strategic utility for the issuers.</w:t>
      </w:r>
    </w:p>
    <w:p>
      <w:r>
        <w:t>The reduction of uncertainty in the market and the commercial autonomy of historical issuers</w:t>
      </w:r>
    </w:p>
    <w:p>
      <w:r>
        <w:t>531. The information exchanges referred to in grievance no. 1 increased market transparency by indicating to each issuer its individual market share at acceptance as well as that of each of its three competitors. Thanks to this information, each issuer could assess the strategic line of its competitors at issuance. In other words, each was able to detect any change in pricing strategy and thus deter any aggressive behavior from one of them.</w:t>
      </w:r>
    </w:p>
    <w:p>
      <w:r>
        <w:t>532. In the particular context of the TR market, where the four implicated issuers hold nearly all market shares, are gathered within a common structure, i.e., the CRT, where the inertia of client companies, as evidenced by the relative stability of individual market shares, and all the more so of their cumulative market share, is significant, where the attrition rate is low, and finally where there is already strong pricing transparency at acceptance, the exchange of information is particularly harmful. Indeed, there is little room for competition to express itself without being immediately visible. Thus, in such a market, the sensitivity threshold, already notably low, has been significantly reduced by the practices.</w:t>
      </w:r>
    </w:p>
    <w:p>
      <w:r>
        <w:t>533. In light of the above, the Authority therefore considers that the information exchanges in this case contributed to reducing uncertainty in the oligopolistic market for restaurant vouchers and were therefore likely to reduce the commercial autonomy of the concerned operators.</w:t>
      </w:r>
    </w:p>
    <w:p>
      <w:r>
        <w:t>534. In this regard, the implicated parties argue that demonstrating restrictive effects on competition in this case would require proving:</w:t>
        <w:br/>
        <w:t>- the concrete use of the information exchanged by the member-shareholders, in light of the rulings of the Court of Cassation rendered in the mobile telephony case342; and</w:t>
        <w:br/>
        <w:t>- actual restrictive effects on competition.</w:t>
      </w:r>
    </w:p>
    <w:p>
      <w:r>
        <w:t>535. On the first point, the use of the data by the parties to the agreement is not, according to the Authority, essential to concretely demonstrate an anticompetitive effect in the sense of the aforementioned case law.</w:t>
      </w:r>
    </w:p>
    <w:p>
      <w:r>
        <w:t>536. In the context of the second appeal formed in this case, the Court of Cassation considered that the Court of Appeal, in its ruling on referral, had satisfied the requirement of concrete demonstration of the restrictive effect on competition of the exchange, noting "that in light of these findings and assessments, the Court of Appeal, which did not limit itself to reiterating the specific and adopted reasons of the partially overturned ruling of December 12, 2006, which did not presume from the mere oligopolistic nature of the market, and from abstract data, that a regular exchange of information was likely to significantly alter competition, which did not limit itself to deducing the strategic nature of the exchanged data from the mere fact that they were analyzed at the highest level by the operators and which did not decide that the lack of distinction between packages and prepaid cards mattered little, but verified that the exchanged information, despite its imperfections, had indeed been used by the operators to adjust their strategy, legally justified its decision" (emphasis added)343. The Court of Cassation does not here refer to the fact that demonstrating the use of the data would be a condition for proving anticompetitive effects in the sense of Article 101 TFEU or Article L. 420-1 of the Commercial Code.</w:t>
      </w:r>
    </w:p>
    <w:p>
      <w:r>
        <w:t>537. This interpretation would moreover contradict the position of the Horizontal Guidelines and the case law of the Court of Justice344 which recognize that "[w]hen a company receives strategic data from a competitor (whether at a meeting or by postal or electronic mail), it will be presumed to have accepted this information and adapted its behavior in the market accordingly, unless it has responded with a clear statement that it did not wish to receive such data" (paragraph 51). The use is therefore presumed here by the mere receipt of the communicated strategic information, in the absence of public distancing. Indeed, as demonstrated in paragraphs 510 to 530, the information in question exchanged on a monthly basis is strategic.</w:t>
      </w:r>
    </w:p>
    <w:p>
      <w:r>
        <w:t>538. On the second point, the parties rely on a ruling of December 12, 2018345 rendered by the Union Tribunal in a so-called "pay-for-delay" case in the pharmaceutical sector346.</w:t>
      </w:r>
    </w:p>
    <w:p>
      <w:r>
        <w:t>539. In this ruling, the Union Tribunal indicated that when a "pay-for-delay" agreement has been implemented, demonstrating a restriction of competition by the potential effects generated by said agreement cannot suffice to establish a violation of Article 101 TFEU: "(...) it would appear paradoxical, when the clauses of an agreement have been implemented and their effects on competition can be measured by taking into account the relevant factual developments, notably those occurring after the conclusion of the agreement, which occurred before the Commission ruled, to allow it to be satisfied with demonstrating the anticompetitive effects that these clauses could have (...)"347.</w:t>
      </w:r>
    </w:p>
    <w:p>
      <w:r>
        <w:t>540. However, the Authority considers that the reasoning held by the Union Tribunal in this ruling, under appeal, cannot be applied to the case at hand.</w:t>
      </w:r>
    </w:p>
    <w:p>
      <w:r>
        <w:t>541. Firstly, by consistent case law, the Court of Justice, in the context of preliminary rulings, accepts the principle that Article 101 TFEU does not limit the assessment of an agreement or a concerted practice to current effects alone, but must also take into account the potential effects of the agreement or practice in question on competition in the internal market348.</w:t>
      </w:r>
    </w:p>
    <w:p>
      <w:r>
        <w:rPr>
          <w:b/>
        </w:rPr>
        <w:t>[Pages 100–102]</w:t>
      </w:r>
    </w:p>
    <w:p>
      <w:r>
        <w:t>542. The Horizontal Guidelines do not limit the analysis of effects to only actual effects in the context of information exchanges. Indeed, they provide that regarding restrictive effects on competition, "it is necessary to analyze on a case-by-case basis the likely impact, in terms of competition, of information exchanges, the results of this assessment being dependent on a combination of elements specific to the case at hand. The evaluation of restrictive effects on competition consists of a comparison of the likely effects of the information exchange with the competitive situation as it would exist if that exchange did not take place. For an information exchange to have restrictive effects on competition within the meaning of Article 101, paragraph 1, it must be likely to have a significant adverse impact on one (or more) of the parameters of competition, such as price, production, quality or diversity of products, or innovation. An information exchange will or will not have restrictive effects on competition depending on the prevailing economic conditions in the relevant markets, as well as the characteristics of the exchanged information" (emphasis added)349.</w:t>
      </w:r>
    </w:p>
    <w:p>
      <w:r>
        <w:t>543. Secondly, the judgment has a necessarily limited scope due to the fact that it concerned the implementation of an agreement and not a concerted practice – as in the present case – for which, by definition, the distinction between conclusion and implementation is not relevant.</w:t>
      </w:r>
    </w:p>
    <w:p>
      <w:r>
        <w:t>544. Thirdly, and without this being required by case law for demonstrating a restriction of competition within the meaning of Article 101 TFEU and Article L. 420-1 of the Commercial Code, the Authority responds to the arguments raised by the parties regarding the absence of actual effects on the market of information exchanges in paragraphs 756 to 760.</w:t>
      </w:r>
    </w:p>
    <w:p>
      <w:r>
        <w:t>Conclusion</w:t>
      </w:r>
    </w:p>
    <w:p>
      <w:r>
        <w:t>545. It is therefore established that the practices referred to in complaint No. 1 had the effect of reducing uncertainty in the TR market by allowing each of the historical issuers to have an increased understanding of the behavior of its competitors compared to a situation of effective competition. Consequently, the Authority holds that these practices had the effect of restricting competition within the meaning of Articles 101 TFEU and L. 420-1 of the Commercial Code.</w:t>
      </w:r>
    </w:p>
    <w:p>
      <w:r>
        <w:t>c) The involvement of the parties concerned in the practices</w:t>
      </w:r>
    </w:p>
    <w:p>
      <w:r>
        <w:t>Recap of applicable principles</w:t>
      </w:r>
    </w:p>
    <w:p>
      <w:r>
        <w:t>546. Regarding the applicable principles related to demonstrating participation in the practices, the Authority refers to the developments presented in paragraphs 464 to 466.</w:t>
      </w:r>
    </w:p>
    <w:p>
      <w:r>
        <w:t>Application to the present case</w:t>
      </w:r>
    </w:p>
    <w:p>
      <w:r>
        <w:t>547. Firstly, as it appears from paragraphs 467 to 474, the participation of member-shareholders in the information exchanges is evidenced.</w:t>
      </w:r>
    </w:p>
    <w:p>
      <w:r>
        <w:t>548. Secondly, the CRT actively participated by playing a central role in the disputed information exchange system through the communication of the aforementioned dashboards to the CFOs of the member-shareholders. Therefore, the CRT must also be held responsible for the practices for their entire duration.</w:t>
      </w:r>
    </w:p>
    <w:p>
      <w:r>
        <w:t>d) The duration and continuity of the practices</w:t>
      </w:r>
    </w:p>
    <w:p>
      <w:r>
        <w:t>Recap of applicable principles</w:t>
      </w:r>
    </w:p>
    <w:p>
      <w:r>
        <w:t>549. The Competition Authority recalled in previous decisions the principles applicable when determining the duration of an infringement in accordance with competition law rules350.</w:t>
      </w:r>
    </w:p>
    <w:p>
      <w:r>
        <w:t>550. Thus, it is necessary to seek the period that elapsed between the date of the commission of the infringement and the date on which it was terminated351.</w:t>
      </w:r>
    </w:p>
    <w:p>
      <w:r>
        <w:t>551. Regarding the administration of proof of the infringements referred to in Article L. 420-1 of the Commercial Code and Article 101 TFEU, it is the Authority's responsibility to establish the evidence necessary to sufficiently demonstrate the existence of the facts constituting an infringement. In the absence of direct evidence, the Authority must rely on "evidence relating to facts sufficiently close in time, so that it can be reasonably accepted that this infringement continued uninterrupted between two specific dates"352.</w:t>
      </w:r>
    </w:p>
    <w:p>
      <w:r>
        <w:t>552. Furthermore, in accordance with the principle of the presumption of innocence353, the existence of any doubt regarding the duration of the infringement must benefit the company concerned.</w:t>
      </w:r>
    </w:p>
    <w:p>
      <w:r>
        <w:t>553. Regarding the proof of the duration of this infringement and its continuity, the Union judge considered that between two specific dates for which it was established, companies' statements about their continuity could constitute sufficient evidence354.</w:t>
      </w:r>
    </w:p>
    <w:p>
      <w:r>
        <w:t>Application to the present case</w:t>
      </w:r>
    </w:p>
    <w:p>
      <w:r>
        <w:t>Start of practices</w:t>
      </w:r>
    </w:p>
    <w:p>
      <w:r>
        <w:t>554. Firstly, it appears from the case files that between July 5, 2010, and July 2, 2013, the CRT simultaneously sent to the issuing CFOs, at the beginning of each month, an email to which was attached a file containing, among other things, the number of restaurant vouchers processed in the previous month for each issuer.</w:t>
      </w:r>
    </w:p>
    <w:p>
      <w:r>
        <w:t>555. Secondly, various statements from the CRT are also likely to demonstrate that the four historical issuers individually received communication of individual market shares (in terms of processed vouchers) since October 1, 2002, the date from which Natixis Intertitres began to benefit from the CRT's voucher processing services.</w:t>
      </w:r>
    </w:p>
    <w:p>
      <w:r>
        <w:t>556. Indeed, in response to the complainant's allegations referring to information exchange practices, the CRT indicated in its observations of July 4, 2016, that "the communication of these figures to the CFOs of the issuers had [sic] the sole purpose of justifying the distribution of the CRT's operating costs among the issuers." However, the distribution rule based on 10% equally and 90% according to the volume of vouchers processed for each issuer is expressly stated in the Protocol and, according to the CRT, has existed "at least since 1987" (see paragraph 101).</w:t>
      </w:r>
    </w:p>
    <w:p>
      <w:r>
        <w:t>557. Furthermore, the General Director of the CRT stated that "(...) for informational purposes, [the Administrative and Financial Director of the CRT] sends by email the tables with the number of vouchers processed for each issuer every month, 'since always'" (see paragraph 276).</w:t>
      </w:r>
    </w:p>
    <w:p>
      <w:r>
        <w:t>558. That being said, the Authority considers that it does not have sufficient information at its disposal to confirm that the infringement would have actually started on October 1, 2002. Consequently, the Authority considers that the practices are established from July 5, 2010.</w:t>
      </w:r>
    </w:p>
    <w:p>
      <w:r>
        <w:t>Continuity of practices</w:t>
      </w:r>
    </w:p>
    <w:p>
      <w:r>
        <w:t>559. Some parties contest the continuous nature of the practices in question over the period from 2010 to 2013, due to the absence of emails in certain months during this period.</w:t>
      </w:r>
    </w:p>
    <w:p>
      <w:r>
        <w:t>560. However, the Authority notes that, with one exception, this absence never concerns two consecutive months throughout the period and, above all, the regular and continuous communication of market shares during this period was confirmed during the hearing of June 13, 2017, during which the CRT stated that "for informational purposes, [the CFO of the CRT] sent by email the tables with the number of processed vouchers for each issuer every month, 'since always'"355 (emphasis added).</w:t>
      </w:r>
    </w:p>
    <w:p>
      <w:r>
        <w:t>561. Furthermore, the CFO of the CRT indicated in an internal CRT email dated July 5, 2010, that "before the 5th of the month, [she] sends this table representing the market share of each issuer"356.</w:t>
      </w:r>
    </w:p>
    <w:p>
      <w:r>
        <w:t>562. Consequently, the Authority considers that the practices in question have been continuous from July 5, 2010, to July 2, 2013.</w:t>
      </w:r>
    </w:p>
    <w:p>
      <w:r>
        <w:t>End of practices</w:t>
      </w:r>
    </w:p>
    <w:p>
      <w:r>
        <w:t>563. According to statements from the CRT representative, "[S]ince January 1, 2016, information regarding the number of vouchers processed by each issuer is no longer sent" (see paragraph 284).</w:t>
      </w:r>
    </w:p>
    <w:p>
      <w:r>
        <w:t>564. Furthermore, the CRT has implemented new methods of cost distribution. Thus, this distribution "has been carried out since January 1, 2016, based on direct costs (proportional to the volume of vouchers processed for each issuer) and indirect costs (distributed equally). The issuers therefore do not know the details of the costs incurred by other issuers, but only the total cost allocated among the issuers"357 (emphasis added).</w:t>
      </w:r>
    </w:p>
    <w:p>
      <w:r>
        <w:t>565. In this new distribution system, each issuer does not actually know the market shares of its competitors and is not able to calculate them. Indeed, based on the amount of costs attributed to it, the total costs of the CRT, and finally the distribution key between direct and indirect costs, it is only able to calculate its own market share. Issuers may appoint an external auditor to ensure that he</w:t>
      </w:r>
    </w:p>
    <w:p>
      <w:r>
        <w:rPr>
          <w:b/>
        </w:rPr>
        <w:t>[Pages 103–105]</w:t>
      </w:r>
    </w:p>
    <w:p>
      <w:r>
        <w:t>certifies the compliance of the calls for funds with the rules for the allocation of the operating costs of the CRT.</w:t>
      </w:r>
    </w:p>
    <w:p>
      <w:r>
        <w:t>566. These elements are corroborated by the existence of an internal email from the CRT dated January 5, 2017, indicating, regarding market share tables, "Please do not send anything directly to the issuers" (see paragraph 285).</w:t>
      </w:r>
    </w:p>
    <w:p>
      <w:r>
        <w:t>567. In this context, notwithstanding the absence in the file of emails between the CRT and the historical issuers beyond July 2, 2013, the Authority considers that the practices continued until the implementation of the new cost allocation methods.</w:t>
      </w:r>
    </w:p>
    <w:p>
      <w:r>
        <w:t>568. In light of the above, the Authority considers that the practices ended on December 31, 2015.</w:t>
      </w:r>
    </w:p>
    <w:p>
      <w:r>
        <w:t>2. ON THE MARKET LOCK-IN PRACTICES (GRIEVANCE NO. 2)</w:t>
      </w:r>
    </w:p>
    <w:p>
      <w:r>
        <w:t>569. The Articles of Association, the CRT Internal Regulations, and the Protocol constitute the entire set of operational rules of the CRT and, as such, are interconnected. Their complementary nature is illustrated notably by the fact that the CRT Internal Regulations specify the provisions of the Articles of Association and that member-shareholders risk exclusion from the CRT, in accordance with Article VII of the Articles of Association, in the event of a violation of the obligations set forth by the Protocol (see paragraph 309).</w:t>
      </w:r>
    </w:p>
    <w:p>
      <w:r>
        <w:t>570. Certain provisions of the Articles of Association, the CRT Internal Regulations, and the Protocol, presented in paragraphs 286 to 329 (hereinafter, taken together, "the Agreement"), have, when combined, the purpose of locking the restaurant voucher market:</w:t>
        <w:br/>
        <w:t>- on the one hand, by controlling the accession of issuers to the CRT (first aspect); and,</w:t>
        <w:br/>
        <w:t>- on the other hand, by controlling the development of dematerialized vouchers through the prohibition of developing a processing platform for dematerialized vouchers outside the CRT under penalty of sanctions (second aspect).</w:t>
      </w:r>
    </w:p>
    <w:p>
      <w:r>
        <w:t>571. As indicated in paragraphs 628 and 653, these two aspects complement and reinforce each other. Thus, the prohibition on launching dematerialized solutions strengthened market control through the CRT. Similarly, controlling entry into the CRT limited market access for operators who, for example, wanted to first develop products on paper before launching dematerialized vouchers.</w:t>
      </w:r>
    </w:p>
    <w:p>
      <w:r>
        <w:t>572. In the continuation of the decision, the Authority will qualify, in this specific case, the Agreement as an agreement between several companies aimed at or capable of preventing, restricting, or distorting competition in the market. It will dismiss any potential qualification of an ancillary restriction attached to the Agreement and specify the identity of the participants in the practices in question as well as their duration.</w:t>
      </w:r>
    </w:p>
    <w:p>
      <w:r>
        <w:t>573. To ensure the clarity of its demonstration, it will separate, for certain steps of its reasoning, the analysis of the first and second aspects of the practices in question.</w:t>
      </w:r>
    </w:p>
    <w:p>
      <w:r>
        <w:t>a) The agreement of wills</w:t>
      </w:r>
    </w:p>
    <w:p>
      <w:r>
        <w:t>Recap of applicable principles</w:t>
      </w:r>
    </w:p>
    <w:p>
      <w:r>
        <w:t>574. Article 101, paragraph 1 of the TFEU prohibits agreements, decisions of associations of undertakings, and concerted practices that restrict competition resulting from agreements of will between autonomous entities.</w:t>
      </w:r>
    </w:p>
    <w:p>
      <w:r>
        <w:t>575. Article L. 420-1 of the Commercial Code prohibits agreements, concerted practices, and decisions of associations of undertakings that restrict competition resulting from agreements of will between autonomous entities.</w:t>
      </w:r>
    </w:p>
    <w:p>
      <w:r>
        <w:t>576. The proof of an agreement requires the demonstration of a common intention of the parties to the agreement to behave in a determined manner in the market358. According to the Court of Justice, the proof of such an agreement "must be based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expressed"359.</w:t>
      </w:r>
    </w:p>
    <w:p>
      <w:r>
        <w:t>577. Regarding the standard of proof of a company's participation in a horizontal agreement, it follows from the decision-making practice of the Authority and case law that the proof of anti-competitive practices can result either from self-sufficient evidence or from a body of serious, precise, and consistent indications constituted by the convergence of various elements collected during the investigation360.</w:t>
      </w:r>
    </w:p>
    <w:p>
      <w:r>
        <w:t>Application to the specific case</w:t>
      </w:r>
    </w:p>
    <w:p>
      <w:r>
        <w:t>First aspect</w:t>
      </w:r>
    </w:p>
    <w:p>
      <w:r>
        <w:t>578. In this case, certain provisions from the Articles of Association and the CRT Internal Regulations are capable of giving member-shareholders control over the accession of new issuers to the CRT (i.e., Articles II, VI, and X of the Articles of Association, and 8, 13, and 15 of the CRT Internal Regulations, see paragraphs 287 to 297).</w:t>
      </w:r>
    </w:p>
    <w:p>
      <w:r>
        <w:t>579. However, the Articles of Association were adopted by the member-shareholders on February 11, 2002. Furthermore, the CRT Internal Regulations were adopted on March 27, 2015, by its members, i.e., the historical issuers within the General Assembly of the CRT under Article XIX of the Articles of Association. Their existence constitutes, in the sense of Union case law361, proof of the common intention of the historical issuers to "behave in a determined manner in the market."</w:t>
      </w:r>
    </w:p>
    <w:p>
      <w:r>
        <w:t>580. These provisions notably express the concordant intention of each issuer that any new member of the CRT be presented "by a member-shareholder of the Association [the CRT]" and "approved by decision of the Board of Directors [of the CRT]," a decision that must also be "unanimous" and "unmotivated" (Articles VI of the Articles of Association and 15.3 of the CRT Internal Regulations).</w:t>
      </w:r>
    </w:p>
    <w:p>
      <w:r>
        <w:t>Second aspect</w:t>
      </w:r>
    </w:p>
    <w:p>
      <w:r>
        <w:t>581. Certain provisions of the Protocol (Articles 2, 3.1, and 7) express the intention of its signatories:</w:t>
        <w:br/>
        <w:t>(i) to commit to having all the securities (i.e., restaurant vouchers, employment-service vouchers, and personalized accompaniment checks) they issue processed by the CRT;</w:t>
        <w:br/>
        <w:t>(ii) to refrain from developing "any system of 'acceptance' of dematerialized restaurant vouchers outside the framework of the CRT"; and</w:t>
        <w:br/>
        <w:t>(iii) to impose a financial penalty in case of failure to comply with the obligations set forth by the Protocol, and "in case of persistence in the failure" of the issuer to impose a measure of exclusion from the CRT in accordance with Article VII of the Articles of Association.</w:t>
      </w:r>
    </w:p>
    <w:p>
      <w:r>
        <w:t>582. However, the Protocol was signed on January 21, 2002, by all historical issuers.</w:t>
      </w:r>
    </w:p>
    <w:p>
      <w:r>
        <w:t>583. Therefore, the existence of the Protocol, and more particularly its Articles 2, 3.1, and 7 (see paragraphs 298 to 310), constitutes, in the sense of Union case law362, proof of the common intention of the historical issuers to "behave in a determined manner in the market."</w:t>
      </w:r>
    </w:p>
    <w:p>
      <w:r>
        <w:t>584. The aforementioned agreement of wills among the implicated issuers is further confirmed by the terms of the Amendment Letter, by which the signatory issuers of the Protocol expressly terminate their commitments regarding dematerialized vouchers towards the CRT.</w:t>
      </w:r>
    </w:p>
    <w:p>
      <w:r>
        <w:t>585. The aforementioned Amendment Letter stipulates that the signatory issuers "are released from (i) their exclusivity commitment in favor of the Central Settlement of Securities regarding the processing of dematerialized restaurant vouchers and (ii) their prohibition from developing outside the Central Settlement of Securities a monetary platform that would aim or have the purpose of managing, based on standard technical norms (electronic payment terminals, back and front office acquirer), a system of acceptance in France of dematerialized restaurant vouchers"363 (emphasis added).</w:t>
      </w:r>
    </w:p>
    <w:p>
      <w:r>
        <w:t>Conclusion</w:t>
      </w:r>
    </w:p>
    <w:p>
      <w:r>
        <w:t>586. In light of the above, the Agreement therefore constitutes an agreement of wills in the sense of case law and decision-making practice.</w:t>
      </w:r>
    </w:p>
    <w:p>
      <w:r>
        <w:t>b) The anti-competitive object of the practices</w:t>
      </w:r>
    </w:p>
    <w:p>
      <w:r>
        <w:t>Recap of applicable principles</w:t>
      </w:r>
    </w:p>
    <w:p>
      <w:r>
        <w:t>The notion of restriction of competition</w:t>
      </w:r>
    </w:p>
    <w:p>
      <w:r>
        <w:t>587. According to the decision-making practice of the Council, and then of the Authority, the absence of objective, transparent, and non-discriminatory rules for membership in a grouping of companies can only fall under the prohibition of anti-competitive agreements between these companies if the lack of these rules or their poor application leads to distorting competition in the market.</w:t>
      </w:r>
    </w:p>
    <w:p>
      <w:r>
        <w:rPr>
          <w:b/>
        </w:rPr>
        <w:t>[Pages 106–108]</w:t>
      </w:r>
    </w:p>
    <w:p>
      <w:r>
        <w:t>preventing or limiting access to the market for companies that are not admitted to this grouping364.</w:t>
      </w:r>
    </w:p>
    <w:p>
      <w:r>
        <w:t>588. In this regard, the Court of Appeal of Paris365 ruled that no anti-competitive agreement was established against a trade union as long as the conditions for membership in this organization: "cannot have the effect of preventing, restricting, or distorting competition in the relevant market." More specifically, the ruling first notes that: "if the admission by co-optation of new members within a professional organization does not in itself constitute a practice contrary to competition law, such a practice may undermine the functioning of free competition if membership in this professional organization is a condition for access to the market." The court then indicates that the restriction of competition resulting from a refusal of membership must be demonstrated and "cannot be inferred solely from the fact that companies request to join this organization."</w:t>
      </w:r>
    </w:p>
    <w:p>
      <w:r>
        <w:t>589. In the same vein, the Authority's decision-making practice considers that the restriction of competition is that which results from the situation in which membership in a grouping of companies is "a condition for access to the market." Thus, in its decision n° 01-D-70 of October 24, 2001, concerning the molasses and rum sector in Réunion, it stated: "that the closure of a grouping, that is to say, the fact of reserving membership for its founders or for companies accepted by them, is only likely to hinder the free play of competition if participation in the grouping is the condition for access to the market."</w:t>
      </w:r>
    </w:p>
    <w:p>
      <w:r>
        <w:t>590. However, as the Authority clarified in its decision n° 18-D-04 concerning practices implemented in the meat production and marketing sector in Martinique, the notion of restriction of competition is not limited to this single case, which may seem inappropriate in certain market situations. Thus, the Authority also admits that the restriction of competition is established if membership in the grouping is a condition for "access to an essential part of the market"366, or if it is "an essential factor for contact with the local clientele," which results in the refusal of admission potentially "limiting the access of artisans excluded from the grouping to the clientele"367.</w:t>
      </w:r>
    </w:p>
    <w:p>
      <w:r>
        <w:t>591. Consequently, the conditions for membership in a professional grouping may undermine free competition if, on the one hand, they are defined or applied in a non-objective, non-transparent, or discriminatory manner and if, on the other hand, the absence of these membership rules or their improper application leads to preventing or limiting access to the market for companies that are not admitted.</w:t>
      </w:r>
    </w:p>
    <w:p>
      <w:r>
        <w:t xml:space="preserve">364 Decision n° 18-D-04 of February 20, 2018, concerning practices implemented in the meat production and marketing sector in Martinique, paragraph 80.  </w:t>
        <w:br/>
        <w:t xml:space="preserve">365 Judgment of the Court of Appeal of Paris of May 27, 2003, Chamber of Trade of Moving and Storage Companies of France, n° 2002/18680.  </w:t>
        <w:br/>
        <w:t xml:space="preserve">366 Decision n° 10-D-15 of May 11, 2010, concerning practices implemented by the GIE "groupement des Taxis amiénois et de la métropole," paragraph 170.  </w:t>
        <w:br/>
        <w:t>367 Decision n° 01-D-32 of June 27, 2001, concerning a referral by Mr. Henri Faraud directed against practices implemented in the taxi sector in Saint-Laurent du Var.</w:t>
      </w:r>
    </w:p>
    <w:p>
      <w:r>
        <w:t xml:space="preserve">The distinction between restriction of competition by object and by effect  </w:t>
        <w:br/>
        <w:t xml:space="preserve">592. Articles 101, paragraph 1, TFEU and L. 420-1 of the Commercial Code establish a probative distinction between practices that restrict competition by reason of their "object" or their harmful "effects."  </w:t>
        <w:br/>
        <w:t xml:space="preserve">593. It follows from national and Union case law that the anti-competitive object and effect of such practices are alternative conditions for assessing whether they can be sanctioned368.  </w:t>
        <w:br/>
        <w:t xml:space="preserve">594. Furthermore, it emerges from the case law of the Court of Justice that certain types of coordination between companies, such as, in particular but not exclusively, price-fixing agreements, intrinsically reveal a sufficient degree of harmfulness to competition such that it can be considered that the examination of their effects is not necessary369.  </w:t>
        <w:br/>
        <w:t>595. In general, the assessment of the existence of a sufficient degree of harmfulness requires a concrete and cumulative examination of the content and objectives of the restrictive competition provision, as well as the economic and legal context in which it is embedded. In the context of assessing said context, it is also necessary to take into account the nature of the goods or services affected, as well as the actual conditions of operation and structure of the market(s) in question370.</w:t>
      </w:r>
    </w:p>
    <w:p>
      <w:r>
        <w:t xml:space="preserve">Application to the case at hand  </w:t>
        <w:br/>
        <w:t xml:space="preserve">First part  </w:t>
        <w:br/>
        <w:t xml:space="preserve">♦ The applicability to investment groupings of the decision-making practice concerning access to groupings of companies  </w:t>
        <w:br/>
        <w:t xml:space="preserve">596. As a preliminary matter, the parties involved raise that the decision-making practice referred to in paragraphs 587 to 590 has never been applied to investment groupings such as the CRT. However, it cannot be applied to them since, unlike resource-sharing groupings, investment groupings must be able to protect the investments necessary for their activity through potentially discriminatory, non-objective, and non-transparent access conditions.  </w:t>
        <w:br/>
        <w:t xml:space="preserve">597. In support of their argument, some parties rely on decision n° 11-D-05 concerning practices implemented in the electronic communications sector in the Réunion – Mayotte area, which noted that the decision-making practice had "never been applied to the particular situation of a grouping intended to jointly carry out an investment project, such as the construction of infrastructure. (...) Therefore, a substantive analysis appears necessary to determine whether or not competition law imposes, in the absence of decision-making practice or case law specifically addressing this point, the application of objective, transparent, and non-discriminatory membership conditions to investment groupings, insofar as this membership constitutes a condition for access to the market or a competitive advantage"371.  </w:t>
        <w:br/>
        <w:t xml:space="preserve">598. However, even assuming that this decision-making practice is not applicable to "investment groupings," which decision n° 11-D-05 does not exclude, it remains applicable to the CRT since the significance of the investments made for the exercise of its activity must be relativized.  </w:t>
        <w:br/>
        <w:t xml:space="preserve">599. Indeed, the amounts (i.e., 2.7 million euros per year) of "purchases and expenses" cited in an economic study produced by Natixis Intertitres and Natixis372, and in the observations of the company Up373, are, when compared to the total commissions received by the implicated issuers (i.e., 230 million euros in 2016374), low. This observation is further reinforced by the fact that the scope of the investments considered (i.e., "purchases and expenses") does not correspond to the definition of investments in the accounting sense of the term.  </w:t>
        <w:br/>
        <w:t xml:space="preserve">600. The average annual amount of depreciation, also cited by the aforementioned companies, provides a first estimate of the investments. Over the period 2009-2016, this amount is approximately 1 million euros375, or about 0.5% of the revenue generated by the four issuer members of the CRT in the restaurant voucher market.  </w:t>
        <w:br/>
        <w:t xml:space="preserve">601. The tax bundles of CRT S allow for a refinement of this estimate. They lead to the observation that, on average, the average annual amount of investments necessary for the activity of the CRT amounts, over the period 2002-2017, to approximately 1.3 million euros, or about 0.5% of the total commissions received376. The annual amount of investments corresponds to the increase in fixed assets (in the sense of tax bundle DGFIP n° 2054) recorded in a given year.  </w:t>
        <w:br/>
        <w:t xml:space="preserve">602. Finally, the evolution of increases in fixed assets as well as the ratio between net fixed assets and gross fixed assets, averaging 28% between 2002 and 2017 and decreasing, suggests aging and low renewal of the asset base, which is a priori contradictory with the assimilation of the CRT to an investment grouping.  </w:t>
        <w:br/>
        <w:t xml:space="preserve">603. In this context, it must be noted that the significance of the investments necessary for processing TR is to be relativized and that, consequently, the CRT cannot be classified as an investment grouping. Therefore, the decision-making practice referred to in paragraphs 587 to 590 is applicable to it.  </w:t>
        <w:br/>
        <w:t>604. It is therefore necessary to examine the access conditions in light of the decision-making practice recalled above.</w:t>
      </w:r>
    </w:p>
    <w:p>
      <w:r>
        <w:t xml:space="preserve">371 Decision n° 11-D-05 of February 23, 2011, concerning practices implemented in the electronic communications sector in the Réunion – Mayotte area, paragraphs 170 and 172.  </w:t>
        <w:br/>
        <w:t xml:space="preserve">372 15/0092 F – reference 12 522.  </w:t>
        <w:br/>
        <w:t xml:space="preserve">373 15/0092 F – references 11 490 and 12 522.  </w:t>
        <w:br/>
        <w:t xml:space="preserve">374 For the references useful for the calculation, see the references mentioned in 15/0092 F – reference 10 426.  </w:t>
        <w:br/>
        <w:t xml:space="preserve">375 15/0092 F – references 11 490 and 12 522.  </w:t>
        <w:br/>
        <w:t>376 Calculations made from the tax bundles of the CRT (15/0092 F – references 11 862 to 11 877).</w:t>
      </w:r>
    </w:p>
    <w:p>
      <w:r>
        <w:rPr>
          <w:b/>
        </w:rPr>
        <w:t>[Pages 109–111]</w:t>
      </w:r>
    </w:p>
    <w:p>
      <w:r>
        <w:t xml:space="preserve">♦ The conditions of membership defined or applied in a non-objective, non-transparent, or discriminatory manner  </w:t>
        <w:br/>
        <w:t xml:space="preserve">605. The conditions of membership to the CRT as set forth by the Articles of Association and the CRT Internal Regulations are non-objective and non-transparent.  </w:t>
        <w:br/>
        <w:t xml:space="preserve">606. Firstly, to be a member, the Articles of Association require the obligation to "[be] presented by a member-shareholder of the Association [i.e., the CRT]" and "[be] approved by the Board of Directors," the latter having the power to "decide on the admission or exclusion of Shareholders" (Article VI of the Articles of Association).  </w:t>
        <w:br/>
        <w:t xml:space="preserve">607. However, the very condition of being presented by a member-shareholder of the CRT, a direct competitor in the market, carries an intrinsic risk of discrimination among candidates. Furthermore, the lack of additional clarifications regarding the decision-making process for admitting a new member by the Board of Directors on one hand, and on the other hand, regarding any entrance and exit fees left CRT members with complete discretion to select issuers without any transparency towards candidates.  </w:t>
        <w:br/>
        <w:t xml:space="preserve">608. The CRT Internal Regulations then provided, in 2015, some clarifications regarding the entry of a new member while leaving areas of ambiguity regarding the membership process.  </w:t>
        <w:br/>
        <w:t xml:space="preserve">609. It thus indicated that an entrance fee was "possible" (Article 15.3 of the CRT Internal Regulations). The amount of this entrance fee, set by the Board of Directors of the CRT and determined by a formula, may be reduced by decision of the Board of Directors of the CRT "to take into account the contributions made by the new Member upon joining the association or their particular situation regarding the significance of their activity" (Article 15.4 of the CRT Internal Regulations). Consequently, the possibility of applying an entrance fee, the calculation method of which is left to the final discretion of the CRT, can be used arbitrarily to obstruct a candidate's access.  </w:t>
        <w:br/>
        <w:t xml:space="preserve">610. Moreover, the Authority notes that the decision of the Board of Directors of the CRT regarding admission or rejection "is not subject to appeal and does not need to be justified" (Article 15.3).  </w:t>
        <w:br/>
        <w:t xml:space="preserve">611. Secondly, the fact that the CRT allows third-party issuers, since the update of the Articles of Association in June 2011, to benefit from its services is irrelevant here. Indeed, the Articles of Association make no reference to the access conditions for third parties to the services377. In particular, the Articles of Association do not specify the financial and legal conditions related to the possibility for third-party issuers to have their securities processed by the CRT, nor how to submit such a request to the CRT, nor finally the conditions for processing such a request.  </w:t>
        <w:br/>
        <w:t xml:space="preserve">612. In this regard, nothing suggests that the competitive advantages linked to membership in the CRT (see in particular paragraphs 198 to 205) would be fully passed on to non-member clients. In this respect, Article 9.2 of the CRT Internal Regulations clearly indicates, on the contrary, that access to the processing services of the CRT could not be granted under pricing conditions similar to those of CRT members378.  </w:t>
        <w:br/>
        <w:t xml:space="preserve">613. Beyond the terms of the Articles of Association and the CRT Internal Regulations, it appears from the file that to benefit from the services of the CRT, third-party issuers had to provide the CRT with information on the anticipated volumes of securities to be processed so that the CRT could prepare a quote, which, in a context of uncertainty regarding existing conditions, can be prohibitive. In a concentrated oligopolistic market, characterized by stability of operators over time, this may equate to announcing one's entry into the market and revealing a development plan to established competitors.  </w:t>
        <w:br/>
        <w:t xml:space="preserve">614. Finally, in this context, the absence in this case of any refusal by the CRT to a request for membership or services, invoked by the defendants, is of no importance since the conditions as provided by the Articles of Association, and subsequently supplemented by the CRT Internal Regulations, may have dissuaded issuers from making or pursuing such a request.  </w:t>
        <w:br/>
        <w:t xml:space="preserve">♦ The obstruction or limitation of access to the market  </w:t>
        <w:br/>
        <w:t xml:space="preserve">615. The non-objective and non-transparent nature of the membership rules of the CRT has led to a limitation of market access for non-member issuers of the CRT.  </w:t>
        <w:br/>
        <w:t xml:space="preserve">616. Indeed, as indicated in paragraphs 198 to 204, membership in the CRT allows its member-shareholders to benefit from economies of scale in terms of processing costs by processing all their paper securities for a total cost lower than what would be the costs for each issuer.  </w:t>
        <w:br/>
        <w:t xml:space="preserve">617. Furthermore, membership in the CRT simplifies the management of paper securities by authorized merchants by reducing the number of interlocutors and, consequently, the costs of sending paper securities by affiliates for reimbursement.  </w:t>
        <w:br/>
        <w:t xml:space="preserve">618. Most importantly, membership in the CRT provides, due to multi-domiciliation in acceptance (see paragraph 155), access, for the processing of securities, in practice to all authorized merchants and thus to a significant increase in the volume of securities issued. In this regard, the Authority notes that its role as a one-stop shop and its presence for several decades in the market make the CRT a central player with respect to authorized merchants.  </w:t>
        <w:br/>
        <w:t xml:space="preserve">619. These elements are also situated in a market context marked by numerous economic entry barriers, which can constitute a particularly significant hindrance to the development of new issuers in the market (see paragraphs 188 to 196). However, membership in the CRT allows for at least partial overcoming of these obstacles. It follows that the disputed provisions have contributed to reinforcing these entry barriers.  </w:t>
        <w:br/>
        <w:t xml:space="preserve">620. The inertia of client companies and the fact that acquiring a reputation, particularly regarding the ability to provide a significant volume of paper restaurant vouchers, can indeed prove costly for a new issuer, while it is acquired, due to their historical presence in the TR market, by the four implicated issuers.  </w:t>
        <w:br/>
        <w:t xml:space="preserve">621. To illustrate this observation, the Authority emphasizes that, as indicated in paragraphs 500 to 502, Natixis Intertitres was only able to capture a limited market share (less than 7%) between 1982 and 2002, a period during which it was not a member of the CRT.  </w:t>
        <w:br/>
        <w:t xml:space="preserve">622. Certainly, the effect of the absence of objective and transparent membership conditions for the CRT could prima facie be downplayed as the marketing of dematerialized securities became credible for potential competitors. In particular, while membership in the CRT could facilitate the acceptance of dematerialized securities by authorized merchants and reduce the costs of acquiring new clients, its effect on processing costs was much more limited than for paper securities. That said, on the scale of the restaurant voucher market, the limitation of the impact of the membership conditions to the CRT must be relativized since dematerialized securities could not be legally issued before the decree of 2008 (see paragraph 626) and represented only 1.5% of the securities issued in 2016.  </w:t>
        <w:br/>
        <w:t xml:space="preserve">♦ The anti-competitive object of the practices  </w:t>
        <w:br/>
        <w:t xml:space="preserve">623. Firstly, it is appropriate to refer to the analysis of the stipulations of the Articles of Association and the CRT Internal Regulations, as set out in paragraphs 605 to 622.  </w:t>
        <w:br/>
        <w:t xml:space="preserve">624. Secondly, the predominant nature of the CRT for authorized merchants in the acceptance market (see paragraphs 114 to 117), the lack of objectivity and transparency in the membership conditions of the CRT (see paragraphs 605 and following) and the exclusive processing by the CRT of paper securities on behalf of its members aim to control the entry of new issuers into the market.  </w:t>
        <w:br/>
        <w:t xml:space="preserve">625. Certain statements contained in the presentations of the TR dematerialization project, dated August 29, 2011, and October 19, 2011 (see paragraphs 321 to 324), also attest to the CRT's and its member-shareholders' intention to control the entry of new players into the TR market, regardless of the medium of the securities offered by them.  </w:t>
        <w:br/>
        <w:t xml:space="preserve">626. Thirdly, regarding the legal and economic context, it should be noted that at the time of the update of the Articles of Association, on February 11, 2002, the issuance of dematerialized securities was legally impossible due to the requirement to print the mandatory mentions of the restaurant voucher "in ink," in effect until April 30, 2008 (see paragraph 52). Thus, only paper securities could be issued during this period.  </w:t>
        <w:br/>
        <w:t xml:space="preserve">627. Furthermore, the TR market was experiencing strong and steady growth during the years preceding the update of the Articles of Association, growth that has been largely confirmed since (see paragraphs 224 and 225). Thus, between 1999 and 2001, the total face value issued increased by more than 20%, from approximately 2.5 billion euros to approximately 3 billion euros. Additionally, a concomitant phenomenon of stability could be observed regarding the market shares of issuers before 2002 (see paragraph 226).  </w:t>
        <w:br/>
        <w:t xml:space="preserve">Second part  </w:t>
        <w:br/>
        <w:t xml:space="preserve">♦ The nature of the practices  </w:t>
        <w:br/>
        <w:t xml:space="preserve">628. Beyond the control of access to the CRT exercised by the Articles of Association and the CRT Internal Regulations, the Protocol also strictly regulated the activities of member-shareholders.  </w:t>
        <w:br/>
        <w:t xml:space="preserve">629. Thus, member-shareholders committed, for an indefinite duration, (i) to subordinate the processing of other securities, on any medium whatsoever, to the unanimous agreement of the other member-shareholder issuers and (ii) to develop exclusively within the CRT a monetary acceptance platform for dematerialized securities.  </w:t>
        <w:br/>
        <w:t xml:space="preserve">630. In case of non-compliance with these obligations, a signing issuer could face a penalty amounting to 10% of its annual share to the CRT. The risk analysis of Edenred France dated June 10, 2010, shows that this amount was, for the latter, at the time this analysis was conducted, 7.7 million euros (see paragraph 314).  </w:t>
        <w:br/>
        <w:t>631. In addition to this financial penalty, there was the threat of exclusion from the CRT, which was highly dissuasive for an issuer whose securities are processed by, in accordance with Article VII of the Articles of Association, and consequently, the end of access to its paper securities processing services, including also service vouchers and personalized accompanying checks.</w:t>
      </w:r>
    </w:p>
    <w:p>
      <w:r>
        <w:rPr>
          <w:b/>
        </w:rPr>
        <w:t>[Pages 112–114]</w:t>
      </w:r>
    </w:p>
    <w:p>
      <w:r>
        <w:t>632. The combination of the aforementioned provisions thus creates, for each signing party, an extremely strong incentive to act in accordance with the common position, that is to say, to have its securities processed exclusively by the CRT and not to develop a platform for the acceptance of dematerialized securities outside of the CRT.</w:t>
      </w:r>
    </w:p>
    <w:p>
      <w:r>
        <w:t>633. Furthermore, each co-signatory is aware that the aforementioned incentive applies to its three co-signatory competitors, thereby providing mutual assurance regarding the behavior to be expected from the other co-signatories.</w:t>
      </w:r>
    </w:p>
    <w:p>
      <w:r>
        <w:t>634. In addition to the Amendment Letter, several documents, including the internal note from the legal department of Accor Services France and the "À la carte" presentation of June 10, 2010 (see paragraphs 312 to 329), attest to the binding force of the Protocol with respect to the signing parties and the CRT, particularly concerning a member-shareholder who might consider developing a dematerialized securities solution independently, outside the framework set by the Protocol.</w:t>
      </w:r>
    </w:p>
    <w:p>
      <w:r>
        <w:t>635. The dissuasive effect of the Protocol can finally be illustrated by the fact that the issuing members of the CRT waited for the arrival of competitors, Moneo and Octoplus, at the end of 2012, regarding dematerialized securities to free themselves from the Protocol through the Amendment Letter and thus be able to offer dematerialized solutions.</w:t>
      </w:r>
    </w:p>
    <w:p>
      <w:r>
        <w:t>♦ The objectives of the practices</w:t>
      </w:r>
    </w:p>
    <w:p>
      <w:r>
        <w:t>636. The Protocol aimed to limit the innovation of member-shareholders through the prohibition of developing platforms for the processing of dematerialized securities outside of the CRT. This objective is part of a market locking logic and is therefore complementary to that of the Articles of Association and the CRT Internal Regulations.</w:t>
      </w:r>
    </w:p>
    <w:p>
      <w:r>
        <w:t>637. Contrary to what the parties argue, the prohibition on creating a platform for dematerialized securities outside of the CRT cannot be justified by the development of a platform within the CRT. Indeed, the lack of precise elements regarding the timeline and resources allocated to the proposed project of "developing a TRD [dematerialized securities] acceptance system" within the CRT does not allow for the verification of the proportionality of the obligation, allegedly reciprocal, imposed on the member-shareholders, especially since the parties involved do not demonstrate the necessity of such a platform within the CRT.</w:t>
      </w:r>
    </w:p>
    <w:p>
      <w:r>
        <w:t>638. Moreover, the indefinite duration of the Protocol and the extent of the sanctions incurred in the event of a signatory party's failure to comply with its obligations regarding dematerialized securities also appear disproportionate (i.e., monetary sanction and risk of exclusion from the CRT based on the Articles of Association). Exclusion from the CRT, and consequently from access to the services for processing paper securities, is indeed a particularly disincentive prospect.</w:t>
      </w:r>
    </w:p>
    <w:p>
      <w:r>
        <w:t>639. It follows from the above that the Protocol allowed each signing issuer to be assured that none of its three competitors would participate in the development of a dematerialized securities acceptance system outside of the CRT on the one hand, and, on the other hand, to be kept informed, as a member-shareholder of the CRT, of the progress of the project to develop such a dematerialized securities acceptance system within the CRT.</w:t>
      </w:r>
    </w:p>
    <w:p>
      <w:r>
        <w:t>640. In this regard, the fact that at the time of the conclusion of the Protocol, it was legally impossible to market dematerialized securities is irrelevant to the fact that member-shareholders could already conceive that the dematerialization of restaurant vouchers would eventually be legalized by public authorities. This is evidenced by the study conducted in 2001 by the CRT on the dematerialization of TR. Indeed, in decision no. 01-D-41 mentioned above, the Council stated "(...) that the dematerialization of securities, which is currently under study by the CRT, should facilitate the management of a system of differentiated commission rates."</w:t>
      </w:r>
    </w:p>
    <w:p>
      <w:r>
        <w:t>641. The company Up also emphasizes this point in its writings: "at the time of the conclusion of the 2002 Protocol (...), as early as the late 1990s, the three issuing members of the CRT were considering entrusting it with a role as a common tool in the management and processing of dematerialized restaurant vouchers that they would be led to issue when the regulatory framework allowed it, similar to its role in the processing of paper securities."</w:t>
      </w:r>
    </w:p>
    <w:p>
      <w:r>
        <w:t>♦ The economic and legal context of the practices</w:t>
      </w:r>
    </w:p>
    <w:p>
      <w:r>
        <w:t>642. Regarding the legal and economic context, it should first be noted that at the time of the conclusion of the Protocol, it was already technically possible to develop a dematerialized securities solution. Indeed, for example, Up was issuing dematerialized securities in certain foreign countries (Brazil, Mexico, Italy, and Turkey) before 2002.</w:t>
      </w:r>
    </w:p>
    <w:p>
      <w:r>
        <w:t>643. Furthermore, the card medium, which is now largely dominant among dematerialized securities, was widely disseminated as a means of payment as early as the late 2000s.</w:t>
      </w:r>
    </w:p>
    <w:p>
      <w:r>
        <w:t>644. While the absence or limited development of certain technologies did not allow, according to Edenred and Edenred France, for the consideration of all the technologies currently exploited by issuers of dematerialized securities before the Amendment Letter, it remains that the existing technology during the 2000s allowed for the use of dematerialized solutions.</w:t>
      </w:r>
    </w:p>
    <w:p>
      <w:r>
        <w:t>645. Secondly, at the time of the signing of the Protocol, on January 21, 2002, the issuance of dematerialized securities was impossible due to the obligation, recalled above, to affix the mandatory mentions of the restaurant voucher "in ink," in effect until April 30, 2008 (see paragraph 52).</w:t>
      </w:r>
    </w:p>
    <w:p>
      <w:r>
        <w:t>646. However, as explained above, insofar as member-shareholders anticipated the adaptation of the legal framework to dematerialized securities as early as 2002, the fact that the issuance of these securities was illegal, at least until April 30, 2008, is irrelevant.</w:t>
      </w:r>
    </w:p>
    <w:p>
      <w:r>
        <w:t>647. The Authority also notes that certain operators, i.e., Moneo and Octoplus, identified, in the legal framework post-2008, a competitive opportunity by each launching their dematerialized solution in 2012. Moreover, Edenred France itself launched its own dematerialized securities at the end of 2013 "on an experimental basis" (see paragraph 242).</w:t>
      </w:r>
    </w:p>
    <w:p>
      <w:r>
        <w:t>648. Although subsequent to the Amendment Letter, these strategic decisions by the three issuers attest to the fact that even considering that a legal uncertainty regarding the legality of the dematerialized restaurant voucher existed between 2008 and 2014, the constraint it exerted on market players was not perceived uniformly by them.</w:t>
      </w:r>
    </w:p>
    <w:p>
      <w:r>
        <w:t>649. Furthermore, it appears from the internal note of June 25, 2009, and the presentation of June 10, 2010, that Edenred France (formerly Accor Services France) was considering at that time the launch of a dematerialized securities solution in response to the marketing by an issuer of dematerialized solutions. While the internal note does not refer to existing legislation as an obstacle to dematerialization, the presentation emphasizes that the application of the applicable regulations "highlights contradictions with the letter of the texts, associated with a low risk of sanction." It also indicates that while certain regulatory provisions could not be subject to "strict compliance with the texts," they could "be implemented in spirit" (see paragraphs 235 to 239). Thus, according to Edenred France, there was a regulatory space allowing for the launch of dematerialized securities before the adoption of the 2014 decree.</w:t>
      </w:r>
    </w:p>
    <w:p>
      <w:r>
        <w:t>650. Thirdly, the market for TR was experiencing strong and regular growth during the years preceding the update of the Articles of Association, a growth that has been largely confirmed since (see paragraphs 224 and 225). Thus, between 1999 and 2001, the total face value issued increased by more than 20%, from approximately 2.5 billion euros to approximately 3 billion euros. This growth actually accelerated during the duration of the practices since between 2001 and the arrival of new issuers in 2012, the total face value issued increased by more than 79%, from 3 billion euros to 5.3 billion euros. Therefore, for the member-shareholder issuers of the CRT, both the severity of the consequences of exclusion from the CRT and, consequently, access to its securities processing services, as well as, more broadly, the interest in locking the market, were heightened.</w:t>
      </w:r>
    </w:p>
    <w:p>
      <w:r>
        <w:t>651. In this economic and legal context, if one of the historical issuers had developed, during the duration of the Protocol, a platform for processing dematerialized securities outside of the CRT, it would have called into question the balance of the market, characterized by a stable structure, and the position of the CRT for the processing of paper securities (see paragraph 198). The market could have shifted much more quickly towards dematerialized securities and could have seen the emergence of more dynamic competition.</w:t>
      </w:r>
    </w:p>
    <w:p>
      <w:r>
        <w:t>652. In this regard, the French market for restaurant vouchers has been marked by a delay in the development of the dematerialized format compared to the development observed in other European Union countries. The Authority also notes that Sodexo Pass France and Sodexo highlighted, in their observations, the rapid and significant progress of the migration from paper support to the dematerialized format following its launch in other member states (Italy, Spain, and Belgium) during the duration of the Protocol.</w:t>
      </w:r>
    </w:p>
    <w:p>
      <w:r>
        <w:t>653. The combination of the two aspects of the agreement also made it more difficult for new players wishing to position themselves in the dematerialized solutions market to enter. Indeed, they could have established a customer base on paper support before then switching to the dematerialized form. Such a strategy was notably considered by the company Octoplus, as it was able to highlight during the session. In fact, this strategy was made more costly and uncertain by the combination of the two aspects of the agreement, closing a strategic entry option into the market.</w:t>
      </w:r>
    </w:p>
    <w:p>
      <w:r>
        <w:t>Conclusion</w:t>
      </w:r>
    </w:p>
    <w:p>
      <w:r>
        <w:t>654. It follows from the previous developments that the Agreement constitutes an anti-competitive practice by object allowing for the locking of the market through the control of the entry of new issuers into the market (first aspect) and, within the market, through the barriers to the development of dematerialized securities by issuers (second aspect).</w:t>
      </w:r>
    </w:p>
    <w:p>
      <w:r>
        <w:rPr>
          <w:b/>
        </w:rPr>
        <w:t>[Pages 115–117]</w:t>
      </w:r>
    </w:p>
    <w:p>
      <w:r>
        <w:t xml:space="preserve">c) The qualification of ancillary restriction  </w:t>
        <w:br/>
        <w:t xml:space="preserve">The reminder of applicable principles  </w:t>
        <w:br/>
        <w:t xml:space="preserve">655. In its guidelines on the application of Article 81, paragraph 3 of the Treaty, now Article 101, paragraph 3 of the TFEU, the Commission stated that: "if it is concluded that the main operation covered by the agreement does not restrict competition, it is no longer necessary to examine whether the individual restrictions contained in this agreement are also compatible with Article 81, paragraph 1, to the extent that they are ancillary to the main, non-restrictive operation."  </w:t>
        <w:br/>
        <w:t xml:space="preserve">656. In its judgment M6 e.a./Commission of September 18, 2001, the Court of the Union clarified the scope of the concept of ancillary restriction, which "covers any restriction that is directly linked and necessary for the realization of a main operation"383. In this regard, the Court of the Union indicated that "[i]f, in the absence of the restriction, the main operation proves to be difficult to achieve or even unachievable, the restriction may be considered objectively necessary for its realization"384.  </w:t>
        <w:br/>
        <w:t xml:space="preserve">657. Regarding the examination of the objectively necessary nature, the Court of Justice recalled that "(...) the criterion of objective necessity, in the sense of these same points, concerns the question of whether, in the absence of a specific restriction on commercial autonomy, an operation or a main activity that does not fall under the prohibition laid down in Article 81, paragraph 1, EC and in relation to which the said restriction is secondary risks not being realized or not continuing"385.  </w:t>
        <w:br/>
        <w:t xml:space="preserve">Application to the case at hand  </w:t>
        <w:br/>
        <w:t xml:space="preserve">First aspect  </w:t>
        <w:br/>
        <w:t xml:space="preserve">658. In this case, according to the companies Natixis, Natixis Intertitres, and Up, the entry conditions within the CRT constitute an ancillary restriction to the establishment of the CRT. Thus, the statutory provisions and those arising from the CRT Internal Regulations aim to protect the investments of its members against the risks of parasitism, but also the image of its members in the face of the entry into the partnership of other issuers not presenting adequate guarantees386.  </w:t>
        <w:br/>
        <w:t xml:space="preserve">659. However, this series of arguments is challenged, firstly, by the observation that the membership conditions for the CRT are opaque (see paragraphs 605 and following). While the Authority does not dispute that the member-shareholders could have imposed demanding but proportionate conditions for joining the CRT, the lack of transparency and objectivity of these conditions does not appear necessary to prevent parasitism or protect the image of the member-shareholders.  </w:t>
        <w:br/>
        <w:t xml:space="preserve">660. Secondly, the decision made in 2011 to end the exclusive processing by the CRT of its members' securities demonstrates the lack of necessity for exclusivity to protect the investments of the issuers.  </w:t>
        <w:br/>
        <w:t xml:space="preserve">661. Thirdly, as indicated in paragraphs 598 to 603, the amounts of investments made within the CRT must be put into perspective and cannot therefore justify the adoption of membership conditions defined in a non-objective and non-transparent manner.  </w:t>
        <w:br/>
        <w:t xml:space="preserve">Second aspect  </w:t>
        <w:br/>
        <w:t xml:space="preserve">662. In this case, the exclusivity granted to the CRT for the processing of dematerialized securities of its members was, according to Up, objectively necessary given the investments made as early as 2002 for the development of this platform: "given the financial stakes related to this platform, it was necessary that the economies of scale allowed by the pooling of investments among the Issuers be as significant as possible. Since the operating costs of the CRT were distributed among its members based on each one's respective volume of activity, it was essential, for the members to entrust the CRT with this common electronic platform project, that each commit to having as many dematerialized securities processed by this platform as possible"387.  </w:t>
        <w:br/>
        <w:t xml:space="preserve">663. Beyond the investments specifically related to the development of the platform by the CRT, Natixis and Natixis Intertitres emphasize that "if a member of the CRT decided to launch TRDs [dematerialized securities] outside the CRT, the number of securities reimbursed by the CRT would mechanically decrease, as would the efficiency gains produced by the CRT and the investments made therein. Since a large part of the costs generated by the CRT are fixed costs (machines, software, permanent employees, etc.), the decrease in the number of securities reimbursed by the CRT mechanically reduces its profitability and thus the efficiency gains from pooling"388.  </w:t>
        <w:br/>
        <w:t xml:space="preserve">664. However, the provisions referred to concerning the platform do not appear proportionate to the objective of protecting the investments made in this regard or more generally by the member-shareholders, as evidenced by the fact that in 2011, the exclusive processing by the CRT of the securities issued by its members was abandoned (see paragraph 612). The necessity of exclusivity for the processing of dematerialized securities of historical issuers is therefore not justified.  </w:t>
        <w:br/>
        <w:t xml:space="preserve">665. In the same vein, this lack of necessity is illustrated by the fact that the member-shareholders terminated the Protocol in 2012 and thus dematerialized securities were ultimately able to be developed and processed outside the CRT, without leading to its disappearance.  </w:t>
        <w:br/>
        <w:t xml:space="preserve">Conclusion  </w:t>
        <w:br/>
        <w:t xml:space="preserve">666. In light of the above developments, it follows that the Agreement cannot be qualified as an ancillary restriction in the sense of the decision-making practice and case law.  </w:t>
        <w:br/>
        <w:t xml:space="preserve">d) Participation in practices  </w:t>
        <w:br/>
        <w:t xml:space="preserve">The reminder of applicable principles  </w:t>
        <w:br/>
        <w:t xml:space="preserve">667. It follows from consistent case law that a company can be held liable for agreements or concerted practices having an anti-competitive object when it intended to contribute through its own behavior to the common objectives pursued by all participants and that it was aware of the material behaviors contemplated or implemented by other companies in pursuit of the same objectives, or that it could reasonably foresee them and was willing to accept the risk389.  </w:t>
        <w:br/>
        <w:t xml:space="preserve">668. In this regard, the Court of Justice clarified that passive participation in an infringement reflects complicity that can engage a company's liability "as long as the tacit approval of an illegal initiative, without publicly distancing itself from its content or denouncing it to the administrative entities, has the effect of encouraging the continuation of the infringement and compromising its discovery"390.  </w:t>
        <w:br/>
        <w:t xml:space="preserve">669. Drawing the consequences of the interpretation retained of Article 81, paragraph 1, EC (now Article 101 of the TFEU), the Court considered that: "these principles apply mutatis mutandis to the participation of a company whose economic activity and professional expertise allow it not to be unaware of the anti-competitive nature of the behaviors in question and thus to provide significant support to the commission of the infringement"391. In this regard, the Court specified that the fact that the company does not engage in economic activity in the relevant market affected by the restriction of competition and that it contributed to the agreement only in a subordinate manner is irrelevant for establishing its participation in the agreement392.  </w:t>
        <w:br/>
        <w:t xml:space="preserve">670. The Authority believes that the provisions of Article L. 420-1 of the Commercial Code, as well as those of Article 101 TFEU specified by the aforementioned case law, imply that companies that contribute to a restriction of competition in a market in which they are not active can be considered as having participated in an agreement, as long as they contribute to the implementation of the agreement, even in a subordinate, ancillary, or passive manner, for example through tacit approval or by failing to denounce this agreement to the authorities. The possibly limited importance of this contribution can be taken into account in determining the level of the sanction.  </w:t>
        <w:br/>
        <w:t xml:space="preserve">671. Finally, the Court of Appeal of Paris and the Court of Cassation have confirmed the evidentiary value of a set of serious, precise, and consistent indicators393. Indeed, in the absence of direct evidence of anti-competitive practice, the probative value of a set of indicators is not excluded if, after cross-checking, they constitute a set of serious, precise, and consistent presumptions even if, taken in isolation, they would not have a sufficiently probative character394.  </w:t>
        <w:br/>
        <w:t xml:space="preserve">Application to the case at hand  </w:t>
        <w:br/>
        <w:t xml:space="preserve">The participation of member-shareholders  </w:t>
        <w:br/>
        <w:t>672. As it follows from paragraphs 578 to 585, the participation of historical issuers in the disputed practices must be retained.</w:t>
      </w:r>
    </w:p>
    <w:p>
      <w:r>
        <w:rPr>
          <w:b/>
        </w:rPr>
        <w:t>[Pages 118–120]</w:t>
      </w:r>
    </w:p>
    <w:p>
      <w:r>
        <w:t xml:space="preserve">The participation of the CRT  </w:t>
        <w:br/>
        <w:t xml:space="preserve">673. Firstly, the governing bodies of the CRT, including its General Director, necessarily had knowledge of the existence of the Articles of Association and the CRT Internal Regulations.  </w:t>
        <w:br/>
        <w:t xml:space="preserve">674. Secondly, the CRT subscribed to the objectives of practices related to controlling the number of issuers in the market. As indicated in paragraphs 323 to 325, certain statements contained in the presentations of the project for the dematerialization of restaurant vouchers indeed attest to the CRT's intention to maintain the market as it is and to control the entry of new players into the restaurant voucher market, regardless of the medium of the securities offered by them. Furthermore, the CRT refrained from denouncing the agreement to the authorities and distancing itself from it. This abstention is all the more notable as it has been present in the market for several decades and thus constitutes a central player in relation to authorized merchants.  </w:t>
        <w:br/>
        <w:t xml:space="preserve">675. Conversely, thirdly, the elements collected during the investigation do not establish that the CRT had knowledge of the contentious provisions of the Protocol.  </w:t>
        <w:br/>
        <w:t xml:space="preserve">676. Indeed, the Authority notes that while a presentation document from a meeting of the CRT Board of Directors on September 25, 2013395 did refer to an article of the Protocol, namely Article 3.2 concerning the rule for the allocation of costs within the CRT, this does not demonstrate that it necessarily had knowledge, prior to the termination of the Protocol, of Article 3.1 expressing the intention of its members to develop an electronic platform within the CRT and to prohibit the development by any of them of such a platform outside the CRT.  </w:t>
        <w:br/>
        <w:t xml:space="preserve">677. Moreover, similarly, the feasibility study of a project by the CRT for the development of dematerialized securities presented in 2011 (see paragraphs 321 to 326) does not demonstrate that the CRT was intentionally implementing, at that time, Article 3.1 of the Protocol.  </w:t>
        <w:br/>
        <w:t xml:space="preserve">Conclusion  </w:t>
        <w:br/>
        <w:t xml:space="preserve">678. It follows from the previous developments that the historical issuers participated in the contentious agreement in its two aspects.  </w:t>
        <w:br/>
        <w:t xml:space="preserve">679. The CRT only participated in the first aspect.  </w:t>
        <w:br/>
        <w:t xml:space="preserve">e) The duration of the practices  </w:t>
        <w:br/>
        <w:t xml:space="preserve">Reminder of the applicable principles  </w:t>
        <w:br/>
        <w:t xml:space="preserve">680. Regarding the determination of the duration of the practices, the Authority refers to the developments set out in paragraphs 549 to 553.  </w:t>
        <w:br/>
        <w:t xml:space="preserve">Application to the case at hand  </w:t>
        <w:br/>
        <w:t xml:space="preserve">681. As a preliminary point, the companies Edenred SA and Edenred France argue that the Report would have extended the duration of grievance no. 2, without a supplementary notification of grievances being sent to the parties. Indeed, while the Report retains a single duration (January 21, 2002 – February 22, 2018), the notification of grievances would have identified three different durations: "one for the TRP [paper vouchers] segment, one for the anti-competitive object on the TRD [dematerialized vouchers] segment, and another for the anti-competitive effect on this segment"396.  </w:t>
        <w:br/>
        <w:t xml:space="preserve">682. However, it must be noted that grievance no. 2, as formulated in the notification of grievances, indeed targets a single period from January 21, 2002, to February 22, 2018. It is only for the sake of precision that in the body of the notification of grievances, the investigation services dissociated the duration of the practices concerning paper vouchers and dematerialized vouchers. In this regard, the section dedicated to the duration of the practices in the notification of grievances does not distinguish the duration, depending on whether it concerns the object or the anti-competitive effect for dematerialized vouchers.  </w:t>
        <w:br/>
        <w:t xml:space="preserve">683. It follows from the above that it cannot be argued that the Report would have extended the duration of the practices set by the Notification of grievances. The Authority also notes in this regard that the Report states that "the investigation services maintain in their entirety the grievances notified to the parties"397.  </w:t>
        <w:br/>
        <w:t xml:space="preserve">First aspect  </w:t>
        <w:br/>
        <w:t xml:space="preserve">684. The first act materializing the practices referred to in the first aspect is the adoption of the Articles of Association on February 11, 2002. This date thus marks the beginning of the concerned practices.  </w:t>
        <w:br/>
        <w:t xml:space="preserve">685. It appears from the file that the Articles of Association and the CRT Internal Regulations are still in force.  </w:t>
        <w:br/>
        <w:t xml:space="preserve">686. Thus, if the CRT declares that, since January 1, 2016, "CRT Services has the possibility of offering these services to any new issuer, whether it is an issuer of paper securities or dematerialized securities, by adopting a pricing structure for all its services that is the same for all issuers, whether or not they are members of SSIM/CRT Services398", the elements it transmitted to the investigation services indicate that as of June 28, 2017, "the amended texts of the statutes and the internal regulations of CRT T and CRT S" aimed in particular at formalizing this new operation have not yet been officially adopted399.  </w:t>
        <w:br/>
        <w:t xml:space="preserve">687. The contentious practices referred to in the first aspect must therefore be considered as having continued until the date of the notification of grievances, namely February 22, 2018.  </w:t>
        <w:br/>
        <w:t xml:space="preserve">Second aspect  </w:t>
        <w:br/>
        <w:t xml:space="preserve">688. The first act materializing the practices referred to in the second aspect is the adoption of the Protocol on January 21, 2002.  </w:t>
        <w:br/>
        <w:t xml:space="preserve">689. The last act materializing the practices referred to in the second aspect is the adoption of the Amendment Letter on December 21, 2012.  </w:t>
        <w:br/>
        <w:t xml:space="preserve">Conclusion  </w:t>
        <w:br/>
        <w:t xml:space="preserve">690. The starting point of the agreement corresponds to the adoption of the first provisions of the Agreement, namely the date of the adoption of the Protocol, January 21, 2002.  </w:t>
        <w:br/>
        <w:t xml:space="preserve">691. The Articles of Association and the CRT Internal Regulations being still in force at the date of the notification of grievances, the agreement must be considered as having continued until February 22, 2018.  </w:t>
        <w:br/>
        <w:t xml:space="preserve">F. ON THE ATTRIBUTION OF PRACTICES  </w:t>
        <w:br/>
        <w:t xml:space="preserve">1. REMINDER OF THE APPLICABLE PRINCIPLES  </w:t>
        <w:br/>
        <w:t xml:space="preserve">a) Attribution within a group of companies  </w:t>
        <w:br/>
        <w:t xml:space="preserve">692. It follows from consistent case law that Articles L. 420-1 and L. 420-2 of the Commercial Code and Articles 101 and 102 of the TFEU target offenses committed by companies, understood as designating entities engaged in economic activity. The Union judge has clarified that the notion of a company must be understood as designating an economic unit, even if, from a legal point of view, it consists of several natural or legal persons.  </w:t>
        <w:br/>
        <w:t xml:space="preserve">693. In both domestic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company in the sense of competition law.  </w:t>
        <w:br/>
        <w:t xml:space="preserve">694. In the particular case where a parent company holds, directly or indirectly, all or almost all of the capital of its subsidiary that engages in infringing behavior, there is a rebuttable presumption that this parent company effectively exerts a decisive influence on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market400.  </w:t>
        <w:br/>
        <w:t xml:space="preserve">b) Attribution in the event of transformation of companies  </w:t>
        <w:br/>
        <w:t xml:space="preserve">695. It follows from consistent case law that as long as the legal entity responsible for the operation of the company that has implemented practices infringing competition rules legally exists, it must be held responsible for these practices.  </w:t>
        <w:br/>
        <w:t xml:space="preserve">696. If this legal entity has changed its name or legal form, it continues to be liable for the offense committed.  </w:t>
        <w:br/>
        <w:t>697. Conversely, when the legal entity responsible for the operation of the company that committed the practices has ceased to exist legally, these practices must be attributed to the legal entity to which the company has been legally transferred, that is to say, the one</w:t>
      </w:r>
    </w:p>
    <w:p>
      <w:r>
        <w:rPr>
          <w:b/>
        </w:rPr>
        <w:t>[Pages 121–123]</w:t>
      </w:r>
    </w:p>
    <w:p>
      <w:r>
        <w:t xml:space="preserve">which received the rights and obligations of the person responsible for the infringement, and, in the absence of such a transfer, to the one that ensures its economic and functional continuity in fact401.  </w:t>
        <w:br/>
        <w:t xml:space="preserve">c) The attribution of practices to a collective entity  </w:t>
        <w:br/>
        <w:t xml:space="preserve">698. When the practices examined involve a collective entity, the Authority either holds the entity solely responsible or adds the responsibility of its members402.  </w:t>
        <w:br/>
        <w:t xml:space="preserve">699. It is possible to hold a collective entity personally liable, alongside its members, as long as this collective entity adopts a distinct and autonomous anti-competitive behavior from that of its members403.  </w:t>
        <w:br/>
        <w:t xml:space="preserve">700. The Authority has thus held the parallel responsibility of a common structure and its members, as long as the common structure itself contributed to the implementation of the agreement of which it was simultaneously the framework404.  </w:t>
        <w:br/>
        <w:t xml:space="preserve">701. Finally, it follows from consistent case law that the grievances must be notified to a legal entity that can be held responsible for the infringement of competition law405.  </w:t>
        <w:br/>
        <w:t xml:space="preserve">2. APPLICATION TO THE CASE AT HAND  </w:t>
        <w:br/>
        <w:t xml:space="preserve">a) Edenred France and Edenred SA  </w:t>
        <w:br/>
        <w:t xml:space="preserve">702. On June 29, 2010, the company Accor split its hotel activities on the one hand, and, on the other hand, its business services activities, by transferring the assets concerned to the company New Services Holding, which changed its name on the same day to become Edenred406.  </w:t>
        <w:br/>
        <w:t xml:space="preserve">703. Since June 29, 2010, Edenred France (named Accor Services France until September 1, 2010) has been controlled by the company Edenred, which holds it, directly or indirectly (from 2010 to 2012) via the intermediary company Edenred Participations, at more than 99%407.  </w:t>
        <w:br/>
        <w:t xml:space="preserve">704. Consequently, the determining influence of the company Edenred SA over the company Edenred France is presumed since June 29, 2010.  </w:t>
        <w:br/>
        <w:t xml:space="preserve">705. In light of these findings, and in the absence of elements capable of overturning this presumption, it is appropriate to hold Edenred France responsible as the author of the disputed practices and that of the company Edenred SA, as the parent company exercising a determining influence over the company Edenred France during the period from June 29, 2010, to February 22, 2018.  </w:t>
        <w:br/>
        <w:t xml:space="preserve">b) Up  </w:t>
        <w:br/>
        <w:t xml:space="preserve">706. Since January 21, 2002, the company Up has changed its corporate name twice: named Le Chèque Déjeuner CCR until June 14, 2013, then Le Chèque Déjeuner until November 30, 2016, it has been named Up since December 1, 2016408.  </w:t>
        <w:br/>
        <w:t xml:space="preserve">707. Since 1972, the company Up has been the parent company of the Up group, and its capital is exclusively held by individuals, most of whom are employees of the company Up409.  </w:t>
        <w:br/>
        <w:t xml:space="preserve">708. As a result, and considering the principles related to attribution previously outlined, it is appropriate to hold Up responsible as the author of the disputed practices.  </w:t>
        <w:br/>
        <w:t xml:space="preserve">c) Sodexo Pass France and Sodexo SA  </w:t>
        <w:br/>
        <w:t xml:space="preserve">709. Since January 21, 2002, the company Sodexo Pass France has changed its corporate name several times: named Sodexho Chèques et Cartes de Services until December 7, 2008, then Sodexo Chèques et Cartes de Services until June 13, 2010, this company became Sodexo Solutions de Motivation France on June 14, 2010, and finally Sodexo Pass France on December 6, 2013410.  </w:t>
        <w:br/>
        <w:t xml:space="preserve">710. Furthermore, between January 21, 2002, and November 30, 2010, 89.6% of the capital of Sodexo Pass France was directly held by Sodexo Pass International, and 10% by Sodexo Pass France itself411. Since November 30, 2010, the direct participation of Sodexo Pass International in the capital of Sodexo Pass France amounts to more than 99.9%412.  </w:t>
        <w:br/>
        <w:t xml:space="preserve">711. Sodexo Pass International itself has been 100% owned throughout the entire period in question (i.e., since January 21, 2002) by Sodexo413, which therefore indirectly holds more than 98% of the capital of Sodexo Pass France since January 21, 2002.  </w:t>
        <w:br/>
        <w:t xml:space="preserve">712. In light of these elements, it is appropriate to hold Sodexo Pass France responsible as the author of the disputed practices and that of the company Sodexo SA, as the parent company exercising a determining influence over the company Sodexo Pass France during the duration of the practices.  </w:t>
        <w:br/>
        <w:t xml:space="preserve">d) Natixis Intertitres and Natixis  </w:t>
        <w:br/>
        <w:t xml:space="preserve">713. The company Natixis Intertitres has changed its name several times: the company Le Chèque de Table indeed became Natexis Intertitres on January 31, 2003414, then Natixis Intertitres on November 21, 2006415.  </w:t>
        <w:br/>
        <w:t xml:space="preserve">714. Furthermore, it appears from the case files that, since January 1, 2002, Natixis Intertitres has been "100% owned, directly or indirectly [via the intermediary company Natixis Interépargne], by NATIXIS SA, the parent company of the NATIXIS group"416.  </w:t>
        <w:br/>
        <w:t xml:space="preserve">715. It also appears from the files that the entirety of the capital of the company Le Chèque de Table was acquired by the company Natexis Interépargne, a 100% subsidiary of the company Natexis417, "during the year 2002"418, the shareholding of the former being previously fragmented419. It can thus be accepted that the company Natexis Interépargne held 100% of the capital of the company Le Chèque de Table as of January 1, 2003420.  </w:t>
        <w:br/>
        <w:t xml:space="preserve">716. The company Natixis has itself been 71% owned since July 31, 2009, by the BPCE group, and was previously equally owned (approximately 35%) by the Caisse Nationale des Caisses d’Épargne and the Banque Fédérale des Banques Populaires, and before November 17, 2006, 75% by the Banque Fédérale des Banques Populaires421.  </w:t>
        <w:br/>
        <w:t xml:space="preserve">717. In light of these elements, it is appropriate to hold Natixis Intertitres responsible as the author of the disputed practices and that of the company Natixis, as the parent company exercising a determining influence over the company Natixis Intertitres during the period from January 1, 2003, to February 22, 2008.  </w:t>
        <w:br/>
        <w:t xml:space="preserve">e) The CRT  </w:t>
        <w:br/>
        <w:t xml:space="preserve">718. As previously specified, the CRT directly and autonomously participated in the practices of information exchange and market locking practices. As an association governed by the law of July 1, 1901, it has legal personality. Therefore, the infringements must also be attributed to it.  </w:t>
        <w:br/>
        <w:t xml:space="preserve">414 15/0092 F – reference 5 201.  </w:t>
        <w:br/>
        <w:t xml:space="preserve">415 15/0092 F – reference 4 556.  </w:t>
        <w:br/>
        <w:t xml:space="preserve">416 15/0092 F – reference 4 556.  </w:t>
        <w:br/>
        <w:t xml:space="preserve">417 15/0092 F – references 4 559 to 4 594 and 4 606 to 4 609.  </w:t>
        <w:br/>
        <w:t xml:space="preserve">418 15/0092 F – reference 5 201.  </w:t>
        <w:br/>
        <w:t xml:space="preserve">419 15/0092 F – references 5 201, 5 203 and 5 227 to 5 232.  </w:t>
        <w:br/>
        <w:t xml:space="preserve">420 15/0092 F – reference 5 202.  </w:t>
        <w:br/>
        <w:t>421 15/0092 F – reference 4 556.</w:t>
      </w:r>
    </w:p>
    <w:p>
      <w:r>
        <w:rPr>
          <w:b/>
        </w:rPr>
        <w:t>[Pages 124–126]</w:t>
      </w:r>
    </w:p>
    <w:p>
      <w:r>
        <w:t xml:space="preserve">G. ON SANCTIONS  </w:t>
        <w:br/>
        <w:t xml:space="preserve">1. FINANCIAL SANCTIONS  </w:t>
        <w:br/>
        <w:t xml:space="preserve">a) Sanctions imposed on historical issuers  </w:t>
        <w:br/>
        <w:t xml:space="preserve">719. Paragraph I of Article L. 464-2 of the Commercial Code empowers the Authority to impose financial sanctions on companies and organizations engaged in anti-competitive practices prohibited by Articles L. 420-1 and L. 420-2 of the Commercial Code.  </w:t>
        <w:br/>
        <w:t xml:space="preserve">720. According to the fourth paragraph of I of the aforementioned article, "[i]f the offender is not a company, the maximum amount of the sanction is 3 million euros. The maximum amount of the sanction for a company is 10% of the highest amount of global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721. Furthermore, the third paragraph of I of the same article provides that "financial sanctions are proportionate to the seriousness of the facts alleged, the extent of the damage caused to the economy, the individual situation of the sanctioned organization or company or the group to which the company belongs, and any possible recurrence of practices prohibited by (Title VI of Book IV of the Commercial Code). They are determined individually for each sanctioned company or organization and reasoned for each sanction."  </w:t>
        <w:br/>
        <w:t xml:space="preserve">722. In this case, regarding the historical issuers, the Authority will assess these legal criteria according to the practical modalities described in its press release of May 16, 2011, concerning the method for determining financial sanctions (hereinafter "the sanctions press release").  </w:t>
        <w:br/>
        <w:t xml:space="preserve">The complaint No. 1  </w:t>
        <w:br/>
        <w:t xml:space="preserve">Determination of the base amount of sanctions  </w:t>
        <w:br/>
        <w:t xml:space="preserve">♦ The value of sales  </w:t>
        <w:br/>
        <w:t xml:space="preserve">723. As indicated by the Authority in the sanctions press release, in paragraph 23, "to provide a quantified translation of its assessment of the seriousness of the facts and the extent of the damage caused to the economy, the Authority retains, as the base amount of the financial sanction, a proportion of the value of sales made by each company or organization involved, of products or services related to the infringement or, if applicable, the infringements in question. The value of these sales constitutes indeed an appropriate and objective reference for determining the base amount of the financial sanction, as it allows for proportionality on a case-by-case basis to the economic magnitude of the infringement or infringements in question, on the one hand, and to the relative weight, on the sectors or markets concerned, of each company or organization that participated, on the other hand."  </w:t>
        <w:br/>
        <w:t xml:space="preserve">724. Certainly, the Commercial Code, by not referring to the turnover related to the sector or market in question, but only to the consolidated or combined global turnover, does not impose on the Authority to proceed in this manner422. However, it is accepted by national and European Union jurisprudence that the value of sales generally constitutes an appropriate and objective reference allowing for proportionality on a case-by-case basis of the sanction's base to the economic reality of the infringement in question, and more precisely to its magnitude as well as to the relative weight on the concerned sector of each of the companies that participated423.  </w:t>
        <w:br/>
        <w:t xml:space="preserve">725. In this case, the sanctioned practices concern the restaurant vouchers issued by the historical issuers and processed by the CRT.  </w:t>
        <w:br/>
        <w:t xml:space="preserve">726. According to Edenred and Edenred France, only the sales corresponding to paper vouchers should be taken into account since dematerialized vouchers were not processed by the CRT during the duration of the practices and therefore could not be "related" to the practices referred to in this complaint, within the meaning of paragraph 33 of the sanctions press release424.  </w:t>
        <w:br/>
        <w:t xml:space="preserve">727. In this regard, the Paris Court of Appeal clarified in a judgment of July 19, 2018, that "(…) it is the qualification of the infringement, carried out in light of its object or effects, that allows for the determination of the categories of products or services related to this infringement. There is, however, no reference to a necessary allocation of the sales of these categories of products or services by the infringement in order to take their value into account"425.  </w:t>
        <w:br/>
        <w:t xml:space="preserve">728. Now, in this case, the Authority found the existence of a restriction of competition in the restaurant voucher market, including both paper vouchers and dematerialized vouchers. Therefore, it can be concluded that dematerialized vouchers are "related to the infringement" identified by the Authority.  </w:t>
        <w:br/>
        <w:t xml:space="preserve">729. According to the method developed by the sanctions press release, the reference retained by the Authority is generally the value of sales during the last complete accounting year of participation of each company involved. However, in cases where it considers that the last complete accounting year of participation in the infringement does not constitute a representative reference, the Authority retains a year it deems more appropriate.  </w:t>
        <w:br/>
        <w:t xml:space="preserve">730. In this case, the last complete accounting year for each of the companies is the year 2015. No element submitted to the file allows for the consideration that this year would not be a representative reference.  </w:t>
        <w:br/>
        <w:t xml:space="preserve">731. In light of the preceding considerations, the table below, established based on the data provided by the companies concerned, summarizes the values of sales serving as the basis for the individual sanction of each of them (in euros):  </w:t>
        <w:br/>
        <w:t xml:space="preserve">422 Judgment of the Court of Cassation of May 13, 1997, Société française de transports Gondrand frères, No. 95-16378.  </w:t>
        <w:br/>
        <w:t xml:space="preserve">423 See, in this sense, judgments of the Paris Court of Appeal of October 11, 2012, Entreprise H. Chevalier Nord e.a., No. 2011/03298, p. 72 and of March 29, 2012, Lacroix Signalisation e.a., No. 2011/01228, p. 37 to 38; judgments of the Court of Justice of June 7, 1983, Musique diffusion française/Commission, 100/80, points 119 to 121 and of September 3, 2009, Papierfabrik August Koehler e.a./Commission, C-322/07 P, C-327/07 P and C-338/07 P, point 114.  </w:t>
        <w:br/>
        <w:t xml:space="preserve">424 15/0092 F – reference 14 930.  </w:t>
        <w:br/>
        <w:t>425 Judgment of the Paris Court of Appeal of July 19, 2018, Chronopost SAS e.a., No. 16/01270, point 859.</w:t>
      </w:r>
    </w:p>
    <w:p>
      <w:r>
        <w:t xml:space="preserve">Table 9 - Value of sales  </w:t>
        <w:br/>
        <w:t xml:space="preserve">Parties involved Complaint No. 1  </w:t>
        <w:br/>
        <w:t xml:space="preserve">2015 (€)  </w:t>
        <w:br/>
        <w:t xml:space="preserve">Edenred France [80,000,000 – 90,000,000]  </w:t>
        <w:br/>
        <w:t xml:space="preserve">Up 68,514,822  </w:t>
        <w:br/>
        <w:t xml:space="preserve">Natixis Intertitres 31,461,788  </w:t>
        <w:br/>
        <w:t xml:space="preserve">Sodexo Pass France [30,000,000 – 40,000,000]  </w:t>
        <w:br/>
        <w:t xml:space="preserve">Source: 15/0092 F – references 14 043, 14 148, 13 978 and 5 931.  </w:t>
        <w:br/>
        <w:t xml:space="preserve">♦ The proportion of the value of sales  </w:t>
        <w:br/>
        <w:t xml:space="preserve">- The seriousness of the practices  </w:t>
        <w:br/>
        <w:t xml:space="preserve">732. When assessing the seriousness of an infringement, the Authority takes into account, in particular, the nature of the sanctioned practices, the persons likely to be affected, and the objective characteristics of the infringement (secret or not, degree of sophistication, existence of policing mechanisms or retaliatory measures, circumvention of legislation, etc.) (point 26 of the sanctions press release).  </w:t>
        <w:br/>
        <w:t xml:space="preserve">733. As a preliminary point, it should be noted that, according to the sanctions press release, an agreement between competitors "may itself have a different degree of seriousness depending on whether it is, for example, a price cartel or a simple exchange of information."  </w:t>
        <w:br/>
        <w:t xml:space="preserve">734. According to a consistent decision-making practice, exchanges of information between competitors do not have "the degree of seriousness of an express agreement on price levels or market allocation, a practice generally deemed unjustifiable by competition authorities"426. In this sense, in decision No. 14-D-20 of December 22, 2014, concerning practices implemented in the wallpaper sector in France, the Authority noted that "regarding the exchanges of information on the levels of evolution of their monthly and quarterly turnover (...), it should be noted that these are past information. These practices correspond to a simple one-time exchange of retrospective information [only during April 2010] within the meaning of paragraph 26 of the press release of May 16, 2011, and thus present a lower degree of intrinsic seriousness."427  </w:t>
        <w:br/>
        <w:t xml:space="preserve">735. In this case, regarding the nature of the infringement, the exchanges of information concerned past data related to the national activity of the historical issuers. The infringement therefore has, in light of the sanctions press release, a lower degree of seriousness than practices of express agreements on prices or market allocation.  </w:t>
        <w:br/>
        <w:t xml:space="preserve">426 See decisions No. 05-D-64 of November 25, 2005, concerning practices implemented in the market for Parisian palaces, paragraph 296, and No. 05-D-65 of November 30, 2005, concerning practices observed in the mobile telephony sector, paragraph 333.  </w:t>
        <w:br/>
        <w:t>427 Decision No. 14-D-20 of December 22, 2014, concerning practices implemented in the wallpaper sector in France, paragraph 246.</w:t>
      </w:r>
    </w:p>
    <w:p>
      <w:r>
        <w:rPr>
          <w:b/>
        </w:rPr>
        <w:t>[Pages 127–129]</w:t>
      </w:r>
    </w:p>
    <w:p>
      <w:r>
        <w:t>736. Regarding the nature of the actors likely to be affected by the practices, these are the clients of the historical issuers: on the issuance side, the client companies that purchase TR for their employees, and on the acceptance side, the authorized merchants. Among the potentially affected client companies, it is worth noting the high proportion of small and medium-sized enterprises and public companies. For illustrative purposes, for Edenred France, the former represented [70 – 85%] of clients for 2017 and [15 – 30%] of the volumes of TR issued by it428.</w:t>
      </w:r>
    </w:p>
    <w:p>
      <w:r>
        <w:t>737. Finally, concerning the objective characteristics of the infringement, it should be noted, firstly, that these exchanges took place regularly over a period of more than 5 years, without the clients being aware of them.</w:t>
      </w:r>
    </w:p>
    <w:p>
      <w:r>
        <w:t>738. Secondly, the decrease in issuance commission rates, and ultimately the cumulative rates, could constitute a credible threat of retaliation against any aggressive commercial policy from a historical issuer. This decrease could, in fact, be targeted at the deviant company by the other issuers.</w:t>
      </w:r>
    </w:p>
    <w:p>
      <w:r>
        <w:t>739. The fact that this decrease was never implemented during the duration of the infringement, based on the file, is not contradictory. Indeed, this circumstance can be explained by the fact that the exchanges of information in this case allowed, given the transparency operating in this market, each of the historical issuers to deduce the pricing strategy of their counterparts on the issuance side. Thus, by further increasing the ability to quickly detect any deviant behavior from one of them, this measure primarily served to deter them in advance.</w:t>
      </w:r>
    </w:p>
    <w:p>
      <w:r>
        <w:t>740. Thirdly, it should also be noted that the exchanges of information observed do not involve a high degree of sophistication, in the sense that information on prices or information by client or client category was not exchanged.</w:t>
      </w:r>
    </w:p>
    <w:p>
      <w:r>
        <w:t>741. It follows from the above that the practices in question are of limited severity.</w:t>
        <w:br/>
        <w:t>- The importance of the damage to the economy</w:t>
        <w:br/>
        <w:t>• On the scope of the practices</w:t>
        <w:br/>
        <w:t>742. First of all, it should be noted that the practices of information exchange concern almost the entire French TR market, and that the cumulative market share of the implicated issuers is close to 100% over the entire duration of the practices. Equal to 100% until 2012, it still amounted, in terms of face value, to 99.4% at the end of 2015429, of which 100% for paper vouchers.</w:t>
      </w:r>
    </w:p>
    <w:p>
      <w:r>
        <w:t>743. Secondly, the parties implicated have emphasized that the practices only concerned paper vouchers430. However, between 2002 and 2017, they represented the bulk of the TR market (between 89 and 100% of the market431).</w:t>
      </w:r>
    </w:p>
    <w:p>
      <w:r>
        <w:t>744. Nevertheless, it should be emphasized that the exchanges of information established, materialized by the monthly transmission of the aggregated market shares of each competitor to the CFOs of the four members of the CRT, do not involve a high degree of sophistication (see paragraph 740).</w:t>
      </w:r>
    </w:p>
    <w:p>
      <w:r>
        <w:t>• On the economic characteristics of the market in question</w:t>
        <w:br/>
        <w:t>745. The restaurant voucher sector is highly concentrated, with four operators accounting for nearly 100% of the market, and there are certain barriers to entry, particularly on the acceptance side. The Articles of Association, which govern the integration of new operators within the CRT, have also contributed to strengthening these barriers to entry.</w:t>
      </w:r>
    </w:p>
    <w:p>
      <w:r>
        <w:t>746. The implicated parties contest the existence of these barriers to entry by recalling that six issuers have entered the market432. However, the count of entries made by the parties takes into account the entry of Natixis Intertitres, which dates back to 1982, and of Digibon France, which was placed in judicial liquidation in 2017. Furthermore, with the exception of Natixis Intertitres, these issuers have not managed to establish themselves in the market and have a very low market share in the TR market433, around 1.4% in 2016434.</w:t>
      </w:r>
    </w:p>
    <w:p>
      <w:r>
        <w:t>747. The very example of Natixis Intertitres' entry into the market does not serve to downplay the extent of the barriers to entry. Indeed, Natixis Intertitres was only able to capture a limited market share (less than 7%) between 1982 and 2002, a period during which it was not a member of the CRT435.</w:t>
      </w:r>
    </w:p>
    <w:p>
      <w:r>
        <w:t>748. It should also be noted the particularity of this market, which arises from the combination of a legal constraint on the one hand (legal obligations of employers towards their employees) and, on the other hand, a derogatory fiscal and social regime. In other words, the demand for TR is created ex nihilo by regulation. Moreover, the legal constraint as well as the favorable fiscal and social regime making TR more attractive for client companies, the overall demand for TR is necessarily less elastic than in the absence of such advantages.</w:t>
      </w:r>
    </w:p>
    <w:p>
      <w:r>
        <w:t>749. The parties believe that the evidence that price elasticity would be lower than in the absence of regulation is not provided436. However, the Authority believes that the combination of the legal constraint and the advantageous fiscal and social regime necessarily makes the overall demand for TR less elastic than in their absence. The data collected during the investigation, however, corroborate the Authority's analysis on this point437.</w:t>
      </w:r>
    </w:p>
    <w:p>
      <w:r>
        <w:t>750. If the implicated parties have raised qualitative differences between the different restaurant vouchers438, the final use of these vouchers, i.e., to acquire a meal or a food service in an authorized business in the department of the workplace or in neighboring departments, on certain defined days, is homogeneous. As a result, competition among TR issuers, which is then likely to be exercised primarily on prices, could have been particularly fierce on the issuance side in the absence of such exchanges of information.</w:t>
      </w:r>
    </w:p>
    <w:p>
      <w:r>
        <w:t>• On the structural and cyclical consequences of the practices</w:t>
        <w:br/>
        <w:t>751. The exchanges of information regarding individual market shares among issuers allowed each of them to know the market share of their three competitors, and thus to deduce their pricing strategy and, consequently, to quickly detect and therefore deter any aggressive behavior from one of them.</w:t>
      </w:r>
    </w:p>
    <w:p>
      <w:r>
        <w:t>752. The usefulness of this information is not called into question, as the Authority has demonstrated in paragraphs 512 and 513, by the fact that the CNTR communicated data to the historical issuers and the existence of a lag between the moment when the vouchers are negotiated on the issuance side and when they are processed on the acceptance side.</w:t>
      </w:r>
    </w:p>
    <w:p>
      <w:r>
        <w:t>753. The extent of the effects resulting from the exchange of information is evidenced, first of all, by, if not the perfect stability of individual market shares, at least the slowness of their evolution (see in particular paragraph 227), then by the low level of the attrition rate, and finally, by the slowness of the evolution of commission rates.</w:t>
      </w:r>
    </w:p>
    <w:p>
      <w:r>
        <w:t>754. The study of the evolution of commission rates shows that, on the issuance side, rates have decreased by only 1.5 points over 15 years between 2002 and 2017, representing an average annual decrease of 0.1 percentage points439. This is while the issuance side would present a higher sensitivity to prices than the acceptance side. This should lead to a transfer of commissions from the issuance side to the acceptance side; the practices may have had the effect of slowing the decrease of rates on the issuance side, which, in the absence of the exchange of information, could have been faster, as actors could seek to capture a larger part of the market if they could not be detected by the exchange of information and the issuance commission rates could be negative. However, given the available data, it is not possible to quantify this effect precisely.</w:t>
      </w:r>
    </w:p>
    <w:p>
      <w:r>
        <w:t>755. Furthermore, the slowness of the decrease in rates can be better appreciated when compared to certain reactions from issuers in this market. Thus, in response to the sudden decrease in its market share in the segment of companies with more than 5,000 clients, one of the operators reduced its commission rate by about 1.5 points in one year in this segment (see paragraphs 524 and 525)440. Contrary to what the implicated parties assert, this sudden decrease in commission rates cannot be interpreted as an attempt at deviation that went unpunished, as it follows a decrease in market share of this issuer441. It is therefore neither a break in the collusive equilibrium nor a demonstration of the absence of collusion.</w:t>
      </w:r>
    </w:p>
    <w:p>
      <w:r>
        <w:t>756. The parties submitted an econometric study442 aimed at estimating the actual effect of the information exchange practices on the commission rates of the issuance side, the acceptance side, and the cumulative rates of both sides. The econometric analysis takes into account a set of explanatory variables that may influence commission rates, such as GDP per capita, the number of TR issuers, or the price of paper, in order to isolate the specific effect of the practices. It concludes that there is no inflationary effect related to the practices.</w:t>
      </w:r>
    </w:p>
    <w:p>
      <w:r>
        <w:t>757. However, this study suffers from a number of methodological biases. The analysis concerning the commission rate on the issuance side, where competition is most intense, has certain limitations:</w:t>
        <w:br/>
        <w:t>- the structure of the data, temporal on the one hand, cross-sectional on the other, mixing variables measured at the level of a client segment of an issuer and variables</w:t>
      </w:r>
    </w:p>
    <w:p>
      <w:r>
        <w:rPr>
          <w:b/>
        </w:rPr>
        <w:t>[Pages 130–132]</w:t>
      </w:r>
    </w:p>
    <w:p>
      <w:r>
        <w:t>- the structure of the data, temporal on one hand, in cross-section on the other, mixing variables measured at the level of a customer segment of an issuer and variables measured at the macroeconomic level, would need to be taken into account when estimating standard deviations calculated at a higher level of aggregation (clustered standard deviations);</w:t>
        <w:br/>
        <w:t>- the proposed estimates also do not include a trend variable to limit the risk that a simple correlation of the variables is mistakenly considered a causal relationship;</w:t>
        <w:br/>
        <w:t>- the possible interactions between the issuance side and the acceptance side might require the use of the number of issuers from the year preceding the one studied; and</w:t>
        <w:br/>
        <w:t>- GDP per capita is only an approximate variable for demand and the total number of securities used could be substituted for it.</w:t>
        <w:br/>
        <w:t>758. These biases are likely to explain the inconsistencies that may be noted in certain results. In particular, some explanatory variables in the modeling (GDP per capita or paper cost443) have excessive effects on the commission rate on the issuance side. Moreover, in the majority of the specifications retained, the period of practices does indeed have a significant effect on the commission rate on the acceptance side. However, the identified effect is counterintuitive: the period of practices is thus supposed to be associated with a decrease in acceptance commission rates. In other words, according to the econometric models proposed by the parties involved, the implementation of the alleged practices had the effect of lowering the acceptance commission rate.</w:t>
        <w:br/>
        <w:t>759. Beyond the meaning of the effect, which could not be explained by the parties involved, it should be emphasized that this effect would have occurred on the acceptance side of the market, where competition is less fierce and where there was already a significant degree of transparency, for example regarding the commission rates applied. The econometric analysis of the parties also emphasizes that "[o]n the acceptance side, issuers are not in competition, each having monopoly power for selling access to their TR to restaurateurs and merchants. Under these conditions, collusion among issuers on their pricing strategies implemented on the acceptance side would be devoid of interest and sense from an economic standpoint"444.</w:t>
        <w:br/>
        <w:t>760. In other words, by the parties' own admission, the results of their econometric study present inconsistencies. In fact, these limitations do not allow them to be considered sufficiently robust to establish with certainty the absence of effect of the practices on the commission rates.</w:t>
        <w:br/>
        <w:t>761. It follows from the above that the damage to the economy caused by the practices is certain but limited.</w:t>
        <w:br/>
        <w:t>♦ Conclusion on the proportion of the bases to retain</w:t>
        <w:br/>
        <w:t>762. Given the assessment made above regarding the seriousness of the facts and the certain but limited importance of the damage caused to the economy in the relevant sector, the Authority will retain, to determine the base amount of the sanction imposed on the parties involved, a proportion of 6% of the value retained as the basis for the amount of monetary sanctions.</w:t>
        <w:br/>
        <w:t>♦ Taking into account the duration of the companies' participation in the practices</w:t>
        <w:br/>
        <w:t>763. The duration of the infringement is a relevant factor that should be taken into account in the assessment of both the seriousness of the facts and the importance of the damage to the economy. Indeed, the longer an infringement lasts, the greater the harm it causes to the free play of competition and the disruption it causes to the functioning of the sector in question, and more generally to the economy, is likely to be substantial.</w:t>
        <w:br/>
        <w:t>764. In the case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to the economy, is applied once, for the first full year of individual participation of each company involved, to the value of its sales during the reference accounting year, and then to half of that value, for each of the subsequent full years; beyond the last full year of participation in the infringement, the remaining period is taken into account on a monthly basis, to the extent that the elements of the file allow it.</w:t>
        <w:br/>
        <w:t>765. In each specific case, this method results in a multiplier coefficient, defined proportionally to the individual duration of participation of each company in the infringement and applied to the proportion of the value of the sales made by each of them during the accounting year retained as a reference.</w:t>
        <w:br/>
        <w:t>766. The coefficient retained for each issuer in this case is 3.20.</w:t>
        <w:br/>
        <w:t>♦ Conclusion on the determination of the base amount</w:t>
        <w:br/>
        <w:t>767. It follows from all of the above that, given the seriousness of the facts and the importance of the damage caused to the economy by the practices in question, the base amounts of the sanctions determined in proportion to the sales related to the marketing of products in connection with the infringements committed by the companies involved, on one hand, and the duration of the practices, on the other hand, are as follows:</w:t>
      </w:r>
    </w:p>
    <w:p>
      <w:r>
        <w:t>Table 10 – Base Amount</w:t>
        <w:br/>
        <w:t>Parties involved Allegation No. 1</w:t>
        <w:br/>
        <w:t>Base Amount (€)</w:t>
        <w:br/>
        <w:t>Edenred France [10,000,000 – 20,000,000]</w:t>
        <w:br/>
        <w:t>Up 13,154,846</w:t>
        <w:br/>
        <w:t>Natixis Intertitres 6,040,663</w:t>
        <w:br/>
        <w:t>Sodexo Pass France [0 – 10,000,000]</w:t>
        <w:br/>
        <w:t>Individualization of sanctions</w:t>
        <w:br/>
        <w:t>768. The Authority has committed to adjusting the base amounts retained above in light of the legal criterion relating to the individual situation of each of the parties involved, whether they are organizations or companies, belonging, where applicable, to larger groups.</w:t>
        <w:br/>
        <w:t>769. To this end, and depending on the specific elements of each case, it may take into account various mitigating or aggravating circumstances characterizing the behavior of each company in the implementation of the infringements in question, as well as other relevant objective elements relating to its individual situation. This consideration may lead to adjusting the sanction both upwards and downwards.</w:t>
        <w:br/>
        <w:t>♦ Mitigating or aggravating circumstances</w:t>
        <w:br/>
        <w:t>770. The sanctions communication provides in its point 45 that the Authority may notably take into account the fact that "the company or organization provides evidence that it has durably adopted competitive behavior, for a substantial part of the products or services in question, to the point of having disrupted, as a free rider, the very functioning of the practice in question."</w:t>
        <w:br/>
        <w:t>771. In this case, Sodexo Pass France, Sodexo, Natixis Intertitres, and Natixis argue that Sodexo Pass France and Natixis Intertitres would have adopted "competitive behavior," in the sense of the communication,445 during the duration of the practices, which would have been illustrated in particular by the variation of their market shares in certain customer segments, the decrease in commission rates on the issuance side, or, concerning Natixis Intertitres, the increase in its overall market share.</w:t>
        <w:br/>
        <w:t>772. However, beyond the fact that the significance of the aforementioned illustrations must be relativized (see in particular paragraphs 179, 228, and 525), the parties do not describe any specific behavior, and therefore do not demonstrate how they would have, in the sense of the communication, disrupted, as free riders, the very functioning of the anti-competitive practices in question.</w:t>
        <w:br/>
        <w:t>773. There is therefore no need to take into account any mitigating or aggravating circumstances in this case.</w:t>
      </w:r>
    </w:p>
    <w:p>
      <w:r>
        <w:rPr>
          <w:b/>
        </w:rPr>
        <w:t>[Pages 133–135]</w:t>
      </w:r>
    </w:p>
    <w:p>
      <w:r>
        <w:t xml:space="preserve">♦ The economic power of historical issuers and the group to which they belong  </w:t>
        <w:br/>
        <w:t xml:space="preserve">774. The assessment of the individual situation may lead the Authority to take into account the scale of the company in question or the group to which it belongs446.  </w:t>
        <w:br/>
        <w:t xml:space="preserve">775. In the specific case of companies in the banking sector, national case law considers that, for the purposes of measuring their power and contributory capacity, it is appropriate to take into account not the turnover as it appears in the tax package, but the net banking income447.  </w:t>
        <w:br/>
        <w:t xml:space="preserve">- Regarding Sodexo Pass France  </w:t>
        <w:br/>
        <w:t xml:space="preserve">776. In this case, the infringement in question has been attributed to the company Sodexo Pass France, as the perpetrator, and to the company Sodexo, as the parent company, which together constitute a company within the meaning of competition law, as evidenced by the developments in this decision relating to the attribution of practices.  </w:t>
        <w:br/>
        <w:t xml:space="preserve">777. The overall financial resources of the Sodexo group are very significant. Thus, its consolidated global turnover for 2018 reached 20.4 billion euros. It is also substantially higher than that of other historical issuers for the same year. Indeed, it is 2.1 times higher than that of Natixis Intertitres, 14.8 times higher than that of Edenred France, and 38.4 times higher than that of Up448.  </w:t>
        <w:br/>
        <w:t xml:space="preserve">778. The value of sales used as the basis for the sanction thus represents only [0 – 1] % of the total turnover of the group.  </w:t>
        <w:br/>
        <w:t xml:space="preserve">779. Given these elements and the imperative of specific and general deterrence, in light of the financial situation specific to the company at the time it is sanctioned449, the base amount of the monetary sanction imposed on Sodexo Pass France, jointly with its parent company Sodexo, must be increased by 70 %.  </w:t>
        <w:br/>
        <w:t xml:space="preserve">- Regarding Natixis Intertitres  </w:t>
        <w:br/>
        <w:t xml:space="preserve">780. The infringement in question has been attributed to the company Natixis Intertitres, as the perpetrator, and to the company Natixis, as the parent company, which together constitute a company within the meaning of competition law, as evidenced by the developments in this decision relating to the attribution of practices.  </w:t>
        <w:br/>
        <w:t xml:space="preserve">781. The overall financial resources of the Natixis group are very significant. Thus, its consolidated global turnover for 2018 reached 9.6 billion euros. It is also substantially higher than that of Edenred France and Up for the same year, namely 7 and 18.1 times higher450.  </w:t>
        <w:br/>
        <w:t xml:space="preserve">782. The value of sales used as the basis for the sanction thus represents only 0.3 % of the total turnover of the group.  </w:t>
        <w:br/>
        <w:t xml:space="preserve">783. Given these elements and the imperative of specific and general deterrence, in light of the financial situation specific to the company at the time it is sanctioned, the base amount of the monetary sanction imposed on Natixis Intertitres, jointly with its parent company Natixis, must be increased by 50 %.  </w:t>
        <w:br/>
        <w:t xml:space="preserve">♦ Reiteration  </w:t>
        <w:br/>
        <w:t xml:space="preserve">- Reminder of applicable principles  </w:t>
        <w:br/>
        <w:t xml:space="preserve">784. Reiteration, referred to autonomously by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rules451. The case law of the Union goes in the same direction452.  </w:t>
        <w:br/>
        <w:t xml:space="preserve">785. It is possible to recognize the existence of a reiteration when four conditions are met (paragraph 51 of the sanctions communiqué):  </w:t>
        <w:br/>
        <w:t xml:space="preserve">- a previous infringement of competition law must have been established before the end of the commission of the new practice;  </w:t>
        <w:br/>
        <w:t xml:space="preserve">- the new practice must be identical or similar, in its object or effects, to that which led to the previous finding of infringement;  </w:t>
        <w:br/>
        <w:t xml:space="preserve">- the latter must have acquired a definitive character by the date on which the Authority rules on the new practice; and  </w:t>
        <w:br/>
        <w:t xml:space="preserve">- the time elapsed between the previous finding of infringement and the start of the new practice is taken into account to provide a proportionate response to the propensity of the company to disregard competition rules, it being indicated that reiteration will not be recognized when the time in question exceeds fifteen years.  </w:t>
        <w:br/>
        <w:t xml:space="preserve">786. Furthermore, in the case of reiteration, the individualized amount may be "increased by a proportion between 15 and 50 %, depending in particular on the time separating the start of the new practice from the previous finding of infringement, and the nature of the different infringements in question" (see point 52 of the aforementioned communiqué).  </w:t>
        <w:br/>
        <w:t xml:space="preserve">787. In its decision n° 12-D-08 relating to practices implemented in the sector of production and marketing of endives, the Authority recalled the content of its decision n° 07-D-33, according to which "practices may be identical or similar by their same anti-competitive object, a criterion that essentially refers to the legal basis used to qualify them: horizontal agreements between competitors, vertical restrictions between companies participating in the same economic chain, abuse of dominant position may thus be regarded as falling, a priori, into different categories. But they may also be identical or similar by their same anti-competitive effect (...): collusive practices or unilateral behaviors may thus seek the same exclusion effect against competitors in a market, without necessarily falling under the same prohibition regime"453 (emphasis added – paragraph 728).  </w:t>
        <w:br/>
        <w:t xml:space="preserve">788. These principles were recently reaffirmed by the Paris Court of Appeal in a judgment of September 27, 2018, which recalls that "reiteration may be retained for new practices identical or similar, in their object or effects, to those that led to the previous finding of infringement, without this qualification requiring an identity as to the practice implemented or the market concerned" (emphasis added), and which indicates that "[t]he two findings of infringement present, on the contrary, marked similarities, both in their object and in their effects. In both cases, the company EDF was sanctioned for having implemented practices of abuse of dominant position, in violation of the same legal basis, namely Articles L. 420-2 of the Commercial Code and 102 of the TFEU"454 (emphasis added).  </w:t>
        <w:br/>
        <w:t xml:space="preserve">- Application to the case at hand  </w:t>
        <w:br/>
        <w:t xml:space="preserve">789. In this case, it should be noted that Sodexho Chèques et Cartes De Services (now Sodexo Pass France), Le Chèque Déjeuner (now Up), and Accor (restaurant voucher division, sold and then became Edenred France) were sanctioned for having participated in horizontal collusive practices in decision n° 01-D-41 of July 11, 2001, relating to practices implemented in the markets for restaurant vouchers and employment-service vouchers455.  </w:t>
        <w:br/>
        <w:t xml:space="preserve">790. The practices referred to under the first grievance also constitute a horizontal agreement and are, in the sense of the aforementioned case law relating to reiteration, similar.  </w:t>
        <w:br/>
        <w:t xml:space="preserve">791. The aforementioned decision n° 01-D-41, having been subject to no appeal within the legal deadlines, was definitive as of the date of the start of the attributed practices (i.e. July 5, 2010) and a fortiori at the date of the finding of the infringement by the Authority in this decision.  </w:t>
        <w:br/>
        <w:t xml:space="preserve">792. Finally, the time elapsed between the finding of the first infringement (i.e. July 11, 2001) and the start of the practices is just under 9 years.  </w:t>
        <w:br/>
        <w:t xml:space="preserve">793. It follows from the above that it is appropriate to consider that Sodexo Pass France, UP, and Edenred France are in a situation of reiteration justifying, in the circumstances of the case, an increase of 20 % in their sanction.  </w:t>
        <w:br/>
        <w:t xml:space="preserve">453 Decision n° 12-D-08 of March 6, 2012, relating to practices implemented in the sector of production and marketing of endives, paragraph 728.  </w:t>
        <w:br/>
        <w:t xml:space="preserve">454 Judgment of the Paris Court of Appeal of September 27, 2018, n° 17/22720, points 33 and 41.  </w:t>
        <w:br/>
        <w:t>455 Decision n° 01-D-41 of July 11, 2001, relating to practices implemented in the restaurant voucher and service voucher sectors, articles 1 to 4.</w:t>
      </w:r>
    </w:p>
    <w:p>
      <w:r>
        <w:rPr>
          <w:b/>
        </w:rPr>
        <w:t>[Pages 136–138]</w:t>
      </w:r>
    </w:p>
    <w:p>
      <w:r>
        <w:t>♦ The intermediate amount of sanctions</w:t>
        <w:br/>
        <w:t>794. In light of all the general and individual elements as outlined above, the amount of sanctions imposed on the companies involved is set, at this stage of the demonstration, at the following sums:</w:t>
        <w:br/>
        <w:t>Table 11 – Intermediate amount of sanctions</w:t>
        <w:br/>
        <w:t>Parties involved Amount of</w:t>
        <w:br/>
        <w:t>the fine (€)</w:t>
        <w:br/>
        <w:t>Edenred France [10,000,000 – 20,000,000]</w:t>
        <w:br/>
        <w:t>Up 15,785,815</w:t>
        <w:br/>
        <w:t>Natixis Intertitres 9,060,994</w:t>
        <w:br/>
        <w:t>Sodexo Pass France [10,000,000 – 20,000,000]</w:t>
        <w:br/>
        <w:t>♦ Verification of compliance with the legal maximum</w:t>
        <w:br/>
        <w:t>- Reminder of applicable principles</w:t>
        <w:br/>
        <w:t>795. In accordance with paragraph 4, I of Article L. 464-2 of the Commercial Code, when the offender is a company, the maximum amount of the financial penalty is "10% of the highest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br/>
        <w:t>796. National case law recalls that, given the specificities of the banking sector, it is the gross banking income that must serve as the basis for calculating the legal ceiling, and not the net banking income, let alone the turnover as it appears on the tax return456.</w:t>
        <w:br/>
        <w:t>- Application to the case at hand</w:t>
        <w:br/>
        <w:t>• Up</w:t>
        <w:br/>
        <w:t>797. The highest worldwide turnover excluding taxes of the company Up, the consolidating company of the eponymous group, since the fiscal year preceding the one during which the practices referred to in this case were implemented, was achieved during the fiscal year 2018457. The maximum amount of the sanction imposed on the company Up corresponds to 10% of the aforementioned turnover, i.e. 53.2 million euros.</w:t>
        <w:br/>
        <w:t>456 Decision No. 10-D-28 of September 28, 2010, regarding the rates and conditions applied by banks and financial institutions for the processing of checks submitted for collection, paragraphs 631 and 632.</w:t>
        <w:br/>
        <w:t>457 15/0092 F – reference 17,394.</w:t>
        <w:br/>
        <w:t>136</w:t>
      </w:r>
    </w:p>
    <w:p>
      <w:r>
        <w:t>• Edenred France</w:t>
        <w:br/>
        <w:t>798. The turnover of Edenred France was consolidated by Accor between 2002 and June 2010 (transfer of Accor's restaurant voucher division to Edenred on June 28, 2010), and has been consolidated by Edenred since that date458.</w:t>
        <w:br/>
        <w:t>799. Edenred argues that taking into account the worldwide turnover of Accor for the calculation of the 10% ceiling could lead to a disproportionate sanction.</w:t>
        <w:br/>
        <w:t>800. By considering, in addition to the consolidated worldwide turnover of Edenred, that of Accor, the legal ceiling would correspond to 10% of the worldwide turnover excluding taxes achieved by Accor in 2009459 (i.e. 7,065 million euros), or 707 million euros. Conversely, by only considering the worldwide turnover of the Edenred group (since June 28, 2010), the 10% ceiling would correspond to the worldwide turnover excluding taxes of Edenred SA in 2018460 (i.e. 1,378 million euros), or 138 million euros. The legal maximum of the sanction calculated based on the consolidated worldwide turnover of Accor is therefore more than five times higher than that calculated based on the consolidated worldwide turnover of Edenred SA.</w:t>
        <w:br/>
        <w:t>801. In this case, it is necessary to determine whether the "consolidating company" within the meaning of the fourth paragraph of I of Article L. 464-2 of the Commercial Code refers to the consolidating company at the date of this decision or any consolidating company since the fiscal year preceding the one during which the practices were implemented.</w:t>
        <w:br/>
        <w:t>802. In this regard, as indicated by the Constitutional Council in a decision of October 14, 2015, Article L. 464-2, I, paragraph 4 "aims (...) to take into account the size and financial capacities of the company concerned in assessing the maximum amount of the sanction"461. By referring to a consolidating company different from the current one, the Authority believes that the maximum amount of the sanction may not be appropriate to the size and financial capacities of the current group of the sanctioned company.</w:t>
        <w:br/>
        <w:t>803. In this context, it is appropriate to retain a legal maximum of 137.8 million euros in this case.</w:t>
        <w:br/>
        <w:t>• Natixis Intertitres</w:t>
        <w:br/>
        <w:t>804. The turnover of Natixis Intertitres, through the consolidation of the Natixis group, was consolidated, from 2003 to 2005, by the Banque Populaire group, then, from 2006 to 2008, by the Banque Populaire and Caisses d’Épargne groups, and since 2009, by the BPCE group, resulting from the merger between the latter462.</w:t>
        <w:br/>
        <w:t>805. It appears that the amount of the sanction imposed jointly on Natixis Intertitres and Natixis is less than 10% of the worldwide turnover (i.e. gross banking income) excluding taxes the highest since the fiscal year preceding the one during which the practices referred to in this case were implemented463.</w:t>
        <w:br/>
        <w:t>• Sodexo Pass France</w:t>
        <w:br/>
        <w:t>806. The turnover of Sodexo Pass France has been consolidated by Sodexo since the beginning of the practices464. Since the fiscal year preceding the one during which the practices referred to in this case were implemented, the Sodexo group achieved its highest worldwide turnover excluding taxes during the fiscal year ending August 31, 2017465. Consequently, the maximum amount of the sanction imposed jointly on Sodexo Pass France and Sodexo corresponds to 10% of the worldwide turnover excluding taxes of Sodexo for the fiscal year from September 1, 2016, to August 31, 2017.</w:t>
        <w:br/>
        <w:t>807. It is therefore appropriate to retain a legal maximum of 2,070 million euros in this case.</w:t>
        <w:br/>
        <w:t>♦ The amount of sanctions</w:t>
        <w:br/>
        <w:t>808. According to the method of determining sanctions outlined above, the individualized amount of sanctions incurred by Up, Edenred France, Natixis Intertitres, and Sodexo Pass France is as follows:</w:t>
        <w:br/>
        <w:t>Table 12 – Amount of sanctions related to grievance No. 1</w:t>
        <w:br/>
        <w:t>Parties involved Amount of the fine</w:t>
        <w:br/>
        <w:t>(€)</w:t>
        <w:br/>
        <w:t>Edenred France 19,291,000</w:t>
        <w:br/>
        <w:t>Up 15,785,000</w:t>
        <w:br/>
        <w:t>Natixis Intertitres 9,060,000</w:t>
        <w:br/>
        <w:t>Sodexo Pass France 15,339,000</w:t>
        <w:br/>
        <w:t>Grievance No. 2</w:t>
        <w:br/>
        <w:t>Determination of the base amount of sanctions</w:t>
        <w:br/>
        <w:t>♦ The value of sales</w:t>
        <w:br/>
        <w:t>809. The Authority recalled in paragraphs 723 and 724 the methods for determining the value of sales.</w:t>
        <w:br/>
        <w:t>810. In this case, the practices pursued concerned the restaurant vouchers issued by the historical issuers and processed by the CRT.</w:t>
        <w:br/>
        <w:t>811. According to the method developed by the sanctions communiqué, the reference retained by the Authority is generally the value of sales during the last complete accounting year of participation of each company involved. However, in cases where it</w:t>
      </w:r>
    </w:p>
    <w:p>
      <w:r>
        <w:rPr>
          <w:b/>
        </w:rPr>
        <w:t>[Pages 139–141]</w:t>
      </w:r>
    </w:p>
    <w:p>
      <w:r>
        <w:t>considers that the last complete accounting year of participation in the infringement does not clearly constitute a representative reference, the Authority selects a year that it deems more appropriate.</w:t>
      </w:r>
    </w:p>
    <w:p>
      <w:r>
        <w:t>812. In this case, the last complete accounting year for each of the companies is the year 2017.</w:t>
      </w:r>
    </w:p>
    <w:p>
      <w:r>
        <w:t>813. Natixis Intertitres and Natixis argue in this regard that an average of the sales values should be taken into account since the value of sales increased from 3,857,000 euros in 2002 to 41,409,429 euros in 2017, representing an increase of 1,074%.</w:t>
      </w:r>
    </w:p>
    <w:p>
      <w:r>
        <w:t>814. However, this variation in revenue corresponds to a continuous and stable growth over the entire period of the practices, in a context marked by a similar phenomenon of continuous growth in the TR sector and efficiency gains generated by Natixis Intertitres' membership in the CRT (see paragraphs 199 and 200). Consequently, even though the duration of the practices in question is particularly long (over 16 years), the last complete accounting year remains a representative reference for the historical issuers.</w:t>
      </w:r>
    </w:p>
    <w:p>
      <w:r>
        <w:t>815. In light of the above considerations, the table below, established based on the data provided by the companies concerned, summarizes the sales values serving as the basis for the individual sanction of each of them (in euros):</w:t>
      </w:r>
    </w:p>
    <w:p>
      <w:r>
        <w:t>Table 13 – Sales Value</w:t>
        <w:br/>
        <w:t>Parties involved Complaint No. 2</w:t>
        <w:br/>
        <w:t>2017 (€)</w:t>
        <w:br/>
        <w:t>Edenred France [90,000,000 – 100,000,000]</w:t>
        <w:br/>
        <w:t>Up 72,128,529</w:t>
        <w:br/>
        <w:t>Natixis Intertitres 41,409,429</w:t>
        <w:br/>
        <w:t>Sodexo Pass France [40,000,000 – 50,000,000]</w:t>
        <w:br/>
        <w:t>Source: 15/0092 F – references 14,043, 14,148, 14,156, and 5,931.</w:t>
      </w:r>
    </w:p>
    <w:p>
      <w:r>
        <w:t>♦ The proportion of the sales value</w:t>
        <w:br/>
        <w:t>- The severity of the practices</w:t>
      </w:r>
    </w:p>
    <w:p>
      <w:r>
        <w:t>816. The Authority recalled in paragraph 732 the methods for taking into account the severity of the practices.</w:t>
      </w:r>
    </w:p>
    <w:p>
      <w:r>
        <w:t>817. In this case, as previously specified, the Agreement aims to lock down the TR market by controlling, and thereby deterring, access to the market (first aspect) and by limiting competition through innovation within the market (second aspect). Such practices are inherently particularly serious, whether they are undertaken in combination or autonomously.</w:t>
      </w:r>
    </w:p>
    <w:p>
      <w:r>
        <w:t>818. By way of comparison, even with just the first aspect, in its decision No. 12-D-27 regarding practices identified in the ticketing sector, the Authority noted that Fnac, France Billet, and Ticketnet had colluded to prevent a competitor from entering the market. It noted in this regard that "the eviction infringement in question has a particularly serious nature as it was implemented by the three main players in the market"466. In this case, this observation is even more transposable as the member-shareholders held a cumulative market share over the duration of the practices of 100% until 2012, and 98.5% in 2016.</w:t>
      </w:r>
    </w:p>
    <w:p>
      <w:r>
        <w:t>819. The actors likely to be affected by the practices are the clients of the issuers (i.e., in terms of issuance, the client companies, and in terms of acceptance, the approved merchants), the employees of the client companies, and new or potential competitors in the market. Among the potentially affected client companies, it is noteworthy that a significant proportion are small and medium-sized enterprises and public companies. For illustrative purposes, for Edenred France, the former represent [70 – 85%] of clients for 2017 and [15 – 30%] of the volumes of TR issued by it467.</w:t>
      </w:r>
    </w:p>
    <w:p>
      <w:r>
        <w:t>820. The employees of the client companies may also have been indirectly affected by the reduction of innovation linked to the prohibition of developing dematerialized securities outside the CRT, under penalty of sanctions.</w:t>
      </w:r>
    </w:p>
    <w:p>
      <w:r>
        <w:t>821. Finally, regarding the objective characteristics of the infringement, it is important to first recall that the Protocol provides for a set of particularly heavy sanctions in the event of non-compliance with these provisions (see paragraphs 309 and 310).</w:t>
      </w:r>
    </w:p>
    <w:p>
      <w:r>
        <w:t>822. In this regard, the internal note from the legal department of Accor Services France, dated June 25, 2009, which aimed to analyze the risks associated with launching a dematerialized securities solution, in response to the launch by a competitor, whether a member or non-member of the CRT, of a dematerialized securities solution, clearly demonstrates the consideration of these sanctions in the positioning of the issuers468.</w:t>
      </w:r>
    </w:p>
    <w:p>
      <w:r>
        <w:t>823. The fact that these retaliatory measures were never implemented in this case could be explained by the deterrent effect linked to the credibility and significance of the sanctions applicable in the event of a violation of the Protocol.</w:t>
      </w:r>
    </w:p>
    <w:p>
      <w:r>
        <w:t>824. Secondly, it is important to take into account the secret nature of the Protocol.</w:t>
      </w:r>
    </w:p>
    <w:p>
      <w:r>
        <w:t>825. Thirdly, through the first aspect of the practices, the parties involved could control access to the CRT.</w:t>
      </w:r>
    </w:p>
    <w:p>
      <w:r>
        <w:t>826. Finally, fourthly, it should be noted the particularly long duration of the practices, which lasted more than 16 years (January 21, 2002 – February 22, 2018).</w:t>
      </w:r>
    </w:p>
    <w:p>
      <w:r>
        <w:t>827. It follows from the above that the practices in question are of a certain severity.</w:t>
        <w:br/>
        <w:t>- The importance of the damage to the economy</w:t>
        <w:br/>
        <w:t>• On the scope of the practices</w:t>
      </w:r>
    </w:p>
    <w:p>
      <w:r>
        <w:t>828. It should be noted that the practices referred to in complaint No. 2 concern the entirety of the French TR market, and that the cumulative market share of the implicated issuers was 100% until 2012, and still stood at 98.5% in 2016 (the last available year).</w:t>
      </w:r>
    </w:p>
    <w:p>
      <w:r>
        <w:t>• On the economic characteristics of the market in question</w:t>
      </w:r>
    </w:p>
    <w:p>
      <w:r>
        <w:t>829. As indicated several times in this decision, the restaurant voucher sector is highly concentrated, with four operators accounting for almost the entire market.</w:t>
      </w:r>
    </w:p>
    <w:p>
      <w:r>
        <w:t>830. Furthermore, the elasticity of demand for TR is reduced due to the legal obligations imposed on companies regarding the catering of their employees, as well as the advantageous tax and social regime associated with TR.</w:t>
      </w:r>
    </w:p>
    <w:p>
      <w:r>
        <w:t>831. These practices occurred, moreover, with the exception of a period of a few weeks (21 days), in a competitive context already marked by information exchanges that had the effect of limiting competition among the four historical issuers.</w:t>
      </w:r>
    </w:p>
    <w:p>
      <w:r>
        <w:t>• On the structural and cyclical consequences of the practices</w:t>
        <w:br/>
        <w:t> The control of access to the CRT</w:t>
      </w:r>
    </w:p>
    <w:p>
      <w:r>
        <w:t>832. The conditions for access to the CRT constitute an obstacle to the arrival of new TR issuers. The Competition Authority has already emphasized several times that any artificial elevation of entry barriers by a historical operator, particularly due to eviction practices, "is likely to slow down the penetration of existing new operators, but also to contribute to discouraging potential entrants"469. This delay and discouragement of potential competitors "cause certain damage, even if it is not easily quantifiable"470.</w:t>
      </w:r>
    </w:p>
    <w:p>
      <w:r>
        <w:t>833. Through the disputed provisions of the Articles of Association and the CRT Internal Regulations, the historical issuers reserved for themselves the exclusive enjoyment of the competitive advantages guaranteed by the common structure, and thus were able to participate in discouraging market entry. The absence of refusals of membership to the CRT pronounced by the issuers may constitute a factor limiting the effects of the practices. However, the lack of objective and transparent conditions for access to this structure may have deterred some potential entrants from submitting a membership application or pursuing it.</w:t>
      </w:r>
    </w:p>
    <w:p>
      <w:r>
        <w:t>834. The parties involved have emphasized that third-party issuers to the CRT could benefit from the services of the CRT without being members starting in 2011, by having their paper securities processed by the CRT. However, as indicated in paragraphs 611 to 613, beyond the fact that the conditions for benefiting from these services were, just like the membership conditions, non-objective and non-transparent, nothing suggests that the competitive advantages linked to membership in the CRT would be fully passed on to non-member clients. Furthermore, a third-party issuer would necessarily have had to transmit strategic information to the association managed by its competitors to access its services.</w:t>
      </w:r>
    </w:p>
    <w:p>
      <w:r>
        <w:rPr>
          <w:b/>
        </w:rPr>
        <w:t>[Pages 142–144]</w:t>
      </w:r>
    </w:p>
    <w:p>
      <w:r>
        <w:t>835. Consequently, for third-party restaurant voucher issuers, the possibility opened by the CRT's statutes to offer its services to third parties did not constitute a credible alternative from an economic standpoint.</w:t>
      </w:r>
    </w:p>
    <w:p>
      <w:r>
        <w:t>836. The parties involved also indicate that third-party issuers to the CRT could benefit from subcontracting services for the processing of restaurant vouchers from other institutions than the CRT. However, the scope of this possibility must be limited, as third-party issuers did not benefit from all the sources of efficiency generated by the CRT. Furthermore, the absence of objective and transparent membership conditions for the CRT may have led to a decrease in innovation in the market following the publication of decree no. 2008-244 of March 7, 2008, by discouraging companies wishing to market paper vouchers before subsequently launching into dematerialized solutions.</w:t>
      </w:r>
    </w:p>
    <w:p>
      <w:r>
        <w:t>837. That said, the effect of the absence of objective and transparent membership conditions can, however, be mitigated in the segment of dematerialized vouchers. Indeed, membership in the CRT is likely to provide fewer competitive advantages in this segment, as evidenced by the entries in this market segment in 2012. In particular, while membership in the CRT could facilitate the acceptance of dematerialized vouchers by restaurateurs, reduce acquisition costs, and thus promote innovation in the market, its effect on processing costs was much more limited than for paper vouchers.</w:t>
      </w:r>
    </w:p>
    <w:p>
      <w:r>
        <w:t>838. Moreover, as entry into the dematerialized voucher segment became credible for potential competitors, the attractiveness of entering the paper voucher segment may have been reduced. The cyclical effects can also be mitigated due to the difficulty of entering the restaurant voucher market, even in the absence of the practices, as illustrated in a joint study involving all the parties concerned471.</w:t>
      </w:r>
    </w:p>
    <w:p>
      <w:r>
        <w:t> The control of the development of dematerialized vouchers</w:t>
      </w:r>
    </w:p>
    <w:p>
      <w:r>
        <w:t>839. By refraining from developing a system for accepting dematerialized vouchers outside the CRT until December 2012, the parties involved reduced competition through innovation among themselves in the national TR market, thus delaying the arrival of dematerialized vouchers in this market. In doing so, they amplified the market lock-in effects caused by the entry conditions into the CRT.</w:t>
      </w:r>
    </w:p>
    <w:p>
      <w:r>
        <w:t>840. The extent of the deterrent effect on innovation is notably illustrated by documents from Edenred France (then known as Accor Services France), which precisely analyze the risks associated (i.e., financial compensation and possible exclusion from the CRT) with the development of dematerialized vouchers outside the CRT (see paragraphs 312 to 316). While some elements in the file could moderate the extent of the effect of the Protocol (see below), the absence of implementation of the retaliation mechanism provided for by the Protocol (financial sanction and exclusion from the CRT) is not likely to limit the damage, due to the credibility and significance of the sanction applicable to the issuer deviating from the Protocol, as illustrated by the note from Accor Services France.</w:t>
      </w:r>
    </w:p>
    <w:p>
      <w:r>
        <w:t>841. The deterrent effect of the Protocol on the company's development of a dematerialized solution outside the CRT can also be illustrated by the fact that issuers waited for the arrival of a dematerialized voucher issuer to free themselves from the Protocol and thus be able to offer dematerialized solutions. However, in the absence of the Protocol, historical issuers could have developed such solutions unilaterally471 prior to the entry of competitors into the segment in order to capture the customer potential attracted by dematerialized vouchers, knowing in particular that some of these issuers had launched such vouchers abroad (Edenred, for example, launched a dematerialized voucher in Spain starting in 2003472 and Up issued dematerialized vouchers in certain foreign countries before 2002473).</w:t>
      </w:r>
    </w:p>
    <w:p>
      <w:r>
        <w:t>842. The possibility that the parties involved had to develop dematerialized vouchers within the CRT does not significantly mitigate the damage caused by this restriction on competition. Indeed, the parties did not take advantage of this opportunity, even though dematerialized solutions had been developed abroad. Furthermore, it appears that the CRT itself studied (see paragraphs 321 to 326) and then abandoned the development of dematerialized vouchers even though the parties involved found it profitable to introduce such TRs after 2012.</w:t>
      </w:r>
    </w:p>
    <w:p>
      <w:r>
        <w:t>843. The absence of common innovation among CRT members in the dematerialized voucher segment before the creation of Conecs in 2012 can also be explained by the elimination of incentives to innovate induced by the signing of the Protocol. Indeed, in the absence of the latter, the parties involved would have been incentivized to compete for the development of dematerialized vouchers, in order to capture the largest share of demand wishing to adopt this type of voucher. However, as noted above, by signing the Protocol, CRT members precisely prevented the unilateral development of a dematerialized voucher by the only issuers then active in the restaurant voucher market.</w:t>
      </w:r>
    </w:p>
    <w:p>
      <w:r>
        <w:t>844. Nevertheless, the effect of the delay in innovation and the entry of historical issuers into the dematerialized voucher segment related to the 2002 Protocol must be partially mitigated. First, before the entry into force of decree no. 2008-244 of March 7, 2008, TRs were only available in paper format (see paragraph 645). Moreover, there was a reluctance among client companies and employees to use these vouchers (see paragraph 195). Finally, the parties also highlighted the absence or limited development of certain technologies before the termination of the Protocol in 2012474.</w:t>
      </w:r>
    </w:p>
    <w:p>
      <w:r>
        <w:t>♦ Conclusion on the proportion of the bases to retain</w:t>
      </w:r>
    </w:p>
    <w:p>
      <w:r>
        <w:t>845. Given the assessment made above regarding the seriousness of the facts and the certain but limited importance of the damage caused to the economy in the relevant sector, the Authority will retain, to determine the base amount of the sanction imposed on the parties involved, a proportion of 14% of the value retained as the basis for the amount of monetary sanctions.</w:t>
      </w:r>
    </w:p>
    <w:p>
      <w:r>
        <w:t>♦ Taking into account the duration of the companies' participation in the practices</w:t>
      </w:r>
    </w:p>
    <w:p>
      <w:r>
        <w:t>846. The duration of the infringement is a relevant factor that should be taken into account in assessing both the seriousness of the facts and the importance of the damage to the economy. Indeed, the longer an infringement lasts, the more substantial the harm it causes to the free play of competition and the disruption it causes to the functioning of the sector in question, and more generally to the economy, is likely to be.</w:t>
      </w:r>
    </w:p>
    <w:p>
      <w:r>
        <w:t>847. In the case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to the economy, is applied once, for the first full year of individual participation of each company involved, to the value of its sales during the reference accounting year, and then to half of that value for each of the following full years; beyond the last full year of participation in the infringement, the remaining period is taken into account on a monthly basis, to the extent that the elements of the file allow it.</w:t>
      </w:r>
    </w:p>
    <w:p>
      <w:r>
        <w:t>848. In each specific case, this method results in a multiplier coefficient, defined proportionally to the individual duration of participation of each company in the infringement and applied to the proportion of the value of sales made by each of them during the accounting year retained as a reference.</w:t>
      </w:r>
    </w:p>
    <w:p>
      <w:r>
        <w:t>849. In this specific case, the practices referred to in grievance no. 2 (all aspects combined) began on January 21, 2002, with the adoption of the Statutes, and continued until the date of notification of the grievances. The coefficient retained for each issuer in this specific case is therefore 8.54.</w:t>
      </w:r>
    </w:p>
    <w:p>
      <w:r>
        <w:t>850. In this regard, it should be noted that Accor sold its restaurant voucher division on June 29, 2010, so that the practices of Edenred France were attributable to Edenred SA only between June 29, 2010, and February 22, 2018, or 48% of the duration retained.</w:t>
      </w:r>
    </w:p>
    <w:p>
      <w:r>
        <w:t>851. Furthermore, it appears from paragraphs 713 to 717 that the practices of Natixis Intertitres were attributable to Natixis only between January 1, 2003, and February 22, 2018, or 94% of the duration retained.</w:t>
      </w:r>
    </w:p>
    <w:p>
      <w:r>
        <w:t>♦ Conclusion on the determination of the base amount</w:t>
      </w:r>
    </w:p>
    <w:p>
      <w:r>
        <w:t>852. It follows from all of the above that, given the seriousness of the facts and the importance of the damage caused to the economy by the practices in question, the base amounts of the sanctions determined in proportion to the sales related to the marketing of products in connection with the infringements committed by the companies involved, on the one hand, and the duration of the practices, on the other hand, are as follows:</w:t>
      </w:r>
    </w:p>
    <w:p>
      <w:r>
        <w:rPr>
          <w:b/>
        </w:rPr>
        <w:t>[Pages 145–147]</w:t>
      </w:r>
    </w:p>
    <w:p>
      <w:r>
        <w:t xml:space="preserve">Table 14 – Base Amount  </w:t>
        <w:br/>
        <w:t xml:space="preserve">Parties Involved   Complaint No. 2  </w:t>
        <w:br/>
        <w:t xml:space="preserve">Base Amount (€)  </w:t>
        <w:br/>
        <w:t xml:space="preserve">Edenred France [100,000,000 – 110,000,000]  </w:t>
        <w:br/>
        <w:t xml:space="preserve">Up 86,236,869  </w:t>
        <w:br/>
        <w:t xml:space="preserve">Natixis Intertitres 49,509,113  </w:t>
        <w:br/>
        <w:t>Sodexo Pass France [50,000,000 – 60,000,000]</w:t>
      </w:r>
    </w:p>
    <w:p>
      <w:r>
        <w:t xml:space="preserve">Individualization of Sanctions  </w:t>
        <w:br/>
        <w:t xml:space="preserve">♦ Mitigating or Aggravating Circumstances  </w:t>
        <w:br/>
        <w:t xml:space="preserve">853. The sanctions communiqué provides in its point 45 that the Authority may notably take into account the fact that "the infringement was authorized or encouraged by public authorities" or that "the company or organization provides evidence that it has sustainably adopted competitive behavior, for a substantial part of the products or services in question, to the point of having disrupted, as a free rider, the very functioning of the practice in question."  </w:t>
        <w:br/>
        <w:t xml:space="preserve">854. Firstly, several parties involved, including Edenred France and Edenred475, emphasize the role of public authorities in the realization of the practices concerned by complaint No. 2:  </w:t>
        <w:br/>
        <w:t xml:space="preserve">- The Government would have "encouraged" and then "authorized"476 the dematerialization of restaurant vouchers from the early 2000s. In this sense, Edenred and Edenred France emphasize that "public authorities have, from the early 2000s, urged members of the CRT to think together about the implementation of dematerialization in France with a stated intention to reproduce the existing model, that is to say, to place the CRT at the heart of the management of processing for the reimbursement of restaurant vouchers from all issuers present in the market, for the benefit of affiliates/restaurateurs. Above all, the alleged "slowness" of the development of dematerialization in France is solely attributable to public authorities, who did not finalize, until 2014, the modifications to the framework of restaurant vouchers to adapt it to dematerialization"477;  </w:t>
        <w:br/>
        <w:t xml:space="preserve">- The Protocol would have been known to the DGCCRF before its entry into force; and  </w:t>
        <w:br/>
        <w:t xml:space="preserve">- The Council had knowledge of provisions similar to those contained in the Articles of Association when it adopted its decision No. 01-D-41, which did not sanction the parties involved on this basis.  </w:t>
        <w:br/>
        <w:t xml:space="preserve">475 15/0092 F – references 18,530 and 14,732.  </w:t>
        <w:br/>
        <w:t xml:space="preserve">476 15/0092 F – reference 18,530.  </w:t>
        <w:br/>
        <w:t>477 15/0092 F – reference 14,732.</w:t>
      </w:r>
    </w:p>
    <w:p>
      <w:r>
        <w:t xml:space="preserve">855. On the first two points, the parties do not provide evidence that public authorities would have, in the sense of the sanctions communiqué, "authorized" or "encouraged" the sanctioned practices under complaint No. 2.  </w:t>
        <w:br/>
        <w:t xml:space="preserve">856. On the last point, it is not contested that certain provisions were already known to the Council during the previous case related to the restaurant voucher sector. However, for the reasons set out in paragraphs 370 to 376, this circumstance cannot be taken into account to reduce the amount of the fines.  </w:t>
        <w:br/>
        <w:t xml:space="preserve">857. Secondly, and as indicated above regarding complaint No. 1, the alleged competitive behavior in the market during the duration of the practices by Sodexo Pass France and Natixis Intertitres does not justify, in light of the communiqué, a reduction in the amount of the fine.  </w:t>
        <w:br/>
        <w:t xml:space="preserve">858. Therefore, there is no need to take into account any mitigating or aggravating circumstances in this case.  </w:t>
        <w:br/>
        <w:t xml:space="preserve">♦ The Economic Power of Historical Issuers and the Group to Which They Belong  </w:t>
        <w:br/>
        <w:t xml:space="preserve">859. The Authority recalled in paragraphs 774 and 775 the modalities for taking into account the economic power of historical issuers and the group to which they belong.  </w:t>
        <w:br/>
        <w:t xml:space="preserve">- Regarding Sodexo Pass France  </w:t>
        <w:br/>
        <w:t xml:space="preserve">860. In this case, the infringement in question has been attributed to the company Sodexo Pass France, as the author, and to the company Sodexo, as the parent company, which together constitute an enterprise within the meaning of competition law, as evidenced by the developments of this decision relating to the attribution of practices.  </w:t>
        <w:br/>
        <w:t xml:space="preserve">861. As previously specified, the consolidated global revenue of the Sodexo group for 2018 is not only very significant but also substantially higher than that of other historical issuers (see paragraph 777).  </w:t>
        <w:br/>
        <w:t xml:space="preserve">862. Furthermore, the value of sales used as the basis for the sanction represents [0 – 1]% of the total revenue of the group.  </w:t>
        <w:br/>
        <w:t xml:space="preserve">863. Given these elements and the imperative of specific and general deterrence, considering the financial situation of the company at the time it is sanctioned, the base amount of the monetary sanction imposed on Sodexo Pass France, jointly with its parent company Sodexo, must be increased by 70%.  </w:t>
        <w:br/>
        <w:t xml:space="preserve">- Regarding Natixis Intertitres  </w:t>
        <w:br/>
        <w:t xml:space="preserve">864. The infringement in question has been attributed to the company Natixis Intertitres, as the author, and to the company Natixis, as the parent company, which together constitute an enterprise within the meaning of competition law, as evidenced by the developments of this decision relating to the attribution of practices.  </w:t>
        <w:br/>
        <w:t xml:space="preserve">865. As previously specified, the consolidated global revenue of the Natixis group for 2018 is not only very significant but also substantially higher than that of Edenred France and Up (see paragraph 781).  </w:t>
        <w:br/>
        <w:t xml:space="preserve">866. The value of sales used as the basis for the sanction represents 0.4% of the total revenue of the group.  </w:t>
        <w:br/>
        <w:t xml:space="preserve">867. Given these elements and the imperative of specific and general deterrence, considering the financial situation of the company at the time it is sanctioned, the base amount of the monetary sanction imposed on Natixis Intertitres, jointly with its parent company Natixis, must be increased by 50%.  </w:t>
        <w:br/>
        <w:t xml:space="preserve">♦ Recidivism  </w:t>
        <w:br/>
        <w:t xml:space="preserve">- Reminder of Applicable Principles  </w:t>
        <w:br/>
        <w:t xml:space="preserve">868. The Authority recalled in paragraphs 784 to 788 the modalities for taking into account recidivism in the calculation of fines.  </w:t>
        <w:br/>
        <w:t xml:space="preserve">- Application to the Case at Hand  </w:t>
        <w:br/>
        <w:t xml:space="preserve">869. In this case, it should be noted that Sodexho Chèques et Cartes De Services (now Sodexo Pass France), Le chèque déjeuner (now Up), and Accor (restaurant voucher division, sold and then became Edenred France) were sanctioned for having participated in horizontal collusion in decision No. 01-D-41 of July 11, 2001, concerning practices implemented in the markets for restaurant vouchers and employment service vouchers478.  </w:t>
        <w:br/>
        <w:t xml:space="preserve">870. The practices targeted under the second complaint also constitute horizontal collusion and are, in the sense of the aforementioned case law regarding recidivism, similar.  </w:t>
        <w:br/>
        <w:t xml:space="preserve">871. The aforementioned decision No. 01-D-41, having been subject to no appeal within the legal deadlines, was definitive as of the date of the start of the practices attributed (i.e., July 5, 2010) and a fortiori at the date of the finding of the infringement by the Authority in this decision.  </w:t>
        <w:br/>
        <w:t xml:space="preserve">872. Finally, the time elapsed between the finding of the first infringement (i.e., July 11, 2001) and the start of the practices is particularly short, less than 7 months. The issuers were therefore perfectly aware of the competition rules violated for which they had just been sanctioned.  </w:t>
        <w:br/>
        <w:t xml:space="preserve">873. It follows from the above that Sodexo Pass France, Up, and Edenred France are in a situation of recidivism justifying, in the circumstances of this case, an increase of 30% in their sanction.  </w:t>
        <w:br/>
        <w:t xml:space="preserve">♦ The Intermediate Amount of Sanctions  </w:t>
        <w:br/>
        <w:t xml:space="preserve">874. In light of all the general and individual elements as set out above, the amount of the sanctions imposed on the companies involved is set, at this stage of the demonstration, at the following sums:  </w:t>
        <w:br/>
        <w:t>478 Decision No. 01-D-41 of July 11, 2001, concerning practices implemented in the restaurant voucher and service sectors, Articles 1 to 4.</w:t>
      </w:r>
    </w:p>
    <w:p>
      <w:r>
        <w:rPr>
          <w:b/>
        </w:rPr>
        <w:t>[Pages 148–150]</w:t>
      </w:r>
    </w:p>
    <w:p>
      <w:r>
        <w:t>Table 15 – Intermediate Amount</w:t>
        <w:br/>
        <w:t>Parties involved Amount of the fine</w:t>
        <w:br/>
        <w:t>(€)</w:t>
        <w:br/>
        <w:t>Edenred France [140,000,000 – 150,000,000]</w:t>
        <w:br/>
        <w:t>Up 112,107,930</w:t>
        <w:br/>
        <w:t>Natixis Intertitres 74,263,669</w:t>
        <w:br/>
        <w:t>Sodexo Pass France [110,000,000 – 120,000,000]</w:t>
        <w:br/>
        <w:t>♦ Verification of the applicable legal maximum</w:t>
        <w:br/>
        <w:t>875. Regarding the verification of the applicable legal maximum, the Authority refers to the aforementioned developments in paragraphs 795 and 796.</w:t>
        <w:br/>
        <w:t>♦ The amount of the sanctions</w:t>
        <w:br/>
        <w:t>876. According to the method of determining the sanctions outlined above, the individualized amount of sanctions incurred by Up, Edenred France, Natixis Intertitres, and Sodexo Pass France varies in the following proportions:</w:t>
        <w:br/>
        <w:t>Table 16 – Amount of sanctions related to complaint no. 2</w:t>
        <w:br/>
        <w:t>Parties involved Amount of the fine</w:t>
        <w:br/>
        <w:t>(€)</w:t>
        <w:br/>
        <w:t>Edenred France 137,800,000</w:t>
        <w:br/>
        <w:t>Up 53,200,000</w:t>
        <w:br/>
        <w:t>Natixis Intertitres 74,263,000</w:t>
        <w:br/>
        <w:t>Sodexo Pass France 110,983,000</w:t>
        <w:br/>
        <w:t>The contributory capacity of Up</w:t>
        <w:br/>
        <w:t>877. With regard to the specific elements of the situation of each company or organization involved, it is necessary to assess the particular financial difficulties they encounter that could diminish their contributory capacity.</w:t>
        <w:br/>
        <w:t>878. Concerning Up, the examination of the financial and accounting elements it has provided leads the Authority to note the existence of particular financial difficulties affecting its ability to pay the sanctions that the Authority intends to impose on it.</w:t>
        <w:br/>
        <w:t>879. It is therefore appropriate to reduce the sanctions imposed on Up:</w:t>
        <w:br/>
        <w:t>- for complaint no. 1 from 15,785,000 euros to 10,297,000 euros; and</w:t>
        <w:br/>
        <w:t>- for complaint no. 2 from 53,200,000 euros to 34,703,000 euros.</w:t>
      </w:r>
    </w:p>
    <w:p>
      <w:r>
        <w:t>b) The sanctions imposed on the CRT</w:t>
        <w:br/>
        <w:t>880. The third paragraph of I of Article L. 464-2 of the Commercial Code provides that "the financial penalties are proportionate to the seriousness of the facts alleged, the importance of the damage caused to the economy, the individual situation of the organization or company sanctioned or the group to which the company belongs, and the possible repetition of practices prohibited by [Title VI of Book IV of the Commercial Code]. They are determined individually for each sanctioned company or organization and motivated for each sanction."</w:t>
        <w:br/>
        <w:t>881. When determining the financial penalties it imposes under I of Article L. 464-2 of the Commercial Code, the Authority applies the modalities described in its press release of May 16, 2011, regarding the method of determining financial penalties (hereinafter, "the sanctions press release"), unless it explains, in the motivation of its decision, "the particular circumstances or reasons of general interest leading it to deviate from it in a given case" (point 7 of the sanctions press release).</w:t>
        <w:br/>
        <w:t>882. In this regard, the Authority has already deviated from the application of the sanctions press release to sanction organizations that do not have their own turnover or reference sales value. In its decision no. 18-D-06 regarding practices implemented in the sector of marketing AOC bulk wines from the Côtes du Rhône, the Authority recalled that it is necessary to distinguish "between [the organizations] that pursue their own economic activity in the relevant markets, on the one hand, and, on the other hand, those that merely represent the interests of their active members in the relevant markets and do not have, therefore, a turnover or sales value related to the product or service concerned by the practices"479.</w:t>
        <w:br/>
        <w:t>883. In this case, the CRT is an association governed by the law of July 1, 1901, which operates solely on the basis of endowments paid annually by its members and the third-party issuers using its services. The CRT, "organization" in the sense of the Authority's decision-making practice, does not generate turnover or sales in the sense of the sanctions press release.</w:t>
        <w:br/>
        <w:t>884. The Authority therefore considers that the method described in the sanctions press release is not suitable for the CRT.</w:t>
        <w:br/>
        <w:t>Complaint no. 1</w:t>
        <w:br/>
        <w:t>The seriousness of the practices</w:t>
        <w:br/>
        <w:t>885. The Authority refers to paragraphs 732 to 741 regarding the seriousness of the practices.</w:t>
        <w:br/>
        <w:t>The importance of the damage to the economy</w:t>
        <w:br/>
        <w:t>886. The Authority refers to paragraphs 742 to 761 regarding the importance of the damage to the economy caused by the practices.</w:t>
        <w:br/>
        <w:t>The individualization of sanctions</w:t>
        <w:br/>
        <w:t>887. Regarding the individualization of sanctions, in this case, no element of the file allows for the consideration of mitigating or aggravating circumstances regarding the CRT.</w:t>
        <w:br/>
        <w:t>479 Decision no. 18-D-06 of May 23, 2018, regarding practices implemented in the sector of marketing AOC bulk wines from the Côtes du Rhône, paragraph 134.</w:t>
      </w:r>
    </w:p>
    <w:p>
      <w:r>
        <w:t>888. However, the Authority will take into account, in determining the amount of the sanction against the CRT, the particular circumstances in which its participation in the cartel was established.</w:t>
        <w:br/>
        <w:t>The repetition</w:t>
        <w:br/>
        <w:t>♦ Reminder of applicable principles</w:t>
        <w:br/>
        <w:t>889. The Authority has recalled in paragraphs 784 to 788 the modalities for taking repetition into account in the calculation of fines.</w:t>
        <w:br/>
        <w:t>♦ Application to the case at hand</w:t>
        <w:br/>
        <w:t>890. In this case, it should be noted that the CRT has been sanctioned for having participated in horizontal collusion in decision no. 01-D-41 of July 11, 2001, regarding practices implemented in the markets for restaurant vouchers and employment-service vouchers, in particular480.</w:t>
        <w:br/>
        <w:t>891. Therefore, in light of the developments presented in paragraphs 790 to 792, the CRT finds itself in a situation of repetition justifying, in the circumstances of the case, an upward adjustment of the amount of its sanction.</w:t>
        <w:br/>
        <w:t>Verification of the applicable legal maximum</w:t>
        <w:br/>
        <w:t>892. I of Article L. 464-2 of the Commercial Code empowers the Authority to impose financial penalties on companies and organizations engaging in anti-competitive practices prohibited by Article L. 420-1 of the Commercial Code.</w:t>
        <w:br/>
        <w:t>893. According to the fourth paragraph of I of Article L. 464-2 of the Commercial Code, "if the offender is not a company, the maximum amount of the sanction is 3 million euros."</w:t>
        <w:br/>
        <w:t>894. In this case, it is necessary to impose a fine of 1,000,000 euros on the CRT. This amount is below the aforementioned legal ceiling.</w:t>
        <w:br/>
        <w:t>Complaint no. 2</w:t>
        <w:br/>
        <w:t>The seriousness of the practices</w:t>
        <w:br/>
        <w:t>895. The Authority refers to paragraphs 816 to 827 regarding the seriousness of the practices.</w:t>
        <w:br/>
        <w:t>The importance of the damage to the economy</w:t>
        <w:br/>
        <w:t>896. The Authority refers to paragraphs 828 to 844 regarding the importance of the damage to the economy caused by the practices.</w:t>
        <w:br/>
        <w:t>The individualization of sanctions</w:t>
        <w:br/>
        <w:t>897. Regarding the individualization of sanctions, in this case, no element of the file allows for the consideration of mitigating or aggravating circumstances regarding the CRT.</w:t>
        <w:br/>
        <w:t>898. However, it is necessary to take into account the circumstance that the CRT only participated in the first part of complaint no. 2 and to adjust downward the sanction imposed on it. This method effectively reflects in the fine the difference in</w:t>
        <w:br/>
        <w:t>480 Decision no. 01-D-41 of July 11, 2001, regarding practices implemented in the sector of restaurant vouchers and services, Articles 1 to 4.</w:t>
      </w:r>
    </w:p>
    <w:p>
      <w:r>
        <w:rPr>
          <w:b/>
        </w:rPr>
        <w:t>[Pages 151–153]</w:t>
      </w:r>
    </w:p>
    <w:p>
      <w:r>
        <w:t xml:space="preserve">responsibility of the CRT in relation to the historical issuers in the implementation of the practices referred to in this grievance.  </w:t>
        <w:br/>
        <w:t xml:space="preserve">The reiteration  </w:t>
        <w:br/>
        <w:t xml:space="preserve">♦ Reminder of applicable principles  </w:t>
        <w:br/>
        <w:t xml:space="preserve">899. The Authority recalled in paragraphs 784 to 788 the methods for taking into account the reiteration in the calculation of fines.  </w:t>
        <w:br/>
        <w:t xml:space="preserve">♦ Application to the case at hand  </w:t>
        <w:br/>
        <w:t xml:space="preserve">900. In this case, it should be noted that the CRT was sanctioned for participating in horizontal collusion in decision no. 01-D-41 of July 11, 2001, concerning practices implemented in the restaurant voucher and employment service voucher markets481.  </w:t>
        <w:br/>
        <w:t xml:space="preserve">901. Therefore, in light of the developments presented in paragraphs 870 to 872, the CRT finds itself in a situation of reiteration justifying, under the circumstances of this case, an upward adjustment of the amount of its sanction.  </w:t>
        <w:br/>
        <w:t xml:space="preserve">Verification of the applicable legal maximum  </w:t>
        <w:br/>
        <w:t xml:space="preserve">902. I of Article L. 464-2 of the Commercial Code empowers the Authority to impose financial penalties on companies and organizations engaging in anti-competitive practices prohibited by Article L. 420-1 of the Commercial Code.  </w:t>
        <w:br/>
        <w:t xml:space="preserve">903. According to the fourth paragraph of I of Article L. 464-2 of the Commercial Code, "if the offender is not a company, the maximum amount of the sanction is 3 million euros."  </w:t>
        <w:br/>
        <w:t xml:space="preserve">904. In this case, a fine of 2,000,000 euros should be imposed on the CRT. This amount is below the aforementioned legal ceiling.  </w:t>
        <w:br/>
        <w:t xml:space="preserve">2. OTHER SANCTIONS  </w:t>
        <w:br/>
        <w:t xml:space="preserve">a) The obligation to publish  </w:t>
        <w:br/>
        <w:t xml:space="preserve">905. Under Article L. 464-2 of the Commercial Code, the Authority may also order "the publication, dissemination, or display of its decision or an excerpt thereof in the manner it specifies (...). The costs are borne by the interested party."  </w:t>
        <w:br/>
        <w:t xml:space="preserve">906. In order to draw the attention of economic actors present in the restaurant voucher sector and employees benefiting from restaurant vouchers, it is necessary to order the publication, at the shared expense of the sanctioned entities and in proportion to their financial penalties, in the printed edition and on the website of the newspaper Les Echos, the magazine 60 millions de consommateurs, and the magazine Neo-Restauration, of the summary of this decision set out below:  </w:t>
        <w:br/>
        <w:t xml:space="preserve">By a decision of December 17, 2019, the Competition Authority sanctions several issuers of restaurant vouchers (hereinafter "the TR"), and their common organization, the Centrale de Règlement des Titres (hereinafter "the CRT"), for participating in collusive practices in the restaurant voucher sector, in violation of Articles L. 420-1 of the Commercial Code and Article 101 paragraph 1 of the Treaty on the Functioning of the European Union.  </w:t>
        <w:br/>
        <w:t xml:space="preserve">First, the Authority notes that between 2010 and 2015, the member-shareholders of the CRT, namely Edenred France, Up, Natixis Intertitres, and Sodexo Pass France, exchanged, on a monthly basis, their individual market shares calculated from the number of vouchers processed the previous month by the CRT.  </w:t>
        <w:br/>
        <w:t xml:space="preserve">It imposes for these information exchange practices:  </w:t>
        <w:br/>
        <w:t xml:space="preserve">- on the company Edenred France, jointly with the company Edenred SA, a sanction of 19,291,000 euros;  </w:t>
        <w:br/>
        <w:t xml:space="preserve">- on the company Natixis Intertitres, jointly with the company Natixis, a sanction of 9,060,000 euros;  </w:t>
        <w:br/>
        <w:t xml:space="preserve">- on the company Sodexo Pass France, jointly with the company Sodexo SA, a sanction of 15,339,000 euros;  </w:t>
        <w:br/>
        <w:t xml:space="preserve">- on the company Up, a sanction of 10,297,000 euros; and  </w:t>
        <w:br/>
        <w:t xml:space="preserve">- on the association la Centrale de Règlement des Titres Traitement, a sanction of 1,000,000 euros.  </w:t>
        <w:br/>
        <w:t xml:space="preserve">Secondly, the Authority notes that between 2002 and 2018, the member-shareholders of the CRT and the CRT itself implemented an agreement aimed at locking the restaurant voucher market through statutory, regulatory, and protocol provisions. This agreement includes two aspects: the control of issuers' accession to the CRT (first aspect) and the control of the development of dematerialized vouchers, in the form of cards or mobile applications, by the member-shareholders (second aspect).  </w:t>
        <w:br/>
        <w:t xml:space="preserve">The Authority particularly emphasizes that this agreement, which resulted in prohibiting, until 2012, the issuance by member-shareholders of dematerialized vouchers, took place in a context marked by the parallel commercialization in other EU countries of dematerialized vouchers, including by the companies sanctioned in this case.  </w:t>
        <w:br/>
        <w:t xml:space="preserve">The Authority imposes for these market-locking practices:  </w:t>
        <w:br/>
        <w:t xml:space="preserve">- on the company Edenred France, a sanction of 72,290,000 euros;  </w:t>
        <w:br/>
        <w:t xml:space="preserve">- on the company Edenred France, jointly with the company Edenred SA, a sanction of 65,509,000 euros;  </w:t>
        <w:br/>
        <w:t xml:space="preserve">- on the company Natixis Intertitres, a sanction of 4,360,000 euros;  </w:t>
        <w:br/>
        <w:t xml:space="preserve">- on the company Natixis Intertitres, jointly with the company Natixis, a sanction of 69,902,000 euros;  </w:t>
        <w:br/>
        <w:t xml:space="preserve">- on the company Sodexo Pass France, jointly with the company Sodexo SA, a sanction of 110,983,000 euros;  </w:t>
        <w:br/>
        <w:t xml:space="preserve">- on the company Up, a sanction of 34,703,000 euros; and  </w:t>
        <w:br/>
        <w:t xml:space="preserve">- on the association la Centrale de Règlement des Titres Traitement, a sanction of 2,000,000 euros.  </w:t>
        <w:br/>
        <w:t xml:space="preserve">The full text of the decision of the Competition Authority is available on the website www.autoritedelaconcurrence.fr.  </w:t>
        <w:br/>
        <w:t xml:space="preserve">They will send, by registered mail, to the procedure office, a copy of this publication, within three months from the notification of the decision.  </w:t>
        <w:br/>
        <w:t xml:space="preserve">b) The injunction to amend the Articles of Association and the CRT Internal Regulations  </w:t>
        <w:br/>
        <w:t xml:space="preserve">907. Under Article L. 464-2 of the Commercial Code, the Authority may also order "the interested parties to cease anti-competitive practices within a specified period or impose specific conditions." These injunctions aim to ensure that the sanctioned entity will modify its behavior for the future to cease the harm to competition. They must be proportionate to the objective pursued.  </w:t>
        <w:br/>
        <w:t>908. In this case, the Authority orders Sodexo Pass France, Up, Natixis Intertitres, Edenred France, and the CRT to bring the current Articles of Association and CRT Internal Regulations into compliance with competition law and thus to remove or modify any provision that contravenes it. They will send, by registered mail, to the procedure office, a copy of the new version of the Articles of Association and the CRT Internal Regulations, within three months from the notification of the decision.</w:t>
      </w:r>
    </w:p>
    <w:p>
      <w:r>
        <w:rPr>
          <w:b/>
        </w:rPr>
        <w:t>[Pages 154–155]</w:t>
      </w:r>
    </w:p>
    <w:p>
      <w:r>
        <w:t xml:space="preserve">DECISION  </w:t>
        <w:br/>
        <w:t xml:space="preserve">Article 1: The request registered under number 16/0097 F is declared inadmissible regarding the practice of tax-related distortion of competition.  </w:t>
        <w:br/>
        <w:t xml:space="preserve">Article 2: The request registered under number 16/0097 F is rejected concerning the other practices reported.  </w:t>
        <w:br/>
        <w:t xml:space="preserve">Article 3: The request registered under number 15/0092 F is rejected.  </w:t>
        <w:br/>
        <w:t xml:space="preserve">Article 4: It is established that the companies Edenred France and Edenred SA, Natixis and Natixis Intertitres, Sodexo Pass France and Sodexo SA, Up, and the association la Centrale de Règlement des Titres Traitement have violated the provisions of Articles L. 420-1 of the Commercial Code and 101, paragraph 1 of the TFEU, by implementing practices of information exchange related to the national activity of the member-shareholders of the CRT.  </w:t>
        <w:br/>
        <w:t xml:space="preserve">Article 5: The following financial penalties are imposed for the practices referred to in Article 4:  </w:t>
        <w:br/>
        <w:t xml:space="preserve">- to the company Edenred France, jointly with the company Edenred SA, a penalty of 19,291,000 euros;  </w:t>
        <w:br/>
        <w:t xml:space="preserve">- to the company Natixis Intertitres, jointly with the company Natixis, a penalty of 9,060,000 euros;  </w:t>
        <w:br/>
        <w:t xml:space="preserve">- to the company Sodexo Pass France, jointly with the company Sodexo SA, a penalty of 15,339,000 euros;  </w:t>
        <w:br/>
        <w:t xml:space="preserve">- to the company Up, a penalty of 10,297,000 euros; and  </w:t>
        <w:br/>
        <w:t xml:space="preserve">- to the association la Centrale de Règlement des Titres Traitement, a penalty of 1,000,000 euros.  </w:t>
        <w:br/>
        <w:t xml:space="preserve">Article 6: It is established that the companies Edenred France and Edenred SA, Natixis and Natixis Intertitres, Sodexo Pass France and Sodexo SA, Up, and the association la Centrale de Règlement des Titres Traitement have violated the provisions of Articles L. 420-1 of the Commercial Code and 101, paragraph 1 of the TFEU, by participating in an agreement aimed at locking the restaurant voucher market.  </w:t>
        <w:br/>
        <w:t xml:space="preserve">Article 7: The following financial penalties are imposed for the practices referred to in Article 6:  </w:t>
        <w:br/>
        <w:t xml:space="preserve">- to the company Edenred France, a penalty of 72,290,000 euros;  </w:t>
        <w:br/>
        <w:t xml:space="preserve">- to the company Edenred France, jointly with the company Edenred SA, a penalty of 65,509,000 euros;  </w:t>
        <w:br/>
        <w:t xml:space="preserve">- to the company Natixis Intertitres, a penalty of 4,360,000 euros;  </w:t>
        <w:br/>
        <w:t xml:space="preserve">- to the company Natixis Intertitres, jointly with the company Natixis, a penalty of 69,902,000 euros;  </w:t>
        <w:br/>
        <w:t xml:space="preserve">- to the company Sodexo Pass France, jointly with the company Sodexo SA, a penalty of 110,983,000 euros;  </w:t>
        <w:br/>
        <w:t xml:space="preserve">- to the company Up, a penalty of 34,703,000 euros; and  </w:t>
        <w:br/>
        <w:t xml:space="preserve">- to the association la Centrale de Règlement des Titres Traitement, a penalty of 2,000,000 euros.  </w:t>
        <w:br/>
        <w:t xml:space="preserve">Article 8: The sanctioned entities are ordered to insert, at shared expense and in proportion to their financial penalties, the text appearing in paragraph 906 of this decision, respecting the formatting, in the paper edition and on the website of the newspaper Les Échos, of the magazine 60 millions de consommateurs and of the magazine Neo-Restauration. This publication will appear in a box in black characters on a white background with a height of at least three millimeters under the following title, in bold characters of the same size: "Decision of the Competition Authority No. 19-D-25 of December 17, 2019, regarding practices implemented in the restaurant voucher sector." It may be followed by a mention that the decision has been appealed to the Court of Appeal of Paris if such an appeal is filed. They will send, by registered mail, to the procedure office, a copy of this publication, within three months from the notification of the decision.  </w:t>
        <w:br/>
        <w:t xml:space="preserve">Article 9: The companies Sodexo Pass France, Up, Natixis Intertitres, Edenred France, and the association la Centrale de Règlement des Titres Traitement are ordered to bring the Articles of Association and the RI CRT into compliance with competition law. They will send, by registered mail, to the procedure office, a copy of the new version of the documents, within three months from the notification of the decision.  </w:t>
        <w:br/>
        <w:t xml:space="preserve">Deliberated on the oral report of Mr. Laurent Meunier, rapporteur, and the oral intervention of Mr. Stanislas Martin, general rapporteur, by Mr. Henri Piffaut, vice-president, president of the session, Ms. Séverine Larere, and Mr. Savinien Grignon-Dumoulin, members.  </w:t>
        <w:br/>
        <w:t xml:space="preserve">The session secretary, The session president,  </w:t>
        <w:br/>
        <w:t xml:space="preserve">Caroline Orsel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