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https://www.autoritedelaconcurrence.fr/fr/decision/relative-des-pratiques-mises-en-oeuvre-dans-le-secteur-des-travaux-dentretien-despaces</w:t>
      </w:r>
    </w:p>
    <w:p>
      <w:r>
        <w:t>Pages translated : 9</w:t>
      </w:r>
    </w:p>
    <w:p/>
    <w:p>
      <w:r>
        <w:rPr>
          <w:b/>
        </w:rPr>
        <w:t>[Pages 1–3]</w:t>
      </w:r>
    </w:p>
    <w:p>
      <w:r>
        <w:t>FRENCH REPUBLIC</w:t>
        <w:br/>
        <w:t>Decision No. 18-D-02 of February 19, 2018</w:t>
        <w:br/>
        <w:t>regarding practices implemented in the sector of maintenance work for green spaces in Martinique</w:t>
        <w:br/>
        <w:t>The Competition Authority (section V);</w:t>
      </w:r>
    </w:p>
    <w:p>
      <w:r>
        <w:t>Considering the letter dated December 1, 2014, registered on December 3, 2014 under number 14/0096 F, by which the Minister of Economy, Finance and Industry referred to the Competition Authority practices implemented by the companies SARL Groupe Fontaine, SAS Madianet, SCEA Les Bougainvillées, SAS Mad’Inser Propreté, and SARL Insertis in the sector of maintenance work for green spaces in Martinique;</w:t>
      </w:r>
    </w:p>
    <w:p>
      <w:r>
        <w:t>Considering the decision of the general rapporteur dated July 5, 2017 taken pursuant to Article L. 463-3 of the Commercial Code, which provides that the matter will be subject to a decision by the Competition Authority without prior establishment of a report;</w:t>
      </w:r>
    </w:p>
    <w:p>
      <w:r>
        <w:t>Considering Book IV of the Commercial Code and in particular its Article L. 420-1;</w:t>
      </w:r>
    </w:p>
    <w:p>
      <w:r>
        <w:t>Considering the observations presented by the companies SARL Groupe Fontaine, SAS Madianet, SCEA Les Bougainvillées, SAS Mad’Inser Propreté, and SARL Insertis and the Government Commissioner;</w:t>
      </w:r>
    </w:p>
    <w:p>
      <w:r>
        <w:t>Considering the other documents in the file;</w:t>
      </w:r>
    </w:p>
    <w:p>
      <w:r>
        <w:t>The rapporteur, the deputy general rapporteur, the Government Commissioner, and the representatives of the companies SARL Groupe Fontaine, SAS Madianet, SCEA Les Bougainvillées, SAS Mad’Inser Propreté, and SARL Insertis heard during the session of the Competition Authority on December 6, 2017;</w:t>
      </w:r>
    </w:p>
    <w:p>
      <w:r>
        <w:t>Adopts the following decision:</w:t>
      </w:r>
    </w:p>
    <w:p>
      <w:r>
        <w:t>1</w:t>
      </w:r>
    </w:p>
    <w:p>
      <w:r>
        <w:t>Summary1</w:t>
        <w:br/>
        <w:t>Under the terms of the decision below, the Competition Authority jointly imposes financial penalties on Groupe Fontaine, SCEA Les Bougainvillées, and SAS Madianet in the respective amounts of 10,000 euros, 10,000 euros, and 60,000 euros.</w:t>
      </w:r>
    </w:p>
    <w:p>
      <w:r>
        <w:t>The facts were established following an investigation conducted by the DGCCRF, which led the Minister of Economy to propose a settlement to the companies involved, which they refused. The Minister then referred the matter to the Authority.</w:t>
      </w:r>
    </w:p>
    <w:p>
      <w:r>
        <w:t>The three companies involved, belonging to the same group, as well as two of their subsidiaries, SAS Mad’Inser Propreté and SARL Insertis, violated the provisions of Article L. 420-1 of the Commercial Code during the awarding of a local public contract related to the maintenance of green spaces in Martinique. These companies presented as distinct offers that were developed in a concerted manner in order to circumvent the allotment modalities decided by the contracting authority, and in particular the limitation on the maximum number of lots awarded to the same company.</w:t>
      </w:r>
    </w:p>
    <w:p>
      <w:r>
        <w:t>The Authority applied the rules according to which when, within a group, several autonomous entities are likely to respond to the same call for tenders, two options are available to them: on the one hand, they can renounce their commercial autonomy and coordinate to determine which company is best placed to respond to the call for tenders. In this case, they may submit only one offer. On the other hand, these companies may choose to each submit an offer provided they have not coordinated to establish these offers. In this latter case, any coordination or exchange of information prior to the submission of offers constitutes an anti-competitive agreement prohibited by Article L. 420-1 of the Commercial Code (decision of the Competition Authority No. 03-D-01 of January 14, 2003 regarding the behavior of companies in the L’Air Liquide group in the medical gases sector, paragraphs 123 and following).</w:t>
      </w:r>
    </w:p>
    <w:p>
      <w:r>
        <w:t>1 This summary is strictly informative. Only the reasons for the decision numbered below are authoritative.</w:t>
      </w:r>
    </w:p>
    <w:p>
      <w:r>
        <w:t>2</w:t>
      </w:r>
    </w:p>
    <w:p>
      <w:r>
        <w:t>I. Findings</w:t>
        <w:br/>
        <w:t>A. THE REFERRAL</w:t>
        <w:br/>
        <w:t>1. The Directorate General for Competition, Consumer Affairs and Fraud Control (DGCCRF) was informed of anomalies during the awarding, by social landlords in Martinique, of a contract related to the maintenance of their green spaces launched in 2011. It established, on January 31, 2013, an administrative investigation report regarding these practices and, by letter dated October 14, 2013, proposed to five companies of the Fontaine group, SARL Groupe Fontaine, SAS Madianet, SCEA Les Bougainvillées, SAS Mad’Inser Propreté, and SARL Insertis, a settlement to sanction practices contrary to the provisions of Article L. 420-1 of the Commercial Code. The targeted companies refused this proposal.</w:t>
      </w:r>
    </w:p>
    <w:p>
      <w:r>
        <w:t>2. By letter registered on December 3, 2014, under number 14/0096 F, the Minister of Economy, Finance and Industry then referred to the Authority practices implemented in the sector of maintenance work for green spaces in Martinique. A statement of objections was sent to these five companies of the Fontaine group on July 7, 2017.</w:t>
      </w:r>
    </w:p>
    <w:p>
      <w:r>
        <w:t>B. THE COMPANIES INVOLVED</w:t>
        <w:br/>
        <w:t>3. The Fontaine group is present in Martinique, Guyana, and Réunion. It consists of a holding company, SARL Groupe Fontaine, and several subsidiaries engaged in various activities, such as cleaning, maintenance of green spaces, security, training, repair and maintenance of vehicles, or concierge services (reference 86). In the sector of green space maintenance, it notably holds 95% of the shares of SAS Madianet, which itself controls SAS Mad’Inser Propreté and SCEA Les Bougainvillées, the latter holding 100% of the company Insertis.</w:t>
      </w:r>
    </w:p>
    <w:p>
      <w:r>
        <w:rPr>
          <w:b/>
        </w:rPr>
        <w:t>[Pages 4–6]</w:t>
      </w:r>
    </w:p>
    <w:p>
      <w:r>
        <w:t>C. THE PUBLIC CONTRACT CONCERNED</w:t>
        <w:br/>
        <w:t>4. The public contract referred to in the statement of objections concerns the maintenance of green spaces adjacent to the buildings of two social landlords in Martinique, the Société Martiniquaise de HLM (SMHLM) and the OZANAM company, which were formed into a purchasing group for this public contract. Launched in the second half of 2011, the contract covered a duration of three years and was divided into 23 geographical lots (reference 69). Its amount was approximately 2 million euros.</w:t>
        <w:br/>
        <w:t>5. The consultation regulations stipulated that the same company could not be awarded more than five lots. Failing that, if a bidder submitted the highest-ranked offer but had already obtained five lots, their offer was to be set aside in favor of the offer ranked in second position (references 40 to 50).</w:t>
        <w:br/>
        <w:t>6. Regarding the companies of the Fontaine group, involved in this procedure, four companies submitted individual bids: SAS Madianet, SCEA Les Bougainvillées, SAS Mad’Inser Propreté, and SARL Insertis. At the end of the consultation, two of them were selected: Madianet won lot No. 14 while Mad’Inser Propreté was awarded lots No. 5 and 19.</w:t>
        <w:br/>
        <w:t>7. Furthermore, for several lots, the contracting authority considered that the respective offers submitted by the aforementioned four companies and by a company not belonging to the Fontaine group, Exinet, were abnormally low. These offers were then set aside.</w:t>
        <w:br/>
        <w:t>D. THE BEHAVIORS IDENTIFIED</w:t>
        <w:br/>
        <w:t>1. A LACK OF PRICE COMPETITION AMONG THE COMPANIES OF THE FONTAINE GROUP</w:t>
        <w:br/>
        <w:t>8. In their financial proposal, bidders were required to indicate the number of intervention hours they anticipated for each lot. The analysis of the application files submitted by the companies of the Fontaine group reveals a high degree of homogeneity in the proposals, except for certain calculation errors, most often due to poor data compilation or input errors.</w:t>
        <w:br/>
        <w:t>9. When questioned about the similarities observed between the proposed hourly volumes by the different companies in his group, Mr. X… stated during his hearing on November 6, 2012: “Ms. Y…, the former head of the market service of the group, and Ms. Z…, former technical manager, evaluated the intervention hours for all the lots and for the four companies of the group.”</w:t>
        <w:br/>
        <w:t>10. The analysis of the pricing offers from these companies shows that their proposals are correlated by markup coefficients. Thus, when a company from the Fontaine group submits the best offer among the group for a specific lot, the other companies in the group systematically apply a given markup percentage to position themselves automatically at a higher price. For instance, Mad’Inser Propreté applied a markup percentage of 3.9%, Insertis a percentage of 3.4%, Les Bougainvillées a percentage of 5.5%, and Madianet a percentage of 4.5%.</w:t>
        <w:br/>
        <w:t>11. To justify this coordination of the proposed prices, Mr. X… stated during his hearing on November 6, 2012 (references 1970 to 1973): “On the OZANAM/SMHLM call for tenders, I exceptionally set the prices for the four companies of the Fontaine Group (SCEA LES BOUGAINVILLEES, INSERTIS, MADIANET, and MAD’INSER PROPRETE) (…) The Bougainvillées Company was in 2011 under the group’s support to maintain salaries. Given the critical situation of my company and the limitation to 5 lots, I wanted to multiply the chances for the group but also for the Bougainvillées Company in particular. The strategy was to safeguard the Bougainvillées company and maintain its jobs (…) The goal was to be able to subcontract the contracts won to the Bougainvillées company.”</w:t>
        <w:br/>
        <w:t>12. These statements were confirmed by those of Mr. A…, the general director of Madianet and Mad’Inser Propreté, during his hearing on November 8, 2012 (references 1975 to 1977): “On the SM HLM/OZANAM market of 2011, no one from my company participated in the reflection and implementation of this market. Mr. X… had informed me of the particularity of this market and the significant stakes for him as he was the outgoing service provider for this market. He did not want to be limited to five lots for his company (LES BOUGAINVILLÉES). (…) I agreed to this principle.”</w:t>
        <w:br/>
        <w:t>2. FORMAL SIMILARITIES AMONG THE OFFERS OF THE COMPANIES OF THE FONTAINE GROUP</w:t>
        <w:br/>
        <w:t>13. In addition to the previously mentioned elements, the offers submitted by the companies of the Fontaine group contain numerous formal similarities, such as the use of the same typography, the copying of entire paragraphs, the use of the same vocabulary and illustrations, or identical estimates of the proposed technical and human resources.</w:t>
        <w:br/>
        <w:t>14. When questioned about these numerous similarities between the application files of the different companies in his group, Mr. X… specified during his hearing on November 6, 2012: “The implementation of these technical files was done within the ‘market’ structure of the Fontaine Group, which explains the similarity of the setup. We do not hide because the name Fontaine Group appears on the files; moreover, these companies are well known to the contracting authority.”</w:t>
        <w:br/>
        <w:t>E. REMINDER OF THE COMPLAINT NOTIFIED TO THE PARTIES</w:t>
        <w:br/>
        <w:t>15. On July 5, 2017, the following complaint was notified to the parties: “The legal entities SARL GROUPE FONTAINE as the author and parent company of SAS MADIANET, SAS MADIANET as the author and parent company of SAS MAD’INSER PROPRETE, SAS MAD’INSER PROPRETE as the author, SCEA LES BOUGAINVILLÉES as the author and parent company of SARL INSERTIS, and SARL INSERTIS as the author, are accused of having designed their respective offers in a concerted manner, prior to the submission date of these offers, with a view to the awarding of the green space maintenance contract of the SMHLM/OZANAM group on July 22, 2011, aimed at misleading the project owner regarding the reality and extent of competition in the market, a practice contrary to the provisions of Article L. 420-1, notably 2° and 4° of the Commercial Code, prohibiting anti-competitive agreements.”</w:t>
        <w:br/>
        <w:t xml:space="preserve">  </w:t>
        <w:br/>
        <w:t>II. Discussion</w:t>
        <w:br/>
        <w:t>A. ON THE MERITS OF THE COMPLAINTS</w:t>
        <w:br/>
        <w:t>1. APPLICABLE PRINCIPLES</w:t>
        <w:br/>
        <w:t>16. According to consistent case law, each call for tenders constitutes a relevant market where the demand of the contracting authority meets the offers of the candidates responding to it. When offers are submitted lot by lot, each of them can constitute a relevant market, but in such cases, an agreement between the bidders can also be assessed at the scale of the overall market including all the lots, as long as the awarding of several of them can be simultaneously affected by the same practice.</w:t>
        <w:br/>
        <w:t>17. An anti-competitive concertation is established on such instantaneous markets as soon as the companies have coordinated their behavior or have exchanged information among themselves regarding their future behavior prior to the submission of their offers.</w:t>
        <w:br/>
        <w:t>18. Companies belonging to the same group but having commercial autonomy can submit distinct and competing offers, provided they do not consult before submitting these offers. Conversely, these companies can relinquish their commercial autonomy during a competitive bidding process and consult either to decide which company will submit an offer or to jointly establish this offer in a group, provided that only one offer is submitted.</w:t>
        <w:br/>
        <w:t>19. Conversely, if these companies submit multiple separate offers, they are deemed to manifest their commercial autonomy and guarantee to the contracting authority the existence of competition among them. In the event that these multiple offers were established in consultation, they can no longer be considered independent, and their coordination can be classified as an anti-competitive agreement. In this regard, it is irrelevant to this classification whether the market manager was aware of the legal links uniting the concerned companies, as the existence of such links does not necessarily imply consultation or the exchange of information (decision No. 03-D-01 of January 14, 2003 “Medical Gases” paragraphs 123 and following; ruling of the Paris Court of Appeal on this decision of November 9, 2004).</w:t>
        <w:br/>
        <w:t>2. APPLICATION TO THE CASE AT HAND</w:t>
        <w:br/>
        <w:t>20. Given the very nature of the practices, which aimed to circumvent a rule limiting the lots awarded to the same company, it is appropriate to consider as the relevant market the market for the maintenance of green spaces in Martinique launched by the purchasing group SMHLM/OZANAM in the second half of 2011, composed of twenty-three lots, and to examine the behavior of the parties involved for all the lots concerned.</w:t>
        <w:br/>
        <w:t>21. Several elements of the file demonstrate that the companies of the Fontaine group targeted by the complaints coordinated their offers before bidding for the public contract launched by the purchasing group SMHLM/OZANAM with the aim of obtaining twenty lots out of twenty-three. The coordination of price levels and the similarity of the format of the offers can be explained by the fact that they were established by the same authors.</w:t>
      </w:r>
    </w:p>
    <w:p>
      <w:r>
        <w:rPr>
          <w:b/>
        </w:rPr>
        <w:t>[Pages 7–9]</w:t>
      </w:r>
    </w:p>
    <w:p>
      <w:r>
        <w:t>22. The companies involved do not contest this, and the group's executives state that this coordination was necessary to overcome the financial difficulties of their subsidiary "Les Bougainvillées" by allowing it to ultimately benefit from all the lots won by the group, through a subcontracting system within the group. The practices in question thus had the stated objective of circumventing the limitation on the number of lots awarded to a single company and misleading the contracting authority regarding the reality of competition among the group's subsidiaries.</w:t>
      </w:r>
    </w:p>
    <w:p>
      <w:r>
        <w:t>23. In this regard, the companies cannot effectively argue, to contest their involvement under Article L. 420-1 of the Commercial Code, that the rule limiting the number of lots set by the contracting authority was illegal. It was their responsibility, in any case, to challenge the terms of the awarding of this public contract, if they deemed it justified, without such a circumstance allowing them to implement an illegal agreement.</w:t>
      </w:r>
    </w:p>
    <w:p>
      <w:r>
        <w:t>24. It follows from all of the above that the practices implemented by the companies of the Fontaine group violate the provisions of Article L. 420-1 of the Commercial Code.</w:t>
      </w:r>
    </w:p>
    <w:p>
      <w:r>
        <w:t>B. ON THE ATTRIBUTION OF PRACTICES</w:t>
        <w:br/>
        <w:t>25. Within a group of companies, the behavior of a subsidiary can be attributed to the parent company, particularly when that subsidiary does not autonomously determine its behavior in the market but essentially follows the instructions given to it by the parent company, especially considering the economic, organizational, and legal links that unite these two legal entities. When the parent company holds all or nearly all of the capital of the subsidiary to which the infringing behavior is attributed, the exercise by the parent company of a decisive influence on the commercial policy of its subsidiary is presumed until proven otherwise.</w:t>
      </w:r>
    </w:p>
    <w:p>
      <w:r>
        <w:t>26. The offers submitted to the SMHLM/OZANAM group in the context of the public contract in question were submitted by SAS Madianet, SAS Mad’Inser Propreté, SARL Insertis, and SCEA Les Bougainvillées. The liability of each of these four companies must therefore be retained as authors of the practices.</w:t>
      </w:r>
    </w:p>
    <w:p>
      <w:r>
        <w:t>27. Furthermore, as previously stated, SARL Groupe Fontaine, the parent company of the group and controlling the four companies mentioned above, participated in the implementation of the practice by serving as a platform for the centralization and drafting of the coordinated offers, and must therefore also be held accountable as an author of the practices.</w:t>
      </w:r>
    </w:p>
    <w:p>
      <w:r>
        <w:t>III. On the Sanctions</w:t>
        <w:br/>
        <w:t>28. The third paragraph of I of Article L. 464-2 of the Commercial Code provides that "financial penalties are proportionate to the seriousness of the facts alleged, to the extent of the damage caused to the economy, to the individual situation of the sanctioned organization or company, or the group to which the company belongs, and to any recurrence of practices prohibited by [Title VI of Book IV of the Commercial Code]. They are determined individually for each sanctioned company or organization and reasoned for each sanction."</w:t>
      </w:r>
    </w:p>
    <w:p>
      <w:r>
        <w:t>29. Article L. 464-5 of the Commercial Code further states that "the Authority, when ruling under the simplified procedure provided for in Article L. 463-3, may impose the measures provided for in I of Article L. 464-2. However, the financial penalty may not exceed 750,000 euros for each of the authors of prohibited practices."</w:t>
      </w:r>
    </w:p>
    <w:p>
      <w:r>
        <w:t>30. Point 7 of the press release of May 16, 2011, provides that the Authority may deviate from the method of determining financial penalties described in this press release for reasons related to the specific circumstances of the case or for reasons of public interest.</w:t>
      </w:r>
    </w:p>
    <w:p>
      <w:r>
        <w:t>31. In this case, the collusive practice in question has the particularity of having been implemented by companies that belong to the same economic unit, the Fontaine group, while presenting a strong heterogeneity. It is therefore difficult to determine through classical reasoning the individual responsibility of each of these disparate subsidiaries, some of which did not even have the capacity to execute the lots they had bid on, being promised by the group's management a role as a relay for subsequent subcontracting, and others generating very limited revenue primarily consisting of public subsidies received for their professional integration activities.</w:t>
      </w:r>
    </w:p>
    <w:p>
      <w:r>
        <w:t>32. In light of the specific circumstances of the case mentioned above, the Authority intends to deviate from the method described in the press release of May 16, 2011, regarding the determination of financial penalties, to apply a flat-rate fixing method.</w:t>
      </w:r>
    </w:p>
    <w:p>
      <w:r>
        <w:t>A. ON THE SERIOUSNESS OF THE FACTS AND THE IMPORTANCE OF THE DAMAGE TO THE ECONOMY</w:t>
        <w:br/>
        <w:t>33. According to consistent case law, collusive practices among bidders in calls for tenders launched in the context of public contracts are, by their nature, particularly serious since only adherence to competition rules guarantees the sincerity of the call for tenders (see, for example, the judgment of November 25, 2007, of the Paris Court of Appeal, ruling on an appeal against decision No. 06-D-13 concerning a public works contract for the reconstruction of the Furiani stadium).</w:t>
      </w:r>
    </w:p>
    <w:p>
      <w:r>
        <w:t>34. However, in this case, while the practice in question is reprehensible solely because it was implemented, several elements serve to mitigate the seriousness of the facts and the importance of the damage to the economy.</w:t>
      </w:r>
    </w:p>
    <w:p>
      <w:r>
        <w:t>35. On the one hand, the infringement did not have a notable impact on the outcome of the consultation. Thus, while four companies from the Fontaine group were represented in this market out of eighteen companies that submitted a valid application, only two of them were actually awarded three lots out of the twenty-three lots of the contract.</w:t>
      </w:r>
    </w:p>
    <w:p>
      <w:r>
        <w:t>36. On the other hand, the objective of the collusion in this case was not to set the offers of the Fontaine group companies at an artificially high level compared to market prices, but to circumvent the limit of five lots awarded to a single company by proposing sufficiently attractive prices to win as many lots as possible.</w:t>
      </w:r>
    </w:p>
    <w:p>
      <w:r>
        <w:t>B. ON THE INDIVIDUALIZATION OF SANCTIONS</w:t>
        <w:br/>
        <w:t>37. SARL Groupe Fontaine, SAS Madianet, and SCEA Les Bougainvillées invoked the existence of particular financial difficulties that they claim limit their ability to contribute, but the examination of the financial and accounting elements they provided does not establish the existence of financial difficulties affecting their ability to pay the sanction that the Authority intends to impose on them.</w:t>
      </w:r>
    </w:p>
    <w:p>
      <w:r>
        <w:t>38. However, it is necessary to take into account the specific circumstances of the case, given that the five companies involved, which belong to the same group, generate very different and sometimes very low revenues, and are not in comparable situations.</w:t>
      </w:r>
    </w:p>
    <w:p>
      <w:r>
        <w:t>39. In this case, Madianet is the largest subsidiary of the group and generates revenue and results significantly higher than those of the other companies being prosecuted. In light of its individual situation, it is appropriate to impose, within the legal limit, a sanction of 60,000 euros.</w:t>
      </w:r>
    </w:p>
    <w:p>
      <w:r>
        <w:t>40. Considering the individual situation of SARL Groupe Fontaine and SCEA Les Bougainvillées, the smaller companies within the group, it is appropriate to impose on each of them, within the legal limit, a sanction of 10,000 euros.</w:t>
      </w:r>
    </w:p>
    <w:p>
      <w:r>
        <w:t>41. Furthermore, in the specific circumstances of this case, there is no need to impose a financial penalty on the two smallest subsidiaries of the Fontaine group, the companies Insertis and Mad’Inser Propreté, which generate very low revenue, a large part of which comes from public subsidies granted for the professional integration missions carried out by these two companies.</w:t>
      </w:r>
    </w:p>
    <w:p>
      <w:r>
        <w:t>DECISION</w:t>
        <w:br/>
        <w:t>Article 1: It is established that the companies SARL Groupe Fontaine, SAS Madianet, SCEA Les Bougainvillées, SAS Mad’Inser Propreté, and SARL Insertis have violated the provisions of Article L. 420-1 of the Commercial Code.</w:t>
      </w:r>
    </w:p>
    <w:p>
      <w:r>
        <w:t>Article 2: The following financial penalties are imposed for the practices referred to in Article 1:</w:t>
        <w:br/>
        <w:t>• to the company SAS Madianet, a penalty of 60,000 euros;</w:t>
        <w:br/>
        <w:t>• to the company SARL Groupe Fontaine, a penalty of 10,000 euros;</w:t>
        <w:br/>
        <w:t>• to the company SCEA Les Bougainvillées, a penalty of 10,000 euros.</w:t>
      </w:r>
    </w:p>
    <w:p>
      <w:r>
        <w:t>Deliberated on the oral report of Mr. Jérôme Cazal, rapporteur, and Mr. Nicolas Deffieux, deputy rapporteur general, by Mr. Thierry Dahan, vice-president, president of the session, Ms. Laurence Idot, Ms. Pierrette Pinot, Mr. Olivier d’Ormesson, members.</w:t>
      </w:r>
    </w:p>
    <w:p>
      <w:r>
        <w:t>The session secretary, The session president,</w:t>
        <w:br/>
        <w:t>Claire Villeval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