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https://www.autoritedelaconcurrence.fr/fr/decision/relative-des-pratiques-mises-en-oeuvre-dans-le-secteur-du-demenagement-de-particuliers-et</w:t>
      </w:r>
    </w:p>
    <w:p>
      <w:r>
        <w:t>Pages translated : 12</w:t>
      </w:r>
    </w:p>
    <w:p/>
    <w:p>
      <w:r>
        <w:rPr>
          <w:b/>
        </w:rPr>
        <w:t>[Pages 1–3]</w:t>
      </w:r>
    </w:p>
    <w:p>
      <w:r>
        <w:t xml:space="preserve">FRENCH REPUBLIC  </w:t>
        <w:br/>
        <w:t xml:space="preserve">Decision No. 17-D-07 of May 15, 2017  </w:t>
        <w:br/>
        <w:t xml:space="preserve">regarding practices implemented in the sector of  </w:t>
        <w:br/>
        <w:t>individual moving and business transfer</w:t>
      </w:r>
    </w:p>
    <w:p>
      <w:r>
        <w:t xml:space="preserve">The Competition Authority (permanent commission),  </w:t>
        <w:br/>
        <w:t xml:space="preserve">Having regard to the letter, registered on May 9, 2014 under number 14/0043 F, by which the companies Organidem and BDF Holding referred to the Competition Authority practices implemented in the moving sector by the companies Groupe Nasse Demeco and Demeco SAS;  </w:t>
        <w:br/>
        <w:t xml:space="preserve">Having regard to the letter, registered on August 18, 2015 under number 15/0072 M, by which the applicant companies requested, on the basis of Article L. 464-1 of the Commercial Code, the granting of interim measures;  </w:t>
        <w:br/>
        <w:t xml:space="preserve">Having regard to Articles 101 and 102 of the Treaty on the Functioning of the European Union;  </w:t>
        <w:br/>
        <w:t xml:space="preserve">Having regard to the Commercial Code;  </w:t>
        <w:br/>
        <w:t xml:space="preserve">Having regard to Decision No. 15-C-08 of September 24, 2015, by which the president of the Competition Authority acknowledged the withdrawal of the applicant parties' request for interim measures and closed file 15/0072 M;  </w:t>
        <w:br/>
        <w:t xml:space="preserve">Having regard to the business secrecy decisions No. 16-DSA-58 of April 19, 2016, No. 16-DSA-279 of September 6, 2016, No. 16-DSA-284 of September 14, 2016, No. 16-DSA-309 of September 30, 2016, No. 16-DSA-319 of October 5, 2016, and No. 16-DECR-353 of October 19, 2016;  </w:t>
        <w:br/>
        <w:t xml:space="preserve">Having regard to the observations presented by the companies Organidem and BDF Holding and by the Government Commissioner;  </w:t>
        <w:br/>
        <w:t xml:space="preserve">Having regard to the other documents in the file;  </w:t>
        <w:br/>
        <w:t xml:space="preserve">The reporting member, the deputy general reporter, and the representatives of the companies Organidem and BDF Holding heard during the session of the Competition Authority on April 19, 2017, the Government Commissioner having been regularly summoned;  </w:t>
        <w:br/>
        <w:t>Adopts the following decision:</w:t>
      </w:r>
    </w:p>
    <w:p>
      <w:r>
        <w:t>1</w:t>
      </w:r>
    </w:p>
    <w:p>
      <w:r>
        <w:t xml:space="preserve">Summary1:  </w:t>
        <w:br/>
        <w:t xml:space="preserve">In the following decision, the Competition Authority decides that there is no need to continue the investigation regarding practices implemented in the sector of individual moving and business transfer.  </w:t>
        <w:br/>
        <w:t xml:space="preserve">Concerning the practice of collusion, the Authority considered that the elements present in the file do not demonstrate that the clauses of the Demeco SAS partnership contract, contested by the applicants, constitute restrictions on competition.  </w:t>
        <w:br/>
        <w:t xml:space="preserve">Regarding the abuse of dominant position, the Authority considered that the market shares held by the party in question did not allow for the establishment of the existence of a dominant position.  </w:t>
        <w:br/>
        <w:t>1 This summary is strictly informative. Only the reasons for the decision numbered below are authoritative.</w:t>
      </w:r>
    </w:p>
    <w:p>
      <w:r>
        <w:t>2</w:t>
      </w:r>
    </w:p>
    <w:p>
      <w:r>
        <w:t xml:space="preserve">TABLE OF CONTENTS  </w:t>
        <w:br/>
        <w:t xml:space="preserve">I. Reminder of the procedure .................................................................... 4  </w:t>
        <w:br/>
        <w:t xml:space="preserve">II. Findings ................................................................................................. 4  </w:t>
        <w:br/>
        <w:t xml:space="preserve">A. THE RELEVANT SECTOR ............................................................................................................ 4  </w:t>
        <w:br/>
        <w:t xml:space="preserve">1. THE ACTIVITY SEGMENTS .................................................................................................... 4  </w:t>
        <w:br/>
        <w:t xml:space="preserve">a) Individual moving .......................................................................................... 4  </w:t>
        <w:br/>
        <w:t xml:space="preserve">b) Moving of businesses or administrations .................................................... 5  </w:t>
        <w:br/>
        <w:t xml:space="preserve">c) International moving .................................................................................... 5  </w:t>
        <w:br/>
        <w:t xml:space="preserve">2. THE PROVIDERS ....................................................................................................................... 5  </w:t>
        <w:br/>
        <w:t xml:space="preserve">B. THE COMPANIES INVOLVED .................................................................................................... 6  </w:t>
        <w:br/>
        <w:t xml:space="preserve">1. ORGANIDEM AND BDF HOLDING ....................................................................................... 6  </w:t>
        <w:br/>
        <w:t xml:space="preserve">2. THE GROUPE NASSE DEMECO .............................................................................................. 6  </w:t>
        <w:br/>
        <w:t xml:space="preserve">3. COMMERCIAL LINKS BETWEEN THE COMPANIES INVOLVED ........................................... 7  </w:t>
        <w:br/>
        <w:t xml:space="preserve">C. THE CONTESTED PRACTICES ................................................................................................... 7  </w:t>
        <w:br/>
        <w:t xml:space="preserve">1. COLLUSIVE PRACTICES ......................................................................................................... 7  </w:t>
        <w:br/>
        <w:t xml:space="preserve">2. ABUSE OF DOMINANT POSITION .......................................................................................... 8  </w:t>
        <w:br/>
        <w:t xml:space="preserve">III. Discussion ............................................................................................ 8  </w:t>
        <w:br/>
        <w:t xml:space="preserve">A. ON THE PROCEDURE ................................................................................................................ 9  </w:t>
        <w:br/>
        <w:t xml:space="preserve">B. ON THE APPLICABILITY OF EUROPEAN LAW ...................................................................... 9  </w:t>
        <w:br/>
        <w:t xml:space="preserve">C. ON COLLUSION ................................................................................................................................ 9  </w:t>
        <w:br/>
        <w:t xml:space="preserve">1. ON THE MARKET SHARES OF NASSE DEMECO ................................................................. 9  </w:t>
        <w:br/>
        <w:t xml:space="preserve">2. ON THE CLAUSES OF THE PARTNERSHIP CONTRACT ...................................................... 9  </w:t>
        <w:br/>
        <w:t xml:space="preserve">a) On the admission criteria .............................................................................. 9  </w:t>
        <w:br/>
        <w:t xml:space="preserve">b) On the existence of territorial exclusivities .................................................. 10  </w:t>
        <w:br/>
        <w:t xml:space="preserve">c) On the exclusivity clause and the supply obligation .................................. 10  </w:t>
        <w:br/>
        <w:t xml:space="preserve">d) On the pricing policy .................................................................................... 11  </w:t>
        <w:br/>
        <w:t xml:space="preserve">D. ON ABUSE OF DOMINANT POSITION .................................................................................. 11  </w:t>
        <w:br/>
        <w:t xml:space="preserve">DECISION ......................................................................................................................... 12  </w:t>
        <w:br/>
        <w:t>3</w:t>
      </w:r>
    </w:p>
    <w:p>
      <w:r>
        <w:rPr>
          <w:b/>
        </w:rPr>
        <w:t>[Pages 4–6]</w:t>
      </w:r>
    </w:p>
    <w:p>
      <w:r>
        <w:t xml:space="preserve">I. Reminder of the procedure  </w:t>
        <w:br/>
        <w:t xml:space="preserve">2. The companies Organidem and BDF Holding (hereinafter "the applicants") submitted a letter registered on May 9, 2014, under number 14/0043 F, to the Competition Authority regarding practices that would have been implemented against them by the companies Groupe Nasse Demeco and Demeco SAS in the sector of individual moving and business transfer.  </w:t>
        <w:br/>
        <w:t xml:space="preserve">3. By a filing registered on August 25, 2015, under number 15/0072 M, the applicants requested the granting of interim measures against the companies Groupe Nasse Demeco and Demeco SAS and then withdrew this filing on September 17, 2015. This withdrawal was recorded by decision no. 15-C-08 of September 24, 2015.  </w:t>
        <w:br/>
        <w:t>4. The substantive investigation led to the establishment of a proposal for non-suit, notified to the applicants on December 1, 2016.</w:t>
      </w:r>
    </w:p>
    <w:p>
      <w:r>
        <w:t xml:space="preserve">II. Findings  </w:t>
        <w:br/>
        <w:t xml:space="preserve">A. THE RELEVANT SECTOR  </w:t>
        <w:br/>
        <w:t xml:space="preserve">1. THE ACTIVITY SEGMENTS  </w:t>
        <w:br/>
        <w:t xml:space="preserve">5. The moving market consists of three main activity segments: individual moving, business or administration transfer, and international moving. The services concerned in this case are primarily those of individual moving and business or administration transfer.  </w:t>
        <w:br/>
        <w:t xml:space="preserve">a) Individual moving  </w:t>
        <w:br/>
        <w:t xml:space="preserve">6. Individual moving corresponds to the operations of moving personal and household effects of individuals. This category also includes certain specific moves, such as the moving of employees and military personnel. Indeed, the employee may have the costs of their move covered by the company that employs them; the military official is compensated for the expenses incurred by their transfer. In these cases, three parties are involved: the provider (moving company), the requester (transferred employee or military personnel), and the payer who covers this service (employer company or ministry of defense).  </w:t>
        <w:br/>
        <w:t xml:space="preserve">7. Specifically regarding the moving of employees for professional reasons, there are several modalities for organizing these moves: some companies conduct calls for tenders, after which a contract with a pricing schedule is concluded with several moving companies, with the employee then responsible for obtaining one or more quotes from the companies that signed the contracts. Other companies establish a list of service providers from which the employee must request several quotes. Finally, some companies call upon, on a case-by-case basis, a particular moving company.  </w:t>
        <w:br/>
        <w:t xml:space="preserve">b) The moving of businesses or administrations  </w:t>
        <w:br/>
        <w:t xml:space="preserve">8. The moving of businesses or administrations, known as transfer, concerns all types of professional or public premises and corresponds to the moving operations of a company that wishes to change its professional premises or simply the internal relocation of its offices.  </w:t>
        <w:br/>
        <w:t xml:space="preserve">9. Due to the volumes involved and the complex nature of these operations, only certain moving companies actually engage in these activities. Administrations or companies most often proceed through calls for tenders to designate the service provider to whom they will entrust their move.  </w:t>
        <w:br/>
        <w:t xml:space="preserve">c) International moving  </w:t>
        <w:br/>
        <w:t xml:space="preserve">10. International moves correspond to moves departing from or arriving in foreign countries (including overseas) for individuals and businesses.  </w:t>
        <w:br/>
        <w:t xml:space="preserve">11. The activity of international moving requires specific skills, particularly a good knowledge of customs procedures. It also requires, in the case of air and sea transport, having a network of international correspondents who will handle all the services that the moving company must provide outside its country of establishment.  </w:t>
        <w:br/>
        <w:t xml:space="preserve">12. The human skills and specific material means for each of these activity segments lead to a specialization of providers.  </w:t>
        <w:br/>
        <w:t xml:space="preserve">2. THE PROVIDERS  </w:t>
        <w:br/>
        <w:t xml:space="preserve">13. The moving sector is characterized by the presence of a significant number of small businesses. According to the moving industry union, in 2013, the sector represented 11,500 employees for approximately 1,300 companies, of which nearly 80% were very small businesses with fewer than 10 employees. These small structures tend to group together in commercial networks to increase their visibility through the brand's reputation.  </w:t>
        <w:br/>
        <w:t xml:space="preserve">14. According to the Xerfi study of November 2015 regarding the moving sector, the turnover in 2013 for the sector was approximately 1.5 billion euros, of which about half corresponded to business transfers, 36% to individual moving, and 13% to international moves.  </w:t>
        <w:br/>
        <w:t xml:space="preserve">15. The main players operating in France in this sector are the companies Groupe Nasse Demeco, Mobilitas, and Bovis.  </w:t>
        <w:br/>
        <w:t xml:space="preserve">16. Groupe Nasse Demeco is a major player in moving services in France, notably due to an active external growth policy and the expansion of its Demeco network, which had nearly 200 points of sale in 2014. Nasse Demeco reportedly achieved a turnover of 90 million euros in 2014, according to the aforementioned Xerfi study, and 265 million euros including the turnover of its partners (references no. 1028 and 1029).  </w:t>
        <w:br/>
        <w:t xml:space="preserve">17. Mobilitas, the other major player present in all activity segments of the sector, had nearly 300 agencies in 2014, including 145 under the brand "les Déménageurs Bretons," 80 under the brand "Demepol," and 69 under the brand "Déménagerseul.com." Mobilitas achieved a turnover of 290 million euros in 2014, according to the aforementioned Xerfi study.  </w:t>
        <w:br/>
        <w:t xml:space="preserve">18. The Bovis group specializes in the transfer of businesses both domestically and internationally. Bovis achieved a turnover of 114 million euros in 2014, according to the aforementioned Xerfi study.  </w:t>
        <w:br/>
        <w:t>19. Alongside these groups, many independents have formed associations. Among the main ones is the association "les Gentlemen du Déménagement," which brings together about a hundred members in France.</w:t>
      </w:r>
    </w:p>
    <w:p>
      <w:r>
        <w:t xml:space="preserve">B. THE COMPANIES INVOLVED  </w:t>
        <w:br/>
        <w:t xml:space="preserve">1. ORGANIDEM AND BDF HOLDING  </w:t>
        <w:br/>
        <w:t xml:space="preserve">20. The company Organidem, established in 1999, specializes in the moving of professionals, both public and private. It is 100% owned by BDF Holding and achieved a turnover of 10 million euros in 2014.  </w:t>
        <w:br/>
        <w:t xml:space="preserve">2. THE GROUPE NASSE DEMECO  </w:t>
        <w:br/>
        <w:t xml:space="preserve">21. The company Groupe Nasse Demeco (hereinafter "Groupe Nasse") is a simplified joint-stock company specializing in the moving of individuals and businesses. Groupe Nasse reported a consolidated turnover of 74.5 million euros in 2014. It encompasses two moving networks: the Demeco network and the Dem network.  </w:t>
        <w:br/>
        <w:t xml:space="preserve">22. The Demeco network, established in 1965, is managed by Demeco SAS, a subsidiary of Groupe Nasse. The Demeco network consisted, in 2014, of Demeco SAS and 80 partners who signed a partnership contract with Demeco SAS. These partners included 12 subsidiaries of Groupe Nasse and 68 independent partners.  </w:t>
        <w:br/>
        <w:t xml:space="preserve">23. The Dem network is also managed by Demeco SAS. It consisted, in 2014, of Demeco SAS and 13 partners. These partners included 5 subsidiaries of Groupe Nasse and 8 independent partners.  </w:t>
        <w:br/>
        <w:t xml:space="preserve">24. Groupe Nasse also manages the Emobilia Grenoble network, which includes 13 companies, of which 12 are independent partner companies.  </w:t>
        <w:br/>
        <w:t>25. In addition, there are subsidiaries of Groupe Nasse that are not attached to any of these three moving networks and operate under a different brand. Finally, Groupe Nasse has a storage, archiving, and storage activity that is a continuation of the individual moving activities. It also engages in the transport of decorations through a subsidiary, TransDeco.</w:t>
      </w:r>
    </w:p>
    <w:p>
      <w:r>
        <w:rPr>
          <w:b/>
        </w:rPr>
        <w:t>[Pages 7–9]</w:t>
      </w:r>
    </w:p>
    <w:p>
      <w:r>
        <w:t xml:space="preserve">3. COMMERCIAL LINKS BETWEEN THE COMPANIES CONCERNED  </w:t>
        <w:br/>
        <w:t xml:space="preserve">26. The former manager of the company Corvisier-Cogam (hereinafter "Corvisier"), a company active in the moving sector, primarily for individuals, signed a partnership contract with Demeco SAS in 2003 and again in 2008, thus allowing his company to use the "Demeco" brand for individual clients and "Demeco Transfert" for business clients. This contract was concluded for an initial duration of five years, renewable by tacit agreement, and included a clause intuitu personae, considering its manager.  </w:t>
        <w:br/>
        <w:t xml:space="preserve">27. Starting in 2012, BDF Holding, the parent company of Organidem, wishing to develop its individual moving business and interested in the reputation of the Demeco network, gradually took capital control of Corvisier and ensured full control from October 31, 2014. This takeover occurred despite the refusal of approval decided by the board of directors of Demeco SAS.  </w:t>
        <w:br/>
        <w:t xml:space="preserve">28. On August 25, 2015, the board of directors of Demeco SAS considered that the takeover of Corvisier by BDF Holding constituted a violation of the intuitu personae of the partnership contract. However, the board of directors of Demeco SAS acknowledged the continuation of the contract, subject to compliance with a confidentiality clause regarding BDF Holding. No new contract having been signed, the relations between Corvisier and Demeco continued according to the terms of the initial contract.  </w:t>
        <w:br/>
        <w:t xml:space="preserve">29. The partnership contract concluded between Corvisier and Demeco SAS was ultimately terminated in 2016 by the president of Demeco SAS and will end in 2018.  </w:t>
        <w:br/>
        <w:t xml:space="preserve">C. THE CONTESTED PRACTICES  </w:t>
        <w:br/>
        <w:t xml:space="preserve">30. The applicants denounce collusion practices (1) and abuse of dominant position (2) by the Nasse Group.  </w:t>
        <w:br/>
        <w:t xml:space="preserve">1. COLLUSION PRACTICES  </w:t>
        <w:br/>
        <w:t xml:space="preserve">31. The applicants believe that the Demeco partnership contract would support a vertical agreement contrary to Articles 101 of the Treaty on the Functioning of the European Union (hereinafter "TFEU") and L. 420-1 of the Commercial Code.  </w:t>
        <w:br/>
        <w:t xml:space="preserve">32. This agreement could not benefit from the block exemption provided by Regulation No. 330/2010 of the Commission of April 20, 2010, concerning the application of Article 101, paragraph 3, of the Treaty on the Functioning of the European Union to categories of vertical agreements and concerted practices (hereinafter "Regulation No. 330/2010"): on the one hand, because the Nasse Group would have a market share exceeding 30%, and on the other hand, because the partnership contract would contain restrictive clauses that cannot benefit from the exemption.  </w:t>
        <w:br/>
        <w:t xml:space="preserve">33. Firstly, the applicants argue that the network constituted by Demeco SAS with its partners falls under selective distribution and that in the absence of objective selection criteria for the members of the network, the partnership contract could not benefit from the exemption of Regulation No. 330/2010.  </w:t>
        <w:br/>
        <w:t xml:space="preserve">34. Secondly, the applicants also highlight the existence of an implicit territorial exclusivity within the Demeco network. Indeed, while the contract does not explicitly provide for territorial exclusivity, it would be disguised through an admission procedure that Organidem and BDF Holding consider opaque.  </w:t>
        <w:br/>
        <w:t xml:space="preserve">35. Thirdly, the applicants consider that Article 6 of the contract, which requires the Demeco partner not to belong to any other moving network during the term of the contract, would prevent the normal functioning of competition and that the clause providing for the renewal of the contract by tacit agreement for successive periods of 5 years could not benefit from the exemption regime.  </w:t>
        <w:br/>
        <w:t xml:space="preserve">36. Fourthly, the applicants assert that Article 12 of the contract, which provides that Demeco SAS subscribes, on behalf of all agents of the network, one or more insurance policies covering the risks related to the moving of individuals and that this policy is mandatory for the agent, constitutes a supply obligation that limits the commercial freedom of the franchisees beyond what is necessary.  </w:t>
        <w:br/>
        <w:t xml:space="preserve">37. Fifthly, the applicants believe that Article 15 of the contract, which prevents the Demeco partner from soliciting the "national clients" of Demeco SAS but still allows the latter to offer the agent to carry out, through subcontracting, moving services for a national client whose scope and price are freely determined by it, enables Demeco SAS to implement a pricing policy concerning this category of clientele.  </w:t>
        <w:br/>
        <w:t xml:space="preserve">2. ABUSE OF DOMINANT POSITION  </w:t>
        <w:br/>
        <w:t xml:space="preserve">38. The applicants consider that the Nasse Group has committed abusive practices towards them during the acquisition of Corvisier, a Demeco partner, by Organidem and the transfer of the partnership contract in favor of the latter. These practices, which would have had the effect of excluding them from the market for individual moves, would constitute an abuse of dominant position within the meaning of Article L. 420-2 of the Commercial Code.  </w:t>
        <w:br/>
        <w:t xml:space="preserve">III. Discussion  </w:t>
        <w:br/>
        <w:t xml:space="preserve">39. Article L. 464-6 of the Commercial Code states that "when no practice likely to harm competition in the market is established, the Competition Authority may decide, after the author of the referral and the Government Commissioner have been able to consult the file and make their observations, that there is no need to continue the procedure."  </w:t>
        <w:br/>
        <w:t xml:space="preserve">A. ON THE PROCEDURE  </w:t>
        <w:br/>
        <w:t xml:space="preserve">40. In the session, the board of the companies Organidem and BDF Holding argued that Demeco had made disparaging remarks against the applicants, particularly against the president of BDF Holding, in its responses to the questionnaire of February 26, 2016 (paragraph 5 of file No. 565). However, these responses, for which the authors bear sole responsibility, do not bind the Authority, which has excluded them from the discussions.  </w:t>
        <w:br/>
        <w:t xml:space="preserve">B. ON THE APPLICABILITY OF EUROPEAN LAW  </w:t>
        <w:br/>
        <w:t xml:space="preserve">41. The Demeco network being present throughout the metropolitan territory of France, which represents a substantial part of the Union market, and also being active in the European and international moving segment, the practices examined are likely to affect trade between Member States and must be analyzed in light of both internal and Union competition rules.  </w:t>
        <w:br/>
        <w:t xml:space="preserve">42. The application of Union law is not contested by the referring parties.  </w:t>
        <w:br/>
        <w:t xml:space="preserve">C. ON COLLUSION  </w:t>
        <w:br/>
        <w:t xml:space="preserve">1. ON THE MARKET SHARES OF NASSE DEMECO  </w:t>
        <w:br/>
        <w:t xml:space="preserve">43. It appears from the elements provided by the Nasse Group and the data collected in the aforementioned Xerfi study that, in any case, including taking into account the turnover of the Guiguard group acquired in 2014, the Nasse Group has market shares below 30% in the market for individual moving, the market for business and administration transfer, and the international moving market. More specifically, the maximum market shares of the Nasse Group in each of the three considered markets do not exceed 11%, and the maximum cumulative market shares of the Nasse Group and its partners do not exceed 28% in each of the considered markets.  </w:t>
        <w:br/>
        <w:t xml:space="preserve">44. Therefore, it is incorrect for the applicants to believe that the market shares of the Nasse Group and/or its partners exceed the 30% threshold provided by Regulation No. 330/2010 to benefit from the block exemption.  </w:t>
        <w:br/>
        <w:t xml:space="preserve">2. ON THE CLAUSES OF THE PARTNERSHIP CONTRACT  </w:t>
        <w:br/>
        <w:t xml:space="preserve">45. In any event, it appears from the elements of the file that the clauses of the partnership contract contested by Organidem and BDF Holding do not constitute restrictions on competition.  </w:t>
        <w:br/>
        <w:t xml:space="preserve">a) On the membership criteria  </w:t>
        <w:br/>
        <w:t>46. The applicants consider that the Demeco partnership contract would actually be a selective distribution contract and should thus provide for objective and non-discriminatory selection criteria for potential candidates. They also believe that</w:t>
      </w:r>
    </w:p>
    <w:p>
      <w:r>
        <w:rPr>
          <w:b/>
        </w:rPr>
        <w:t>[Pages 10–12]</w:t>
      </w:r>
    </w:p>
    <w:p>
      <w:r>
        <w:t>46. The applicants consider that the Demeco partnership contract would actually be a selective distribution contract and should therefore provide for objective and non-discriminatory selection criteria for potential candidates. They also believe that access to the Demeco network constitutes "an important condition for access to the market for individual moving," and that thus, the absence of transparent selection conditions would be likely to undermine free competition.</w:t>
      </w:r>
    </w:p>
    <w:p>
      <w:r>
        <w:t>47. However, a selective distribution contract is defined as a distribution system in which "the supplier undertakes to supply one or more retailers in a specific sector" (Court of Cassation, Criminal Chamber, November 3, 1982, No. 82-90.522). In this case, and contrary to the selective distribution contract, the Demeco partnership contract involves the operation of a common brand and trademark by the entire network.</w:t>
      </w:r>
    </w:p>
    <w:p>
      <w:r>
        <w:t>48. Furthermore, it follows from case law that, to characterize an infringement of competition regarding market access, it is necessary to prove that it is not possible to access the market in question without joining the group or having access to a brand (see in particular decision No. 06-D-29 of October 6, 2006, regarding practices implemented by the GIE Les Indépendants in the radio advertising sector; Paris Court of Appeal, May 27, 2003, Chamber of Trade of Moving and Storage Companies of France). In this case, given the elements of the file, the "Demeco" brand cannot be considered an essential brand for operating in the moving market, which the applicants also acknowledged during the session.</w:t>
      </w:r>
    </w:p>
    <w:p>
      <w:r>
        <w:t>b) On the existence of territorial exclusivities</w:t>
      </w:r>
    </w:p>
    <w:p>
      <w:r>
        <w:t>49. The applicants believe that the discretionary admission procedure for new partners would allow the board of directors of Demeco SAS to organize a territorial network to reserve the benefit of the brand for agents located in territories that are, in fact, reserved for them.</w:t>
      </w:r>
    </w:p>
    <w:p>
      <w:r>
        <w:t>50. However, consistent case law upholds the freedom of organization and reorganization of distribution networks or brand networks (see in particular Court of Cassation, Commercial Chamber, December 2, 2008, No. 07-18.775), when the modalities for implementing this freedom do not affect the market (decision No. 04-D-55 of November 10, 2004, regarding practices identified in the sector of collectible images for children; see also opinion No. 04-A-14 of July 23, 2004, National Union of Office Equipment and Computing, SEBI). In this case, no element of the file highlights an anticompetitive effect resulting from the territorial network established by the Demeco network.</w:t>
      </w:r>
    </w:p>
    <w:p>
      <w:r>
        <w:t>c) On the exclusivity clause and the supply obligation</w:t>
      </w:r>
    </w:p>
    <w:p>
      <w:r>
        <w:t>51. The applicants equate Article 6 of the partnership contract, which requires any member of the Demeco network not to belong to another network during the term of the contract, with a non-competition clause of indefinite duration within the meaning of Regulation No. 330/2010 of April 20, 2010. However, the d of 1 of Article 1 of this regulation defines a non-competition obligation as "any direct or indirect obligation prohibiting the buyer from manufacturing, purchasing, selling, or reselling goods or services that compete with the contractual goods or services, or any direct or indirect obligation imposing on the buyer the obligation to acquire from the supplier more than 80% of its annual purchases in contractual goods or services (...)".</w:t>
      </w:r>
    </w:p>
    <w:p>
      <w:r>
        <w:t>52. In this case, the sole obligation not to belong to another network during the term of the contract cannot be regarded as involving or implying a risk of exclusion from the market.</w:t>
      </w:r>
    </w:p>
    <w:p>
      <w:r>
        <w:t>53. Furthermore, Demeco SAS imposes no supply obligation other than that provided for in Article 12, which states that Demeco SAS subscribes to insurance policies for transported goods. However, the cost related to the insurance contract, which only covers the transport risks of goods for individual moves, accounts for only 1.3% of the supply item of Demeco partners, far from the 80% threshold referred to in Regulation No. 330/2010.</w:t>
      </w:r>
    </w:p>
    <w:p>
      <w:r>
        <w:t>d) On the pricing policy</w:t>
      </w:r>
    </w:p>
    <w:p>
      <w:r>
        <w:t>54. According to the applicants, Article 15 of the partnership contract organizes a "reservation" of national clients in favor of Demeco SAS, while providing for the possibility of subcontracting the execution of services to its partners.</w:t>
      </w:r>
    </w:p>
    <w:p>
      <w:r>
        <w:t>55. However, no element of the file establishes that this subcontracting would lead to a practice of imposed prices. Indeed, the partners of the network remain free to accept or not the service proposed by Demeco SAS, at the price set and paid by the latter. The very mechanism of subcontracting therefore excludes, in this case, any risk of imposed prices since the partner is directly compensated by Demeco and not by the final client. Moreover, no element of the file suggests that the prices of the services thus provided to national clients and billed directly by Demeco SAS would actually be set in common with the companies in the network. Finally, the partnership contract does not prohibit Demeco partners from responding to a request from a national client who would contact them directly by setting their own prices.</w:t>
      </w:r>
    </w:p>
    <w:p>
      <w:r>
        <w:t>D. ON ABUSE OF DOMINANT POSITION</w:t>
      </w:r>
    </w:p>
    <w:p>
      <w:r>
        <w:t>56. It appears from the documents in the file that the Nasse Group holds, regardless of the scenarios considered, less than 30% market share in the markets concerned (see paragraph 43). These market shares and the presence of other powerful groups in the market do not allow for the characterization of the existence of a dominant position of the Nasse Group in the various markets in question. Consequently, in the absence of a dominant position, the practices denounced cannot constitute an abuse of that position.</w:t>
      </w:r>
    </w:p>
    <w:p>
      <w:r>
        <w:t>DECISION</w:t>
      </w:r>
    </w:p>
    <w:p>
      <w:r>
        <w:t xml:space="preserve">Single Article: Based on the information available to the Competition Authority, there is no need to continue the procedure.  </w:t>
        <w:br/>
        <w:t xml:space="preserve">Deliberated on the oral report of Ms. Laure Meyssonnier, rapporteur, and the intervention of Mr. Umberto Berkani, deputy general rapporteur, by Mr. Thierry Dahan, vice-president, president of the session, Ms. Claire Favre and Mr. Emmanuel Combe, vice-presidents.  </w:t>
        <w:br/>
        <w:t xml:space="preserve">The session secretary, The session president,  </w:t>
        <w:br/>
        <w:t xml:space="preserve">Caroline Chéron 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