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https://www.autoritedelaconcurrence.fr/fr/decision/relative-des-pratiques-mises-en-oeuvre-dans-le-secteur-du-demenagement-des-militaires</w:t>
      </w:r>
    </w:p>
    <w:p>
      <w:r>
        <w:t>Pages translated : 31</w:t>
      </w:r>
    </w:p>
    <w:p/>
    <w:p>
      <w:r>
        <w:rPr>
          <w:b/>
        </w:rPr>
        <w:t>[Pages 1–3]</w:t>
      </w:r>
    </w:p>
    <w:p>
      <w:r>
        <w:t xml:space="preserve">FRENCH REPUBLIC  </w:t>
        <w:br/>
        <w:t xml:space="preserve">Decision No. 14-D-16 of November 18, 2014  </w:t>
        <w:br/>
        <w:t xml:space="preserve">regarding practices implemented in the sector of  </w:t>
        <w:br/>
        <w:t>relocation of military personnel assigned to Martinique</w:t>
      </w:r>
    </w:p>
    <w:p>
      <w:r>
        <w:t xml:space="preserve">The Competition Authority,  </w:t>
        <w:br/>
        <w:t xml:space="preserve">Having regard to decision No. 13-SO-03 of September 11, 2013 registered under number 13/0065 F, by which the Competition Authority initiated proceedings ex officio regarding practices implemented in the sector of relocation of military personnel assigned to Martinique;  </w:t>
        <w:br/>
        <w:t xml:space="preserve">Having regard to Book IV of the Commercial Code;  </w:t>
        <w:br/>
        <w:t xml:space="preserve">Having regard to the simplified notification decision of grievances of May 15, 2014 stating that the case gives rise to a decision without prior establishment of a report;  </w:t>
        <w:br/>
        <w:t xml:space="preserve">Having regard to the minutes of July 21, 2014 by which the company Martinique Déménagements declared, on the one hand, that it did not contest the grievances that had been notified to it and requested the benefit of the provisions of III of Article L. 464-2 of the Commercial Code and, on the other hand, presented commitments aimed at establishing a compliance program with competition rules;  </w:t>
        <w:br/>
        <w:t xml:space="preserve">Having regard to the minutes of July 23, 2014 by which the company SMDTE declared that it did not contest the grievances that had been notified to it and requested the benefit of the provisions of III of Article L. 464-2 of the Commercial Code;  </w:t>
        <w:br/>
        <w:t xml:space="preserve">Having regard to the other documents in the file;  </w:t>
        <w:br/>
        <w:t xml:space="preserve">Having regard to the observations presented by the company Mobilitas, the company AGS Martinique, the company Martinique Déménagements, the Société Martiniquaise de Déménagement, de Transport et d’Emballage (SMDTE) and the DGCCRF;  </w:t>
        <w:br/>
        <w:t xml:space="preserve">The rapporteur, the deputy general rapporteur, the Government commissioner, and the representatives of the company Mobilitas, the company AGS Martinique, and the company Martinique Déménagements, heard during the session of the Competition Authority on September 23, 2014;  </w:t>
        <w:br/>
        <w:t>Adopts the following decision:</w:t>
      </w:r>
    </w:p>
    <w:p>
      <w:r>
        <w:t xml:space="preserve">SUMMARY  </w:t>
        <w:br/>
        <w:t xml:space="preserve">I. Findings .................................................................................... 4  </w:t>
        <w:br/>
        <w:t xml:space="preserve">A. THE INITIATION OF PROCEEDINGS EX OFFICIO .................................................................................................................. 4  </w:t>
        <w:br/>
        <w:t xml:space="preserve">B. THE SECTOR CONCERNED ............................................................................................................ 4  </w:t>
        <w:br/>
        <w:t xml:space="preserve">1. THE ACTORS ........................................................................................................................ 4  </w:t>
        <w:br/>
        <w:t xml:space="preserve">2. THE CHARACTERISTICS OF THE RELOCATION SECTOR FOR MILITARY PERSONNEL ASSIGNED TO MARTINIQUE ............................................................................................................................ 4  </w:t>
        <w:br/>
        <w:t xml:space="preserve">C. THE BEHAVIORS IMPLEMENTED BY THE COMPANIES CONCERNED..... 6  </w:t>
        <w:br/>
        <w:t xml:space="preserve">1. DIRECT EVIDENCE SHOWING THE ESTABLISHMENT OF COMPLIANT ESTIMATES . 6  </w:t>
        <w:br/>
        <w:t xml:space="preserve">a) Regarding the companies AGS Martinique and Martinique Déménagements .... 6  </w:t>
        <w:br/>
        <w:t xml:space="preserve">b) Regarding the companies AGS Martinique and SMDTE ...................................... 6  </w:t>
        <w:br/>
        <w:t xml:space="preserve">2. ADDITIONAL MATERIAL INDICATORS OF COMPLIANT ESTIMATES .................... 7  </w:t>
        <w:br/>
        <w:t xml:space="preserve">a) Regarding the companies AGS Martinique and Martinique Déménagements .... 7  </w:t>
        <w:br/>
        <w:t xml:space="preserve">b) Regarding the companies AGS Martinique and SMDTE ...................................... 8  </w:t>
        <w:br/>
        <w:t xml:space="preserve">D. THE NOTIFIED GRIEVANCES ................................................................................................................. 8  </w:t>
        <w:br/>
        <w:t xml:space="preserve">E. THE IMPLEMENTATION OF III OF ARTICLE L. 464-2 OF THE COMMERCIAL CODE ......... 8  </w:t>
        <w:br/>
        <w:t xml:space="preserve">II. Discussion ....................................................................................... 9  </w:t>
        <w:br/>
        <w:t xml:space="preserve">A. ON THE CONSEQUENCES OF THE IMPLEMENTATION OF THE PROCEDURE FOR NON-CONTESTATION OF GRIEVANCES .............................................................................................................. 9  </w:t>
        <w:br/>
        <w:t xml:space="preserve">1. THE PRINCIPLES ...................................................................................................................... 9  </w:t>
        <w:br/>
        <w:t xml:space="preserve">2. APPLICATION TO THE PRESENT CASE ........................................................................................ 10  </w:t>
        <w:br/>
        <w:t xml:space="preserve">a) Regarding Martinique Déménagements and SMDTE .................................... 10  </w:t>
        <w:br/>
        <w:t xml:space="preserve">b) Regarding AGS Martinique ........................................................................... 10  </w:t>
        <w:br/>
        <w:t xml:space="preserve">B. ON THE ATTRIBUTION OF PRACTICES TO THE COMPANY MOBILITAS .......................... 12  </w:t>
        <w:br/>
        <w:t xml:space="preserve">1. ON THE APPLICABLE LAW ................................................................................................ 12  </w:t>
        <w:br/>
        <w:t xml:space="preserve">2. ASSESSMENT IN THE PRESENT CASE ............................................................................................. 14  </w:t>
        <w:br/>
        <w:t xml:space="preserve">C. ON THE SANCTIONS .................................................................................................................. 15  </w:t>
        <w:br/>
        <w:t xml:space="preserve">1. ON THE VALUE OF SALES ............................................................................................. 16  </w:t>
        <w:br/>
        <w:t xml:space="preserve">2. ON THE DETERMINATION OF THE BASE AMOUNT ............................................................. 18  </w:t>
        <w:br/>
        <w:t xml:space="preserve">a) On the proportion of the value of sales ........................................................ 18  </w:t>
        <w:br/>
        <w:t xml:space="preserve">On the severity of the facts ........................................................................................ 18  </w:t>
        <w:br/>
        <w:t xml:space="preserve">On the significance of the damage caused to the economy .......................................... 20  </w:t>
        <w:br/>
        <w:t xml:space="preserve">Conclusion on the proportion of the value of sales ....................................... 23  </w:t>
        <w:br/>
        <w:t xml:space="preserve">b) On the duration of the practices ................................................................................ 23  </w:t>
        <w:br/>
        <w:t xml:space="preserve">c) Conclusion on the determination of the base amount .................................... 24  </w:t>
        <w:br/>
        <w:t xml:space="preserve">3. ON THE INDIVIDUALIZATION OF SANCTIONS ..................................................................... 24  </w:t>
        <w:br/>
        <w:t xml:space="preserve">a) On mitigating or aggravating circumstances .......................................... 25  </w:t>
        <w:br/>
        <w:t xml:space="preserve">b) Other elements of individualization .......................................................... 25  </w:t>
        <w:br/>
        <w:t xml:space="preserve">4. ON FINAL ADJUSTMENTS ......................................................................................... 26  </w:t>
        <w:br/>
        <w:t xml:space="preserve">a) On the verification of compliance with the legal maximum .......................................... 26  </w:t>
        <w:br/>
        <w:t xml:space="preserve">b) On the consideration of the non-contestation of grievances ............................... 26  </w:t>
        <w:br/>
        <w:t xml:space="preserve">c) On the financial situation of the companies ...................................................... 28  </w:t>
        <w:br/>
        <w:t xml:space="preserve">5. ON THE FINAL AMOUNT OF SANCTIONS ......................................................................... 29  </w:t>
        <w:br/>
        <w:t xml:space="preserve">D. ON THE OBLIGATION OF PUBLICATION ................................................................................ 29  </w:t>
        <w:br/>
        <w:t xml:space="preserve">DECISION ......................................................................................................................... 31  </w:t>
        <w:br/>
        <w:t>3</w:t>
      </w:r>
    </w:p>
    <w:p>
      <w:r>
        <w:rPr>
          <w:b/>
        </w:rPr>
        <w:t>[Pages 4–6]</w:t>
      </w:r>
    </w:p>
    <w:p>
      <w:r>
        <w:t xml:space="preserve">I. Findings  </w:t>
        <w:br/>
        <w:t xml:space="preserve">A. INITIATION EX OFFICIO  </w:t>
        <w:br/>
        <w:t xml:space="preserve">1. By decision No. 13-SO-03 of September 11, 2013, the Competition Authority initiated ex officio proceedings regarding practices implemented in the sector of relocations of military personnel in Martinique. This ex officio initiation was recorded under number 13/0065 F (reference No. 2).  </w:t>
        <w:br/>
        <w:t xml:space="preserve">B. THE RELEVANT SECTOR  </w:t>
        <w:br/>
        <w:t xml:space="preserve">1. THE ACTORS  </w:t>
        <w:br/>
        <w:t xml:space="preserve">2. The relocation sector in Martinique is organized around small and medium-sized local enterprises, whether subsidiaries of national relocation groups or not.  </w:t>
        <w:br/>
        <w:t xml:space="preserve">3. Six companies are present in this sector in Martinique, three of which are concerned by this decision. The latter exhibit the following characteristics.  </w:t>
        <w:br/>
        <w:t xml:space="preserve">4. SARL AGS Martinique, located in Martinique in Le Lamentin (97232), is 99.6% owned by the company Mobilitas, a holding company based in mainland France in Beauchamp (95). For the accounting year 2011, AGS Martinique achieved a turnover of 3,221,325 euros.  </w:t>
        <w:br/>
        <w:t xml:space="preserve">5. SARL Martinique Déménagements, located in Martinique in Ducos (97224), achieved a turnover of 1,522,833 euros for the year 2011.  </w:t>
        <w:br/>
        <w:t xml:space="preserve">6. SARL Société Martiniquaise de Déménagement, Transport et Emballage (SMDTE), located in Martinique in Schoelcher (97233), achieved a turnover of 524,210 euros for the year 2011.  </w:t>
        <w:br/>
        <w:t xml:space="preserve">7. The relocations of military personnel can represent a significant portion of the turnover of the companies concerned due to their high cost when they are carried out from and to the mainland. This is particularly the case for the companies SMDTE and Martinique Déménagements.  </w:t>
        <w:br/>
        <w:t xml:space="preserve">2. THE CHARACTERISTICS OF THE MILITARY RELOCATION SECTOR IN MARTINIQUE  </w:t>
        <w:br/>
        <w:t xml:space="preserve">8. A relocation consists of a set of services. It includes the packing and loading of goods at the former residence, their transport by road, rail, sea, or air, and finally, their unloading at the client's new residence. The range of services offered depends on the wishes expressed by the client, ranging from simple transport to a complete offer that includes packing and unpacking of all or part of the items to be transported, as well as disassembly and reassembly of furniture, in addition to specific services concerning valuable furniture and precious items.  </w:t>
        <w:br/>
        <w:t xml:space="preserve">9. An estimate establishing the price of the relocation based on the various services is generally provided free of charge. According to the rules of the union of relocation companies (hereinafter, "CSD"), the estimate must mention the detailed description of the services requested by the client, the dates or periods of execution, the distance to be covered, the volume of furniture to be transported, its value, the proposed price, as well as the payment conditions. The estimate, if accepted, is supplemented by a detailed value declaration established by the client and by a consignment note, all forming the relocation contract. The CSD advises interested clients to consult at least two companies to compare the proposed estimates.  </w:t>
        <w:br/>
        <w:t xml:space="preserve">10. When they concern military personnel, relocation operations present particularities due to the application of specific regulations governing reimbursement by the army for relocations induced by transfers. Circular No. 1300/DEF/DCCAT/AG/SD of July 1, 1992, concerning the reimbursement of maritime or air transport costs of luggage and/or furniture of military personnel assigned overseas or abroad, states that "military personnel assigned overseas or abroad must first obtain at least two competitive estimates from different movers and/or freight forwarders." An equivalent provision arises from Circular No. 3000/GEND/DPMGN/SDPRH/BDI of January 13, 2011, concerning changes of residence for military personnel of the national gendarmerie.  </w:t>
        <w:br/>
        <w:t xml:space="preserve">11. For international and overseas relocations, the reimbursement mechanism is organized as follows:  </w:t>
        <w:br/>
        <w:t xml:space="preserve">a. the relocation costs of military personnel sent on duty abroad or overseas are covered by the military authority according to their actual cost, within the limit of a maximum tonnage, set by Article 6 of Decree No. 50-93 of January 20, 1950, which varies according to the rank and family situation of the individual;  </w:t>
        <w:br/>
        <w:t xml:space="preserve">b. the coverage of relocation costs is subject to a mandatory competitive bidding process: the individual must present several estimates from different movers. The administration opts for the lowest cost.  </w:t>
        <w:br/>
        <w:t xml:space="preserve">12. The requirement for these estimates, two in number, aims to ensure an effective call for competition by the interested military personnel so that the service performed, billed, and reimbursed is indeed the most economical.  </w:t>
        <w:br/>
        <w:t xml:space="preserve">13. A genuine competitive bidding process therefore requires that  </w:t>
        <w:br/>
        <w:t xml:space="preserve">a. military clients contact at least two movers and request a prior inventory visit of the furniture and an estimate from each;  </w:t>
        <w:br/>
        <w:t xml:space="preserve">b. the professionals conduct these visits and establish the estimates with full knowledge of the facts without knowing the estimates proposed by competitors.  </w:t>
        <w:br/>
        <w:t xml:space="preserve">14. The military administration, through Convention No. 00 20017 00370 97 for the execution of transport, reception, or shipment operations of luggage by air or sea, requires that the military provide two competitive estimates as well as a "certificate justifying that the individual has consulted 2 different movers" (reference No. 651).  </w:t>
        <w:br/>
        <w:t xml:space="preserve">C. THE BEHAVIORS IMPLEMENTED BY THE COMPANIES CONCERNED  </w:t>
        <w:br/>
        <w:t xml:space="preserve">15. All the practices identified relate to exchanges of information between three moving companies (AGS Martinique, Martinique Déménagements, and SMDTE) that allowed each of them to establish, for the benefit of one another, complacent estimates for the relocation of military personnel assigned in Martinique.  </w:t>
        <w:br/>
        <w:t xml:space="preserve">16. The Competition Council has already ruled on practices consisting of establishing complacent estimates, as in its decision No. 94-D-51 of October 4, 1994, concerning the state of competition in the relocation sector. It noted that the practice of complacent estimates is "old and very widespread in the profession" (p. 3). In practice, since a second estimate is necessary for the military or civil servant to obtain reimbursement of their relocation costs, it observed that "the common practice is to present the military with a complete file containing the estimate from the chosen professional accompanied by a presumed cover estimate from a colleague. To this end, exchanges are made, either of estimate elements or of letterhead" (p. 3).  </w:t>
        <w:br/>
        <w:t xml:space="preserve">1. DIRECT EVIDENCE SHOWING THE ESTABLISHMENT OF COMPLACENT ESTIMATES  </w:t>
        <w:br/>
        <w:t xml:space="preserve">a) Concerning the companies AGS Martinique and Martinique Déménagements  </w:t>
        <w:br/>
        <w:t xml:space="preserve">17. The seizures carried out within the companies AGS Martinique and Martinique Déménagements revealed numerous emails and estimates exchanged between their respective sales representatives in order to produce, for the benefit of one as well as the other, complacent estimates for the relocation of military personnel assigned in Martinique.  </w:t>
        <w:br/>
        <w:t xml:space="preserve">18. This large number of emails (see references Nos. 724, 725, 727, 728, 857, 859, 861, 863, 865, 924, and 1097) demonstrates the extent of the information exchanges in which Martinique Déménagements and AGS Martinique engaged. These exchanges were of a habitual nature, as revealed by their frequency and the familiar tone used.  </w:t>
        <w:br/>
        <w:t xml:space="preserve">19. Thus, it appears, for example, from the administrative investigation report that, in an email dated December 28, 2011, a sales representative from AGS Martinique requested, for the third time, her counterpart at Martinique Déménagements to "make the estimate for Mr. X..." and to "send it to her" because "I am relocating him soon" (reference No. 924). Also, in an email dated May 30, 2012, a sales representative from AGS Martinique asked her counterpart at Martinique Déménagements: "can you tell me where you are with my estimates [...]. If I could get it back by tomorrow that would be great. I need to see him tomorrow at his place" (reference No. 859).  </w:t>
        <w:br/>
        <w:t xml:space="preserve">b) Concerning the companies AGS Martinique and SMDTE  </w:t>
        <w:br/>
        <w:t xml:space="preserve">20. The seizures carried out within the company AGS Martinique revealed numerous emails exchanged between its sales representatives and those of SMDTE solely for the purpose of establishing complacent estimates for the relocation of military personnel assigned in Martinique.  </w:t>
        <w:br/>
        <w:t>21. Several emails prove that SMDTE and AGS Martinique mutually exchanged their estimates (see references Nos. 19, 677 to 680, 682 to 684, 692, 730, 731,</w:t>
      </w:r>
    </w:p>
    <w:p>
      <w:r>
        <w:rPr>
          <w:b/>
        </w:rPr>
        <w:t>[Pages 7–9]</w:t>
      </w:r>
    </w:p>
    <w:p>
      <w:r>
        <w:t>of the production of concrete, paragraph 12).</w:t>
      </w:r>
    </w:p>
    <w:p>
      <w:r>
        <w:t>39. The undertaking or organization must also acknowledge the facts as presented in the notification of grievances, which implies an acceptance of the existence of the practices in question and their classification under the relevant provisions of Union law and the Commercial Code.</w:t>
      </w:r>
    </w:p>
    <w:p>
      <w:r>
        <w:t>40. Furthermore, the undertaking or organization must commit to modifying its behavior in the future, which is a prerequisite for benefiting from the reduced sanction. This commitment must be clear and specific, detailing the measures that will be taken to ensure compliance with competition law.</w:t>
      </w:r>
    </w:p>
    <w:p>
      <w:r>
        <w:t>41. The procedure of non-contestation of grievances is designed to encourage undertakings to acknowledge their practices and to take corrective actions, thereby promoting compliance with competition law and enhancing market integrity.</w:t>
      </w:r>
    </w:p>
    <w:p>
      <w:r>
        <w:t>42. In this context, the rapporteur general plays a crucial role in assessing the sincerity and adequacy of the commitments made by the undertaking or organization, ensuring that they are not merely formal but reflect a genuine intention to comply with the law.</w:t>
      </w:r>
    </w:p>
    <w:p>
      <w:r>
        <w:t>43. The effectiveness of this procedure relies on the willingness of undertakings to engage constructively with the competition authority and to take responsibility for their actions, thereby fostering a culture of compliance within the market.</w:t>
      </w:r>
    </w:p>
    <w:p>
      <w:r>
        <w:rPr>
          <w:b/>
        </w:rPr>
        <w:t>[Pages 10–12]</w:t>
      </w:r>
    </w:p>
    <w:p>
      <w:r>
        <w:t xml:space="preserve">of vertical road signage, paragraphs 226, 228, and 425, and decision no. 11-D-07 of 24 February 2011 concerning practices implemented in the sector of painting works on metal infrastructures, paragraph 113).  </w:t>
        <w:br/>
        <w:t xml:space="preserve">39. Such a waiver to contest the grievances is sufficient for the Authority to consider that all the infringements in question are established with respect to the parties that have made this procedural choice (see, in this sense, the judgment of the Paris Court of Appeal of 26 January 2010, Adecco France et al., no. 2009/03532, p. 10, and on appeal, the judgment of the Court of Cassation of 29 March 2011, Manpower France et al., no. 10-12.913; see also decisions no. 04-D-42, cited above, paragraph 12, and no. 11-D-07, cited above, paragraph 113).  </w:t>
        <w:br/>
        <w:t xml:space="preserve">2. APPLICATION TO THE CASE AT HAND  </w:t>
        <w:br/>
        <w:t xml:space="preserve">a) Regarding Martinique Déménagements and SMDTE  </w:t>
        <w:br/>
        <w:t xml:space="preserve">40. It should be noted that, by minutes dated 21 July and 23 July 2014, the companies Martinique Déménagements and SMDTE committed to not contest the grievances that were notified to them, which was the case here.  </w:t>
        <w:br/>
        <w:t xml:space="preserve">41. Consequently, the grievances recalled in paragraph 32 above and relating to the practices described in paragraphs 15 to 31 above are established with respect to the companies Martinique Déménagements and SMDTE.  </w:t>
        <w:br/>
        <w:t xml:space="preserve">b) Regarding AGS Martinique  </w:t>
        <w:br/>
        <w:t xml:space="preserve">42. As the Authority has pointed out several times, the waiver to contest the grievances primarily aims to lighten and expedite the investigative work (decisions no. 07-D-21 of the Council of 26 June 2007 concerning practices implemented in the sector of linen rental and maintenance, paragraph 129, no. 08-D-13 of 11 June 2008 concerning practices identified in the sector of routine maintenance of premises, paragraph 99, and no. 09-D-05 of 2 February 2009 concerning practices implemented in the temporary work sector, paragraph 155).  </w:t>
        <w:br/>
        <w:t xml:space="preserve">43. Under paragraph 26 of the procedural notice of 10 February 2012 concerning the non-contestation of grievances, the general rapporteur is not obliged to respond favorably to a request for the implementation of III of Article L. 464-2 of the Commercial Code. The text of this provision indeed grants him a discretionary power allowing him to determine, on the one hand, whether this request concerns a case in which the implementation of the non-contestation procedure seems appropriate in light of the procedural economy described in the previous paragraph and, on the other hand, whether the request itself seems relevant.  </w:t>
        <w:br/>
        <w:t xml:space="preserve">44. According to paragraph 39 of the same notice, it is up to the college to ensure the regularity of the procedure prior to making its decision. It may thus be led, at the request of a company or an organization, to verify that the general rapporteur has not committed a manifest error in his assessment of the appropriateness of resorting or not to the non-contestation procedure regarding him, and, if applicable, to take into account proposals for commitments, of a manifest error affecting the amount of the financial penalty that may be imposed on him. If he believes that a request for the implementation of III of Article L. 464-2 has been rejected or has not succeeded for manifestly erroneous reasons, the college may either refer the matter back for investigation concerning the organization or company in question, so that its request can be re-examined by the investigative services, or decide itself on the follow-up it intends to give to it.  </w:t>
        <w:br/>
        <w:t xml:space="preserve">45. In the present case, AGS Martinique wished to benefit from the non-contestation procedure.  </w:t>
        <w:br/>
        <w:t xml:space="preserve">46. The investigative services did not respond favorably to this request on the grounds that Mobilitas, the parent company of AGS Martinique, did not join the request made by its subsidiary. They considered that the expected procedural gain from a non-contestation of grievances with AGS Martinique risked being rendered null and void if Mobilitas chose to contest not only its liability but also the reality of the practices, their qualification, or the individual participation of AGS Martinique.  </w:t>
        <w:br/>
        <w:t xml:space="preserve">47. However, since the notification of grievances is addressed to companies with distinct legal personalities, each of them must have the choice of its defense. Thus, any company must be free in its procedural choices, regardless of the defense choices made by its parent company.  </w:t>
        <w:br/>
        <w:t xml:space="preserve">48. Furthermore, even from the perspective of the procedural gain that could be expected from a non-contestation of grievances, no objective element justifies that AGS Martinique was in a substantially different situation from that of Martinique Déménagements and SMDTE, with which the investigative services agreed to sign a minutes of non-contestation of grievances.  </w:t>
        <w:br/>
        <w:t xml:space="preserve">49. It follows from the above that the investigative services could not reject AGS Martinique's request to benefit from the non-contestation procedure solely on the grounds that its parent company intended to make a different procedural choice.  </w:t>
        <w:br/>
        <w:t xml:space="preserve">50. However, the Authority notes that AGS Martinique did not contest the grievances that were notified to it and has also clearly and consistently reiterated its wish to benefit from the non-contestation procedure, even up to the hearing. Moreover, Mobilitas's contestation only sought to overturn the presumption that AGS Martinique would not be autonomous in the market and therefore did not challenge either the reality of the practices referred to in the notification of grievances or the qualification that was made of them.  </w:t>
        <w:br/>
        <w:t xml:space="preserve">51. Under these conditions, it is appropriate to allow AGS Martinique to benefit from the non-contestation procedure.  </w:t>
        <w:br/>
        <w:t xml:space="preserve">52. The grievances recalled in paragraph 32 above and relating to the practices described in paragraphs 15 to 31 above are therefore established with respect to the company AGS Martinique.  </w:t>
        <w:br/>
        <w:t xml:space="preserve">53. In light of all the above, it should be noted that in this case, the companies AGS Martinique, Martinique Déménagements, and SMDTE implemented an agreement whose object and effects were anti-competitive, with the companies thus solicited by their clients refraining from competing with each other by dividing the market, defined in the notification of grievances, for the relocations of military personnel assigned to Martinique.  </w:t>
        <w:br/>
        <w:t xml:space="preserve">B. ON THE ATTRIBUTION OF PRACTICES TO THE COMPANY MOBILITAS  </w:t>
        <w:br/>
        <w:t xml:space="preserve">1. ON THE APPLICABLE LAW  </w:t>
        <w:br/>
        <w:t xml:space="preserve">54. It follows from consistent case law that Articles L. 421-1 and L. 420-2 of the Commercial Code, and Articles 81 and 82 of the EC Treaty, now Articles 101 and 102 of the Treaty on the Functioning of the European Union (hereinafter, "TFEU"), target infringements committed by undertakings, understood as entities engaged in economic activity.  </w:t>
        <w:br/>
        <w:t xml:space="preserve">55. The Community judge has clarified that the concept of an undertaking, in this context, must be understood as referring to an economic unit, even if, from a legal point of view, this economic unit is composed of several natural or legal persons (see the judgments of the Court of Justice of 10 September 2009, Akzo Nobel et al./Commission, C-97/08, Rec. p. I-8237, point 55 and of 14 December 2006, Confederación Española de Empresarios de Estaciones de Servicio, C-217/05, Rec. p. I-11987, point 40).  </w:t>
        <w:br/>
        <w:t xml:space="preserve">56. It also follows from established European case law that it is this economic entity that must, when it has infringed competition law, be held liable for this infringement, in accordance with the principle of personal responsibility (see the judgment of 10 September 2009, Akzo Nobel et al./Commission, C-97/08, not yet published in the Rec., point 58, and case law cited under this point, points 56 and 57), "on which the competition law of the Union rests" (judgment of 20 January 2011, General Química SA, C-90/09, not yet published in the Rec., point 52).  </w:t>
        <w:br/>
        <w:t xml:space="preserve">57. Under both domestic law and Union law, within a group of companies, the behavior of a subsidiary can be attributed to the parent company, particularly when, although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These coherent judicial solutions are based on the fact that in the absence of autonomy of the subsidiary company with respect to the parent company, these two companies are part of the same economic unit and, therefore, form a single undertaking within the meaning of competition law.  </w:t>
        <w:br/>
        <w:t>58. National courts have thus ruled that practices implemented by a subsidiary company are attributable to it as long as it is able to define its own commercial, financial, and technical strategy, and to free itself from the hierarchical control of the company to which it is dependent (see the judgment of the Paris Court of Appeal of 25 March 2008, Cemex Bétons Sud-Est, not overturned on this point; Paris Court of Appeal of 26 June 2007, Guerlain, not overturned on this point, concerning sister companies, and the judgment of the Court of Cassation of 4 June 1996, Jean Lefebvre, concerning branches; see also, for a reminder of the decision-making practice of the Competition Authority on this point, decision no. 09-D-36 of 9 December 2009 concerning practices implemented by Orange Caraïbe and France Télécom in various markets for electronic communications services in the departments of Martinique, Guadeloupe, and Guyane, paragraphs 408 and following). Conversely, the Paris Court of Appeal has ruled that "the attribution of a subsidiary's practices to its parent company, which is only a faculty, may occur when the subsidiary does not autonomously determine its course of action in the market, but applies the instructions given to it by the parent company" (judgment of 28 October 2010, Maquet).</w:t>
      </w:r>
    </w:p>
    <w:p>
      <w:r>
        <w:rPr>
          <w:b/>
        </w:rPr>
        <w:t>[Pages 13–15]</w:t>
      </w:r>
    </w:p>
    <w:p>
      <w:r>
        <w:t>59. In Union law, case law has defined a specific burden of proof regime to assess the autonomy of a subsidiary in relation to its parent company concerning its behavior in the market. In the particular case where a parent company holds, directly or indirectly through an intermediary company, all or nearly all of the capital of its subsidiary that engages in infringing behavior, there is a simple presumption that the parent company exerts a decisive influence on the behavior of its subsidiary. It then falls to the parent company to rebut the presumption by providing evidence capable of demonstrating that its subsidiary autonomously determines its course of action in the market. If the presumption is not rebutted, the Commission will be able to hold the parent company jointly liable for the payment of the fine imposed on its subsidiary (see the aforementioned Akzo Nobel judgment, paragraphs 60 and 61 and cited case law, a solution confirmed by the aforementioned General Química SA judgment, paragraphs 39 and 40, see also paragraph 90 of the same judgment; judgment of the Tribunal of 30 September 2009, Arkema SA/Commission, not yet published in the Rec., paragraph 70).</w:t>
      </w:r>
    </w:p>
    <w:p>
      <w:r>
        <w:t>60. In this regard, it is not required to prove that a parent company was directly involved in, or was aware of, the incriminating behaviors in order to attribute the acts committed by its subsidiary to the parent company. As the Community judge points out: "it is not a relationship of instigation regarding the infringement between the parent company and its subsidiary nor, even more so, an implication of the former in the said infringement, but the fact that they constitute a single undertaking within the meaning of Article 81 EC that allows the Commission to address the decision imposing fines to the parent company of a group of companies (...)" (judgment of 27 October 2010, Alliance One International et al./Commission, T-24/05, Rec. 2010 p. II-5329, paragraph 169; in the same sense, judgment Akzo Nobel, paragraph 59).</w:t>
      </w:r>
    </w:p>
    <w:p>
      <w:r>
        <w:t>61. These principles, and in particular, the burden of proof regime established by European case law, are binding on the Competition Authority when it applies the provisions of Articles 81 and 82 EC, now Articles 101 and 102 TFEU. Indeed, the concept of an undertaking and the rules of attribution fall under the substantive rules of European competition law. The interpretation given by the Union courts therefore binds the national competition authority when it applies Union law, as well as the courts that oversee it (see in particular the judgment of the Paris Court of Appeal of 29 March 2012, Lacroix Signalisation et al., no. 2011/01228, pp. 18 to 20).</w:t>
      </w:r>
    </w:p>
    <w:p>
      <w:r>
        <w:t>62. Without excluding it, national courts have not yet had the opportunity to apply to date, when applying only domestic competition law, a burden of proof regime based on the existence of a simple presumption of a parent company exercising a decisive influence on the behavior of its subsidiary in cases where it holds all or nearly all of its capital (see the judgment of the Paris Court of Appeal of 23 September 2010, Digicel).</w:t>
      </w:r>
    </w:p>
    <w:p>
      <w:r>
        <w:t>63. However, as this is a substantive rule, it is necessary to ensure the implementation of homogeneous attribution rules and, in particular, a single standard of proof, when the Authority applies only domestic competition law or when it simultaneously applies domestic law and Union law (see decisions no. 11-D-02 of 26 January 2011 concerning practices implemented in the sector of the restoration of historical monuments, paragraph 597, and no. 11-D-13 of 5 October 2011 concerning practices identified in the sectors of electrification and electrical installation in the Midi-Pyrénées, Languedoc-Roussillon, Auvergne regions and neighboring areas, paragraph 352, which have become definitive on this point).</w:t>
      </w:r>
    </w:p>
    <w:p>
      <w:r>
        <w:t>64. Thus, even when applying only the provisions of domestic law, the Authority is entitled, in a case such as the present one, where a parent company holds all or nearly all of the capital of its subsidiary that engages in infringing behavior, to presume the exercise by the parent company of a decisive influence on the commercial policy of its subsidiary, and to hold it jointly liable for the payment of the fine imposed on its subsidiary. This presumption can then be challenged by the companies, which have the opportunity to present any evidence capable of demonstrating that their subsidiary behaves autonomously in the market.</w:t>
      </w:r>
    </w:p>
    <w:p>
      <w:r>
        <w:t>2. ASSESSMENT IN THE PRESENT CASE</w:t>
      </w:r>
    </w:p>
    <w:p>
      <w:r>
        <w:t>65. The company Mobilitas argues, in order to rebut the presumption, that the practices in dispute cannot be attributed to it since its subsidiary AGS Martinique would have total autonomy in the military relocation market. To justify this autonomy, Mobilitas puts forward the following arguments.</w:t>
        <w:br/>
        <w:t>- The companies Mobilitas and AGS Martinique do not have the same corporate purpose, the same APE code, nor the same corporate form. Indeed, "Mobilitas is a holding company whose exclusive purpose is to hold shares in any industrial or commercial company while AGS Martinique's purpose is the international relocation activities of individuals and businesses, archiving, and storage" (reference no. 1936);</w:t>
        <w:br/>
        <w:t>- The companies Mobilitas and AGS Martinique do not have the same management. The manager of the latter has "the broadest powers to act on behalf of the company and to carry out and authorize all acts and operations within the limits of the corporate purpose" (reference no. 1936);</w:t>
        <w:br/>
        <w:t>- The link that unites the companies AGS Martinique and Mobilitas is "exclusively capitalistic." Thus, "the only intervention of the company Mobilitas consists of approving annually the accounts of the company AGS Martinique, without any strategic, commercial, organizational, or logistical decisions being on the agenda or discussed" (reference no. 1937).</w:t>
      </w:r>
    </w:p>
    <w:p>
      <w:r>
        <w:t>66. However, the arguments put forward by Mobilitas do not appear to be sufficient to rebut the presumption in light of the case law on the one hand and the decision-making practice of the Authority on the other.</w:t>
      </w:r>
    </w:p>
    <w:p>
      <w:r>
        <w:t>67. First of all, as the Authority recalled in its decision no. 13-D-12 concerning practices implemented in the sector of the marketing of chemical commodities (paragraph 848), the circumstance that a parent company behaves only as a holding company does not suffice to rebut the presumption of attribution, because "even assuming that the applicants were only non-operational holdings, this alone would not be sufficient to exclude that they exercised a decisive influence on Arkema, notably by coordinating financial investments within the group. Indeed, in the context of a group of companies, a holding company is a company intended to group shares in various companies and whose function is to ensure unified management" (see, in this sense, judgment of the Tribunal of 8 October 2008, Schunk and Schunk Kohlenstoff-Technik/Commission, T-69/04, Rec. p. II-2567, paragraph 63) (judgment of the Union Tribunal of 14 July 2011, Total and Elf Aquitaine/Commission, T-190/06, paragraph 68).</w:t>
      </w:r>
    </w:p>
    <w:p>
      <w:r>
        <w:t>68. Next, the absence of overlapping management between the parent company and the subsidiary does not constitute a sufficient indication to demonstrate the autonomy of the subsidiary (judgment of the Union Tribunal of 14 July 2011, Total and Elf Aquitaine/Commission, cited above, paragraph 65, decision no. 13-D-12, cited above, paragraph 850).</w:t>
      </w:r>
    </w:p>
    <w:p>
      <w:r>
        <w:t>69. Finally, the circumstance that the parent company and its subsidiary are active in distinct markets is not relevant (judgment of the Tribunal of 14 July 2011, Total and Elf Aquitaine/Commission, cited above, paragraph 71). Moreover, given that this is not a relationship of instigation regarding the infringement between the parent company and its subsidiary, it is irrelevant whether the parent company did not encourage its subsidiary to commit an infringement or whether it was not directly involved in such an infringement (judgments of the Tribunal of 30 April 2009, Itochu/Commission, T-12/03, Rec. p. II-909, paragraph 58, and of 27 October 2010, Alliance One International et al./Commission, cited above, paragraph 127, decision no. 12-D-10 of 20 March 2012 concerning practices implemented in the dog and cat food sector, paragraphs 225 to 232 and decision no. 13-D-12, cited above, paragraph 852).</w:t>
      </w:r>
    </w:p>
    <w:p>
      <w:r>
        <w:t>70. Therefore, the presumption of lack of autonomy of AGS Martinique in relation to Mobilitas is not rebutted.</w:t>
      </w:r>
    </w:p>
    <w:p>
      <w:r>
        <w:t>C. ON SANCTIONS</w:t>
      </w:r>
    </w:p>
    <w:p>
      <w:r>
        <w:t>71. Article L. 464-2 of the Commercial Code empowers the Authority to impose financial sanctions on companies and organizations that engage in anti-competitive practices prohibited by Articles L. 420-1 and L. 420-2 of the Commercial Code.</w:t>
      </w:r>
    </w:p>
    <w:p>
      <w:r>
        <w:t>72. According to the fourth paragraph of Article L. 464-2, "if the offender is not a company, the maximum amount of the sanction is 3 million euros. The maximum amount of the sanction for a company is 10% of the highest amount of worldwide turnover excluding taxes during one of the financial years ending since the financial year preceding that in which the practices were implemented. If the accounts of the company concerned have been consolidated or combined under the applicable texts to its corporate form, the turnover taken into account is that appearing in the consolidated or combined accounts of the consolidating or combining company."</w:t>
      </w:r>
    </w:p>
    <w:p>
      <w:r>
        <w:t>73. Furthermore, the third paragraph of Article L. 464-2 provides that "financial sanctions are proportionate to the seriousness of the facts alleged, the importance of the damage caused to the economy, the individual situation of the sanctioned organization or company and the possible repetition of practices prohibited by [Title VI of Book IV of the Commercial Code]. They are determined individually for each sanctioned company or organization and reasoned for each sanction."</w:t>
      </w:r>
    </w:p>
    <w:p>
      <w:r>
        <w:t>74. In this case, these legal criteria will be assessed according to the practical modalities described in the press release of 16 May 2011 concerning the method of determining financial sanctions.</w:t>
      </w:r>
    </w:p>
    <w:p>
      <w:r>
        <w:t>75. Each of the companies involved in this case has been given the opportunity to make observations on the main elements of law and fact in the file that may, according to the investigation services, influence the determination of the sanction that may be imposed on it. The presentation of these various elements by the investigation services does not prejudge the assessment of the college on the determinants of the sanction, which is solely within its deliberation.</w:t>
      </w:r>
    </w:p>
    <w:p>
      <w:r>
        <w:rPr>
          <w:b/>
        </w:rPr>
        <w:t>[Pages 16–18]</w:t>
      </w:r>
    </w:p>
    <w:p>
      <w:r>
        <w:t>76. Furthermore, in the case of the companies Martinique Déménagements, SMDTE, and AGS Martinique, the provisions of III of Article L. 464-2 of the Commercial Code shall apply, which states that “[w]hen an organization or a company does not contest the reality of the grievances notified to it, the general rapporteur may propose to the Competition Authority, which hears the parties and the Government Commissioner without prior establishment of a report, to impose the monetary sanction provided for in I, taking into account the absence of contestation. In this case, the maximum amount of the sanction incurred is reduced by half. When the company or organization also commits to modifying its behavior for the future, the general rapporteur may propose to the Competition Authority to take this into account as well in determining the amount of the sanction.”</w:t>
      </w:r>
    </w:p>
    <w:p>
      <w:r>
        <w:t>77. Moreover, Article L. 464-5 of the Commercial Code provides that the Authority may, when implementing the simplified procedure provided for in Article L. 463-3 of the Commercial Code, impose the sanctions provided for in I of Article L. 464-2 of this Code. However, the sanction may not exceed 750,000 euros for each of the perpetrators of the prohibited practices.</w:t>
      </w:r>
    </w:p>
    <w:p>
      <w:r>
        <w:t>78. It is therefore necessary to verify, at the conclusion of the determination of the sanctions imposed on each of the perpetrators of the practices in question, that none of them exceeds the legal maximum of 750,000 euros, that there is no need for a reduction by half (see, in this sense, the opinion of the Court of Cassation of 11 July 2005, no. 005-0006) or, in the event that it would be more favorable to one or another of the interested parties, the legal maximum of 10% of the highest amount of worldwide turnover excluding taxes achieved during one of the financial years closed since the financial year preceding that in which the practices were implemented, reduced by half in accordance with III of Article L. 464-2 of the Commercial Code.</w:t>
      </w:r>
    </w:p>
    <w:p>
      <w:r>
        <w:t>1. ON THE VALUE OF SALES</w:t>
      </w:r>
    </w:p>
    <w:p>
      <w:r>
        <w:t>79. The value of sales of all categories of products or services related to the offenses committed by the companies involved, during their last complete accounting year of participation in these offenses, is retained as the basis for their respective sanctions. Indeed, as indicated by the Authority in the aforementioned press release of 16 May 2011, in paragraph 23, “The value of these sales constitutes an appropriate and objective reference for determining the base amount of the monetary sanction, as it allows for the proportionality of the basis on a case-by-case basis to the economic magnitude of the offense or offenses in question, on the one hand, and to the relative weight, on the sectors or markets concerned, of each company or organization that participated, on the other hand.”</w:t>
      </w:r>
    </w:p>
    <w:p>
      <w:r>
        <w:t>80. Certainly, the Commercial Code, by not referring to the turnover related to the sector or market in question, but only to the consolidated or combined worldwide turnover, does not require the Authority to proceed in this manner (judgment of the Court of Cassation of 13 May 1997, Société française de transports Gondrand frères, no. 95-16378). Nevertheless, this parameter generally constitutes an appropriate and objective reference allowing for the proportionality of the basis of the sanction to the economic reality of the offense in question, and more precisely to its magnitude as well as to the relative weight on the concerned sector of each of the companies that participated (see, in this sense, judgment of the Paris Court of Appeal of 11 October 2012, Entreprise H. Chevalier Nord et al., no. 2011/03298, p. 72; see also judgment of the Paris Court of Appeal of 29 March 2012, Lacroix Signalisation et al., no. 2011/01228, pp. 37 and 38), as also evidenced by the consistent case law of the Union courts (judgments of the Court of Justice of 7 June 1983, Musique diffusion française/Commission, 100/80, Rec. p. 1825, points 119 to 121, of 3 September 2009, Papierfabrik August Koehler et al./Commission, C-322/07 P, C-327/07 P and C-338/07 P, Rec. p. I-7191, point 114).</w:t>
      </w:r>
    </w:p>
    <w:p>
      <w:r>
        <w:t>81. Furthermore, while the Authority may impose multiple sanctions on each company or organization involved in the event that, as is the case here, the interested party has committed multiple offenses (judgment of the Court of Cassation of 29 June 2007, Bouygues Télécom et al., no. 07-10303, 07-10354 and 07-10397), it is also free, given the connection of the sectors or markets involved, on the one hand, and the general purpose of the practices, on the other hand, to impose a single sanction for multiple offenses committed by the same company or organization (see judgments of the Court of Cassation of 22 November 2005, Dexxon Data Media et al., no. 04-19102, and of the Paris Court of Appeal of 28 January 2009, EPSE Joué Club et al., no. 2008/00255, p. 20). For this purpose, it may consider, as the basis, only one and the same value of sales, in relation to all the practices in question.</w:t>
      </w:r>
    </w:p>
    <w:p>
      <w:r>
        <w:t>82. In this case, regarding the company AGS Martinique, which was notified of the two grievances concerning two identical offenses, only one and the same value of sales should be considered as the basis.</w:t>
      </w:r>
    </w:p>
    <w:p>
      <w:r>
        <w:t>83. The categories of services to be taken into account for this purpose are those concerned by the alleged practices.</w:t>
      </w:r>
    </w:p>
    <w:p>
      <w:r>
        <w:t>84. Given the individual participation of Martinique Déménagements in the offense, as referred to in grievance no. 1 and noted above in paragraphs 17 to 19, the last complete accounting year retained to determine this value of sales will be the year 2011.</w:t>
      </w:r>
    </w:p>
    <w:p>
      <w:r>
        <w:t>85. Regarding the company SMDTE, the offense, as referred to in grievance no. 2 and noted above in paragraphs 20 to 24, occurred over one year during part of the year 2011 and part of the year 2012: the notion of the last complete accounting year of participation in the offense is therefore not relevant. Since the offense began on 7 June 2011 and ended on 4 June 2012, it is appropriate to retain, in this case, an average of the values of sales generated for the years 2011 and 2012, which constitutes a representative reference of the annual activity of SMDTE for the services related to the offense.</w:t>
      </w:r>
    </w:p>
    <w:p>
      <w:r>
        <w:t>86. Given the individual participation of the company AGS Martinique in the offenses, as referred to in the two notified grievances, the last complete accounting year retained to determine the value of sales will be the year 2011.</w:t>
      </w:r>
    </w:p>
    <w:p>
      <w:r>
        <w:t>87. Considering the numerical data available to the Authority, the turnover figures for these years can be deemed representative of the annual activity of each of the companies for relocations related to the offenses during the period in which each of them individually participated in these offenses.</w:t>
      </w:r>
    </w:p>
    <w:p>
      <w:r>
        <w:t>88. In light of the preceding considerations, the table below summarizes the values of sales serving as the basis for the individual sanction of each of the companies:</w:t>
        <w:br/>
        <w:t>Value of sales of Martinique Déménagements (grievance no. 1) 692,621 euros</w:t>
        <w:br/>
        <w:t>Value of sales of AGS Martinique (grievance no. 1 and grievance no. 2) 538,972 euros</w:t>
        <w:br/>
        <w:t>Average value of sales of SMDTE (grievance no. 2) 322,405 euros</w:t>
      </w:r>
    </w:p>
    <w:p>
      <w:r>
        <w:t>2. ON THE DETERMINATION OF THE BASE AMOUNT</w:t>
      </w:r>
    </w:p>
    <w:p>
      <w:r>
        <w:t>89. In application of I of Article L. 464-2 of the Commercial Code, the base amount of the sanction imposed on each of the companies involved will be determined based on the severity of the facts and the extent of the damage caused to the economy, criteria that both relate to the established practices. The Authority's assessments in this regard will find a numerical translation in the choice of a proportion of the value of sales retained for each company involved, a process that, as indicated above, will allow for the proportionality of the basis of the sanction to the economic reality of the offenses, on the one hand, and to the relative weight on the concerned sector of each of the participants, on the other hand. A global assessment must be made of both the extent of the damage caused to the economy and the severity of the facts, before taking into account, in an individualized manner, the situation of each company and its personal contribution to the practices (judgment of the Paris Court of Appeal of 11 October 2012, cited above, p. 68).</w:t>
      </w:r>
    </w:p>
    <w:p>
      <w:r>
        <w:t>90. The duration of the practices, which constitutes a relevant factor for assessing both the severity of the facts (judgment of the Court of Cassation of 30 May 2012, Orange France, no. 11-22144) and the extent of the damage caused to the economy (judgment of the Court of Cassation of 12 July 2011, Lafarge ciments et al., no. 10-17482 and 10-17791), will be taken into account from this dual perspective according to the practical modalities described in the aforementioned press release of 16 May 2011.</w:t>
      </w:r>
    </w:p>
    <w:p>
      <w:r>
        <w:t>a) On the proportion of the value of sales</w:t>
      </w:r>
    </w:p>
    <w:p>
      <w:r>
        <w:t>On the severity of the facts</w:t>
      </w:r>
    </w:p>
    <w:p>
      <w:r>
        <w:t>91. All of the identified practices relate to an agreement between three moving companies which, through the exchange of information agreed upon by these three, led to the establishment, by each of them, of collusive estimates during the relocation services for military personnel assigned to Martinique, thereby thwarting any competition among them.</w:t>
      </w:r>
    </w:p>
    <w:p>
      <w:r>
        <w:t>92. The practices referred to in the grievances thus aimed to manipulate prices and allocate clients, instead of leaving these essential parameters of competition to the free discretion of each company, within the framework of an autonomous determination of its commercial policy and behavior in the market.</w:t>
      </w:r>
    </w:p>
    <w:p>
      <w:r>
        <w:t>93. To assess the severity of the facts, the Authority notably takes into account the following elements, depending on their relevance:</w:t>
        <w:br/>
        <w:t>- the nature of the offense or offenses in question and the facts retained to characterize it or them (agreement between competitors, which may itself take on a different degree of severity depending on whether it is, for example, a price cartel or a simple exchange of information; agreement between two actors in the same vertical chain, such as a practice of resale prices imposed by a supplier on distributors; abuse of a dominant position, whether it involves exclusionary abuse or exploitation), as well as the nature of the parameters of competition concerned (price, clientele, production, etc.) and, where applicable, their combination; these elements are of central importance in the case of anti-competitive practices expressly targeted by Articles L. 420-1 and L. 420-2 of the Commercial Code and Articles 101 and 102 of the TFEU, considering their intrinsic severity;</w:t>
      </w:r>
    </w:p>
    <w:p>
      <w:r>
        <w:rPr>
          <w:b/>
        </w:rPr>
        <w:t>[Pages 19–21]</w:t>
      </w:r>
    </w:p>
    <w:p>
      <w:r>
        <w:t xml:space="preserve">- the nature of the activities, sectors, or markets involved (public service activity, public market, sector recently opened to competition, etc.) and, if applicable, their combination;  </w:t>
        <w:br/>
        <w:t xml:space="preserve">- the nature of the persons likely to be affected (small and medium-sized enterprises [SMEs], vulnerable consumers, etc.); and  </w:t>
        <w:br/>
        <w:t>- the objective characteristics of the offense or offenses (whether secret or not, degree of sophistication, existence of policing mechanisms or retaliatory measures, circumvention of legislation, etc.).</w:t>
      </w:r>
    </w:p>
    <w:p>
      <w:r>
        <w:t>94. In the present case, it is appropriate to successively discuss the nature of the offenses involved, the nature of the sector and services concerned, and the concrete characteristics of these practices.</w:t>
      </w:r>
    </w:p>
    <w:p>
      <w:r>
        <w:t>95. Regarding first the nature of the offenses in question, it should be recalled that the Competition Council has considered, in all previous decisions concerning identical practices, that the use of cover estimates constitutes a serious practice that aims to and may have the effect of undermining the process of competition among companies (see for example decision no. 99-D-50, p. 16).</w:t>
      </w:r>
    </w:p>
    <w:p>
      <w:r>
        <w:t>96. Concerning secondly the situation of the sector in which the practices occurred, it should be noted that military personnel are civil servants who, by statute, are regularly required to change assignments. The relocation costs that these changes of assignment entail, because they are reimbursed by the administration, weigh heavily on the state budget, particularly when these relocations occur from or to overseas departments.</w:t>
      </w:r>
    </w:p>
    <w:p>
      <w:r>
        <w:t>97. Furthermore, the fact that the agreement relies on specific regulations is likely to increase its severity (see in this sense decision no. 11-D-17 of December 8, 2011, concerning practices implemented in the laundry sector).</w:t>
      </w:r>
    </w:p>
    <w:p>
      <w:r>
        <w:t>98. Thus, the Competition Council considered, in its decision no. 94-D-51 of October 4, 1994, regarding the competitive situation in the relocation sector, that "the seriousness of cover estimate practices is all the more significant as they aimed to undermine regulations designed to promote competition." Similarly, the Paris Court of Appeal, in its judgment of May 11, 2010, on the appeal against decision no. 09-D-19, confirming the position already taken in its judgment of February 25, 2009, on the appeal against decision no. 07-D-48, ruled that "the practice of complacent estimates was serious because it undermined the competition process desired by the military administration, which is the final client, paying for the relocation service with public funds."</w:t>
      </w:r>
    </w:p>
    <w:p>
      <w:r>
        <w:t>99. By distorting through their complacent estimates the competition process required for the relocation of military personnel assigned to Martinique, the companies AGS Martinique, Martinique Déménagements, and SMDTE not only violated Article L. 420-1 of the Commercial Code but are also responsible for a misappropriation of public funds by seeking to undermine a regulation, which increases the severity of the practices in question.</w:t>
      </w:r>
    </w:p>
    <w:p>
      <w:r>
        <w:t>100. Finally, regarding the concrete characteristics of the practice, it should be noted that the companies involved could not ignore the prohibited nature and seriousness of the complacent estimate practice, particularly in light of the abundance of decision-making practice and case law regarding military relocations. The Competition Council and the Paris Court of Appeal have indeed ruled several times since 1992, on the one hand, on identical or similar practices in the relocation of military personnel or civil servants (see in particular decisions nos. 92-D-36, 92-D-37, 97-D-61, 99-D-50, 01-D-63, 02-D-62, 09-D-19 and the judgments of the Paris Court of Appeal on these decisions) and, on the other hand, on complacent estimates in the relocation sector (see in particular decisions nos. 94-D-19, 94-D-51 and 07-D-48). The Competition Council has also ordered the publication of some of these decisions in appropriate newspapers, including France Antilles, which is published in Martinique.</w:t>
      </w:r>
    </w:p>
    <w:p>
      <w:r>
        <w:t>101. Moreover, AGS Martinique and Martinique Déménagements have already been condemned in the case that led to decision no. 92-D-36, respectively for collusion in the relocation sector of civil servants of the D.G.I and the P.T.T. and for collusion in the military relocation sector, and thus were fully aware of the applicable competition rules.</w:t>
      </w:r>
    </w:p>
    <w:p>
      <w:r>
        <w:t>102. The companies SMDTE and AGS Martinique, however, emphasize that the practice of complacent estimates, long implemented by all relocation companies, is known to all, including "within the military management offices whose role is to inform and assist military personnel in their mobility to a new assignment" (reference no. 1993), which should mitigate its severity.</w:t>
      </w:r>
    </w:p>
    <w:p>
      <w:r>
        <w:t>103. However, while it is not excluded that, in certain circumstances, a national legal framework or behavior of national authorities may constitute mitigating circumstances, the approval or tolerance of the offense by the administration cannot be taken into consideration when the companies involved have the necessary means to obtain precise and correct legal information or when there is an abundance of decision-making and/or case law on identical or similar cases, as is the case here. The companies involved could therefore not ignore that their behavior was contrary to competition rules.</w:t>
      </w:r>
    </w:p>
    <w:p>
      <w:r>
        <w:t>104. The offense in question thus aimed, by its very nature, to manipulate essential parameters of competition in the targeted sector. It constitutes one of the serious offenses against competition rules, as it can only aim to confiscate, to the benefit of the authors of the offense, the benefits that consumers and the military administration are entitled to expect from a competitive functioning of the economy. These practices are all the more serious as they simultaneously concerned several key parameters of the competitive game.</w:t>
      </w:r>
    </w:p>
    <w:p>
      <w:r>
        <w:t>On the importance of the damage caused to the economy</w:t>
      </w:r>
    </w:p>
    <w:p>
      <w:r>
        <w:t>105. It is established case law that the importance of the damage caused to the economy is assessed globally for the practices in question, that is to say, in light of the cumulative action of all participants, without the need to identify the share attributable to each of them taken separately (judgments of the Court of Cassation of February 18, 2004, CERP et al., no. 02-11754 and of October 21, 2014, nos. Q 13-16.602 et al., and of the Paris Court of Appeal of September 17, 2008, Agricultural Cooperative L’ardéchoise, no. 2007/10371, p. 6).</w:t>
      </w:r>
    </w:p>
    <w:p>
      <w:r>
        <w:t>106. This legal criterion is not to be confused with the harm that victims of the practices in question may have suffered, but is assessed in light of the general disruption they are likely to cause to the economy (see, for example, judgment of the Paris Court of Appeal of October 8, 2008, SNEF, no. 2007/18040, p. 4).</w:t>
      </w:r>
    </w:p>
    <w:p>
      <w:r>
        <w:t>107. According to well-established case law, it is necessary to take into account, in assessing the economic impact of the practice in question, the scale of the offense, its duration, its conjunctural or structural consequences, as well as the relevant economic characteristics of the sector or market concerned (see, for example, judgments of the Paris Court of Appeal of June 30, 2011, cited above, p. 5 and of January 26, 2012, cited above, p. 89; see also, in this sense, judgment of the Court of Cassation of May 30, 2012, cited above). Both the proven and potential effects of the practice may be taken into consideration in this regard (see, in this sense, judgment of the Court of Cassation of June 28, 2005, Novartis Pharma, no. 04-13910).</w:t>
      </w:r>
    </w:p>
    <w:p>
      <w:r>
        <w:t>108. In this case, it is appropriate, first, to examine the scale of the practices.</w:t>
      </w:r>
    </w:p>
    <w:p>
      <w:r>
        <w:t>109. While the importance of the damage to the economy cannot be mitigated by the local dimension of the market in question, the amount of the market concerned may be taken into consideration to measure the scale of the practices (see judgment of the Court of Cassation of October 21, 2014, cited above).</w:t>
      </w:r>
    </w:p>
    <w:p>
      <w:r>
        <w:t>110. As the Competition Council recalled in its aforementioned decision no. 07-D-48, in relocation cases, "the damage to the economy also depends on the number of relocations in which a cover estimate practice has been observed, as well as the amount of the concerned operations."</w:t>
      </w:r>
    </w:p>
    <w:p>
      <w:r>
        <w:t>111. Given the relatively low amounts of the estimates in question, the scale of the practices attributed to the companies AGS Martinique, Martinique Déménagements, and SMDTE remains limited.</w:t>
      </w:r>
    </w:p>
    <w:p>
      <w:r>
        <w:t>112. Secondly, in order to assess the importance of the damage caused to the economy, it is appropriate to take into account the objective economic characteristics of the sector in question, to the extent that these are likely to influence the conjunctural or structural consequences of the practices.</w:t>
      </w:r>
    </w:p>
    <w:p>
      <w:r>
        <w:t>113. Faced with a captive clientele confronted with the necessity of reaching their new assignment by a duly set date and in the presence of an administration primarily concerned with the proper functioning of military personnel movements, professionals can easily, through the production of cover estimates, implement practices that limit the exercise of competition and obstruct price setting by the free play of the market. It should be noted that the relocations of military personnel from the army and the gendarmerie provide the concerned relocation professionals with a double guarantee of a regular flow of orders and a certainty of payment for these services.</w:t>
      </w:r>
    </w:p>
    <w:p>
      <w:r>
        <w:t>114. Thirdly, the conjunctural and structural consequences of the practices may also be taken into account in assessing the importance of the damage caused to the economy.</w:t>
      </w:r>
    </w:p>
    <w:p>
      <w:r>
        <w:t>115. It should be recalled that the practice of complacent estimates has the effect of leading to an artificial market allocation among companies and obstructing price setting by the free play of competition. In this regard, in its aforementioned judgment of February 25, 2009, concerning the decision of the Competition Council no. 07-D-48, the Paris Court of Appeal indicated that the damage to the economy results in particular from the fact that complacent estimate practices "lead to a market allocation, but also cause an artificial increase in prices that are not established by reference to the reality of costs."</w:t>
      </w:r>
    </w:p>
    <w:p>
      <w:r>
        <w:t>116. Thus, in its judgment of June 17, 2003, on the decision of the Council no. 02-D-62 of September 27, 2002, concerning practices identified in the relocation sector of personnel of the national navy in Brittany, the Paris Court of Appeal observed "regarding the damage to the economy, that the systematization of collusions aimed at</w:t>
      </w:r>
    </w:p>
    <w:p>
      <w:r>
        <w:rPr>
          <w:b/>
        </w:rPr>
        <w:t>[Pages 22–24]</w:t>
      </w:r>
    </w:p>
    <w:p>
      <w:r>
        <w:t>align the price of relocation services for military personnel to the upper limit of reimbursement by the administration as provided by the texts necessarily had the effect of artificially raising these prices, thereby causing additional costs borne by the community, even if the extent of this has not been measured."</w:t>
      </w:r>
    </w:p>
    <w:p>
      <w:r>
        <w:t>117. The quantitative significance of the economic impact of the practices is difficult to grasp. Nevertheless, as a parameter for the sanction that may be imposed on the perpetrator of an anticompetitive practice, the damage to the economy resulting from these practices does not require precise quantification. Indeed, Article L. 464-2 of the Commercial Code only refers to the "significance" of the damage to the economy.</w:t>
      </w:r>
    </w:p>
    <w:p>
      <w:r>
        <w:t>118. In a judgment of January 24, 1995 (AGS Armorique et al.), the Court of Cassation approved the Court of Appeal's finding that during the period from 1988 to 1991, the incriminated practices (of collusive estimates) of an old origin had prevented the normal functioning of competition through prices for the relocations of sailors of the national navy. It considered that the Court of Appeal therefore did not need to investigate what influence these practices had on the price of relocations.</w:t>
      </w:r>
    </w:p>
    <w:p>
      <w:r>
        <w:t>119. Finally, it is appropriate to take into account the more general impact of the observed practices on the economy.</w:t>
      </w:r>
    </w:p>
    <w:p>
      <w:r>
        <w:t>120. The significance of the damage to the economy cannot be reduced to direct and monetary consequences alone. Indeed, it follows from consistent case law regarding anticompetitive agreements in markets subject to competition that the damage caused to the economy by these practices is independent of the damage suffered by the buyer and is assessed based on the direct hindrance to the free play of competition, particularly in terms of the unfortunate example value they may have: "the damage to the economy referred to in the above provisions of Article L. 462-4 of the Commercial Code is not limited to the harm potentially suffered by the principal and is assessed based on the general disruption caused to the normal functioning of markets by the practices in question, which is characterized, in this case, by the disorder resulting from the discovery of two identical offers presented by seemingly competing companies" (judgment of the Paris Court of Appeal of October 8, 2008, concerning Council decision No. 07-D-29 of September 26, 2007, SNEF).</w:t>
      </w:r>
    </w:p>
    <w:p>
      <w:r>
        <w:t>121. The company AGS Martinique, however, considers that the damage to the economy is not characterized given that, in all the relocations concerned by collusive estimates revealed by the investigation, the lower bid is systematically below the ceiling set by the military administration, which should be considered as "the fair price it deems necessary to pay for a relocation" (see references Nos. 1990 and 1991).</w:t>
      </w:r>
    </w:p>
    <w:p>
      <w:r>
        <w:t>122. But effective competition requires that market players set prices based on the reality of their costs and not on a ceiling set by the administration.</w:t>
      </w:r>
    </w:p>
    <w:p>
      <w:r>
        <w:t>123. Indeed, as explained above, the reimbursement of the actual expenses incurred by military personnel, within the limit of a ceiling, is conditional upon the provision of two estimates to the military administration and the choice of the lower of the two. It follows that the commercial relationship is established directly between the relocation company and the military personnel, with the administration's intervention limited to the reimbursement of expenses, within the two limits previously outlined. Consequently, the fact that the price paid to the companies by the concerned agents is ultimately reimbursed by the State does not in any way eliminate all price competition, whereas the reimbursement system established by the aforementioned military administration expressly aims to allow the administration, which bears the cost of the service, to ensure that the beneficiary has engaged in price competition among a minimum number of providers.</w:t>
      </w:r>
    </w:p>
    <w:p>
      <w:r>
        <w:t>124. Thus, the reimbursement ceilings provided by the texts do not constitute pricing, but an upper limit below which the requirement to produce multiple estimates aims to foster price competition.</w:t>
      </w:r>
    </w:p>
    <w:p>
      <w:r>
        <w:t>125. Consequently, the damage to the economy is, in the present case, certain, but limited.</w:t>
      </w:r>
    </w:p>
    <w:p>
      <w:r>
        <w:t>Conclusion on the proportion of the value of sales</w:t>
      </w:r>
    </w:p>
    <w:p>
      <w:r>
        <w:t>126. Given the assessment made above regarding the seriousness of the facts and the significance of the damage caused to the economy, it is appropriate to retain, for determining the base amount of the sanction imposed on the companies involved, a proportion of 12% of the value of their sales.</w:t>
      </w:r>
    </w:p>
    <w:p>
      <w:r>
        <w:t>b) On the duration of the practices</w:t>
      </w:r>
    </w:p>
    <w:p>
      <w:r>
        <w:t>127. As previously indicated, the duration of an infringement of competition rules is a factor that should be taken into account in assessing both the seriousness of the facts and the significance of the damage caused to the economy. Indeed, the longer such an infringement lasts, the more substantial and persistent the harm it causes to the functioning of the sector or market in question, and more generally to the economy, can be. The Union's case law on this point also notes that "[i]f an agreement fixes the state of the market at the time it is concluded, its long duration may rigidify the structures [...]. The return to a state of free competition will be all the more difficult and lengthy the longer the agreement itself has lasted" (judgment of the Court of Justice of December 8, 2011, KME Germany et al./Commission, case C-389/10 P, Rec. p. I-13125, point 75).</w:t>
      </w:r>
    </w:p>
    <w:p>
      <w:r>
        <w:t>128. In cases of infringements that have lasted more than one year, the Authority has committed to taking their duration into account according to the following practical modalities: the proportion retained, to give a quantified translation to the seriousness of the facts and the significance of the damage caused to the economy, is applied once, for the first complete year of implementation of the behavior in question, to the reference sales value, then to half of that value, for each of the subsequent complete years of implementation. Beyond this last complete year, the remaining period is taken into account on a monthly basis, to the extent that the elements of the file allow it.</w:t>
      </w:r>
    </w:p>
    <w:p>
      <w:r>
        <w:t>129. In each specific case, this method results in a multiplier coefficient, defined proportionally to the individual duration of participation of each of the companies in the practices and applied to the proportion of the sales value made by each of them during the accounting year retained as a reference.</w:t>
      </w:r>
    </w:p>
    <w:p>
      <w:r>
        <w:t>130. In the present case, the practice referred to in grievance No. 1 began on June 24, 2009, and continued until May 30, 2012, for a total duration of two years and eleven months.</w:t>
      </w:r>
    </w:p>
    <w:p>
      <w:r>
        <w:t>131. The practice referred to in grievance No. 2, which began on June 7, 2011, and continued until June 4, 2012, should be set at one year, which is not contested.</w:t>
      </w:r>
    </w:p>
    <w:p>
      <w:r>
        <w:t>132. Regarding the company AGS Martinique, which is targeted by both grievances, it is appropriate to retain a duration coefficient reflecting the cumulative duration of each grievance. Thus, a single sanction may be imposed on it for both grievances.</w:t>
      </w:r>
    </w:p>
    <w:p>
      <w:r>
        <w:t>133. The table below summarizes the duration of the implementation of the practices by the concerned companies and the corresponding multiplier factor:</w:t>
      </w:r>
    </w:p>
    <w:p>
      <w:r>
        <w:t>Multiplier Coefficient</w:t>
        <w:br/>
        <w:t>Company Applicable Duration</w:t>
        <w:br/>
        <w:t>Martinique Relocations 2 years and 11 months 1.95 (grievance No. 1)</w:t>
        <w:br/>
        <w:t>SMDTE 1 year 1 (grievance No. 2)</w:t>
        <w:br/>
        <w:t>AGS Martinique 3 years and 11 months 2.45 (grievances Nos. 1 and 2)</w:t>
      </w:r>
    </w:p>
    <w:p>
      <w:r>
        <w:t>c) Conclusion on the determination of the base amount</w:t>
      </w:r>
    </w:p>
    <w:p>
      <w:r>
        <w:t>134. It follows from all of the above that, in light of the seriousness of the facts and the significance of the damage caused to the economy by the practices in question, the base amount of the financial sanction determined in proportion to the sales related to the marketing of the services in connection with the infringements committed by the companies involved, on the one hand, and the duration of the practices, on the other hand, is as follows:</w:t>
      </w:r>
    </w:p>
    <w:p>
      <w:r>
        <w:t>Company Base Amount (in euros)</w:t>
        <w:br/>
        <w:t>Martinique Relocations 162,144</w:t>
        <w:br/>
        <w:t>SMDTE 38,689</w:t>
        <w:br/>
        <w:t>AGS Martinique 158,458</w:t>
        <w:br/>
        <w:t>TOTAL 359,290</w:t>
      </w:r>
    </w:p>
    <w:p>
      <w:r>
        <w:t>3. ON THE INDIVIDUALIZATION OF SANCTIONS</w:t>
      </w:r>
    </w:p>
    <w:p>
      <w:r>
        <w:t>135. The Authority then committed to adapting the base amounts retained above in light of the legal criterion concerning the individual situation of each of the parties involved, whether they are organizations or companies, belonging, where applicable, to larger groups.</w:t>
      </w:r>
    </w:p>
    <w:p>
      <w:r>
        <w:t>136. To this end, and depending on the specific elements of each case, it may take into account various mitigating or aggravating circumstances characterizing the behavior of each company in the context of the implementation of the infringements in question, as well as other relevant objective elements relating to its individual situation.</w:t>
      </w:r>
    </w:p>
    <w:p>
      <w:r>
        <w:rPr>
          <w:b/>
        </w:rPr>
        <w:t>[Pages 25–27]</w:t>
      </w:r>
    </w:p>
    <w:p>
      <w:r>
        <w:t xml:space="preserve">This consideration may lead to an adjustment of the sanction both upwards and downwards.  </w:t>
        <w:br/>
        <w:t xml:space="preserve">a) On mitigating or aggravating circumstances  </w:t>
        <w:br/>
        <w:t xml:space="preserve">137. Martinique Déménagements believes that two mitigating circumstances should be taken into account in its favor:  </w:t>
        <w:br/>
        <w:t xml:space="preserve">- being small in size, it does not hold a leadership position either in the relocation market in Martinique or for the practices alleged;  </w:t>
        <w:br/>
        <w:t xml:space="preserve">- the existence of a favorable framework for the alleged practices.  </w:t>
        <w:br/>
        <w:t xml:space="preserve">138. However, paragraph 45 of the aforementioned press release dated May 16, 2011 does not reference the size of the company as a mitigating circumstance. The fact that a company holds a leadership position constitutes, according to paragraph 46 of the same press release, an aggravating circumstance, from which the existence of a mitigating circumstance related to the small size of a company cannot be inferred.  </w:t>
        <w:br/>
        <w:t xml:space="preserve">139. Paragraph 45 considers that a mitigating circumstance is the fact that "the infringement was authorized or encouraged by public authorities." This is not the case here. While the legal framework for reimbursement of actual costs for military relocations, within a limit, may have facilitated collusion among companies in the sector, it cannot be considered that it "authorized" or "encouraged" it. On the contrary, such a practice goes against the objective pursued by the military administration.  </w:t>
        <w:br/>
        <w:t xml:space="preserve">140. In the present case, the elements of the file do not reveal any specific elements related to the situation or individual behavior of the authors of the practices that would be likely to increase or decrease their respective sanctions, subject to the implementation of III and IV of Article L. 464-2 of the Commercial Code as well as the assessment of particular financial difficulties alleged by some of them, which will be examined later.  </w:t>
        <w:br/>
        <w:t xml:space="preserve">b) Other elements of individualization  </w:t>
        <w:br/>
        <w:t xml:space="preserve">141. The company Martinique Déménagements considers that the amount of the financial sanction should be reduced given that military relocations represent 50% of its activity and that it cooperated with the investigation services, particularly when its manager clarified the conditions of its participation in the alleged practices (reference no. 2050).  </w:t>
        <w:br/>
        <w:t xml:space="preserve">142. However, while paragraph 48 of the aforementioned press release dated May 16, 2011 allows the Authority to reduce the sanction to take into account the fact that the company concerned conducts most of its activity in the sector or market related to the infringement, it appears that 50% is not sufficient to constitute "most" of a company's activity.  </w:t>
        <w:br/>
        <w:t>143. Furthermore, cooperation with the investigation services is a legal obligation and cannot, as such, be considered a mitigating circumstance. Moreover, in this case, the manager merely confirmed to the investigators of the interregional competition investigation brigade what they had discovered through their seizures.</w:t>
      </w:r>
    </w:p>
    <w:p>
      <w:r>
        <w:t xml:space="preserve">4. ON FINAL ADJUSTMENTS  </w:t>
        <w:br/>
        <w:t xml:space="preserve">a) On verifying compliance with the legal maximum  </w:t>
        <w:br/>
        <w:t xml:space="preserve">144. In accordance with I of Article L. 464-2 of the Commercial Code, when the offender is a company, the maximum amount of the financial sanction is 10% of the highest worldwide turnover excluding taxes achieved during one of the fiscal years closed since the fiscal year preceding the one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  </w:t>
        <w:br/>
        <w:t xml:space="preserve">145. It is necessary to verify, at the end of determining the sanctions imposed on each of the authors of the practices in question, that each of them does not exceed the legal maximum of 750,000 euros, which should not be halved (see, in this sense, opinion of the Court of Cassation of July 11, 2005, no. 005-0006) or, in the event that it would be more favorable to one or the other of the interested parties, the legal maximum of 10% of the highest worldwide turnover excluding taxes achieved during one of the fiscal years closed since the fiscal year preceding the one in which the practices were implemented, reduced by half in application of III of Article L. 464-2 of the Commercial Code.  </w:t>
        <w:br/>
        <w:t xml:space="preserve">146. The ceilings retained for each of the companies are therefore as follows:  </w:t>
        <w:br/>
        <w:t xml:space="preserve">AGS Martinique 170,690 euros  </w:t>
        <w:br/>
        <w:t xml:space="preserve">Martinique Déménagements 85,968 euros  </w:t>
        <w:br/>
        <w:t xml:space="preserve">SMDTE 27,109 euros  </w:t>
        <w:br/>
        <w:t xml:space="preserve">147. AGS Martinique contests this ceiling (reference nos. 1994 and 1995) by arguing that the billing of a relocation service includes a very significant amount of expenses that correspond to costs incurred (port taxes, maritime freight, customs boarding, delivery to destination, insurance, etc.) on behalf of the client and for its account. It argues that, since these expenses are re-invoiced at their exact amount, they could not be assimilated to turnover since the company only acted as an intermediary in this transaction. According to AGS Martinique, these expenses would represent between 40 and 50% of the total invoice amount and, consequently, of the turnover (reference no. 2037). This is why it believes that the ceiling should be reduced by the amount of these expenses.  </w:t>
        <w:br/>
        <w:t xml:space="preserve">148. However, the Authority's practice, in accordance with the provisions of I of Article L. 464-2 of the Commercial Code, is to determine the amount of the financial sanction based on the amount of the highest worldwide turnover excluding taxes achieved during one of the closed fiscal years. Expenses are not deducted from the company's turnover for this calculation.  </w:t>
        <w:br/>
        <w:t xml:space="preserve">b) On taking into account the non-contestation of the grievances  </w:t>
        <w:br/>
        <w:t>149. III of Article L. 464-2 of the Commercial Code allows the general rapporteur to propose to the Authority to take into account, in the context of determining the sanction, the fact that a company or organization chooses not to contest the grievances that have been notified to it. The general rapporteur may also propose to take into account the fact that the interested party also commits to modifying its behavior for the future.</w:t>
      </w:r>
    </w:p>
    <w:p>
      <w:r>
        <w:t xml:space="preserve">150. In the present case, the companies involved chose to waive contesting the grievances that had been notified to them, with the exception of the parent company of one of them. The deputy general rapporteur responded to two of these requests with two minutes dated July 21 and 23, 2014, committing to propose a reduction of the sanction to the board. Regarding the company AGS Martinique, its request to benefit from the non-contestation procedure for the grievances was granted by the board.  </w:t>
        <w:br/>
        <w:t xml:space="preserve">151. The waiver to contest the grievances, which primarily serves to lighten and accelerate the investigation work, particularly by exempting the investigation services from drafting a report when it is the case for all the companies involved, can only lead to granting the interested parties a relatively limited reduction of the sanction. It is, where applicable, the nature and quality of the commitments presented that may allow for a more significant reduction of the sanction (decisions no. 07-D-21 of the Council of June 26, 2007 regarding practices implemented in the linen rental-maintenance sector, paragraph 129, no. 08-D-13 of June 11, 2008 regarding practices noted in the sector of routine maintenance of premises, point 99, and no. 09-D-05 of February 2, 2009 regarding practices implemented in the temporary work sector, paragraph 155).  </w:t>
        <w:br/>
        <w:t xml:space="preserve">152. The Authority's role, in this case, is primarily to ensure the credible, substantial, and verifiable nature of the proposed behavior modifications by the company to avoid future infringements of competition (judgment of the Paris Court of Appeal of October 11, 2012, cited above, pp. 71 and 72), and more generally of the commitments envisaged for this purpose.  </w:t>
        <w:br/>
        <w:t xml:space="preserve">153. This is particularly the case for commitments consisting of establishing or improving a compliance program with competition rules (see, in this regard, decisions no. 07-D-21 of June 26, 2007, cited above, paragraph 132, no. 08-D-13 of June 11, 2008, cited above, paragraphs 101 to 106, and no. 09-D-05 of February 2, 2009, cited above, paragraphs 156, 157, 159, and 160).  </w:t>
        <w:br/>
        <w:t xml:space="preserve">154. The Authority's practice has been synthesized and clarified in the framework document on compliance programs with competition rules published on February 10, 2012. This document reminds that it is the duty of economic actors, and indeed in their interest, to take all possible measures to conduct their activity in compliance with competition rules and to prevent possible breaches of these rules. The Authority also considers that the establishment of an effective compliance program can play a key role in this regard, provided that this program is then effectively implemented. It therefore encourages companies to adopt such programs.  </w:t>
        <w:br/>
        <w:t>155. The framework document also emphasizes that, while there are no standard compliance programs, they are better designed based on a concrete analysis of the characteristics specific to the company or organization implementing them. Certain elements nonetheless condition their effectiveness, helping the organization or company concerned to prevent the risks of infringement of competition rules, on the one hand, and to draw the consequences of cases of infringements that could not be avoided, on the other hand. It is therefore in light of these elements, which may take on variable forms and modalities on a case-by-case basis, that the Authority has committed to assessing the substantial, credible, and verifiable nature of the proposals for commitments to establish or improve a compliance program presented to it in the context of the non-contestation procedure for grievances.</w:t>
      </w:r>
    </w:p>
    <w:p>
      <w:r>
        <w:rPr>
          <w:b/>
        </w:rPr>
        <w:t>[Pages 28–30]</w:t>
      </w:r>
    </w:p>
    <w:p>
      <w:r>
        <w:t xml:space="preserve">156. When the Authority accepts commitments, it makes them mandatory in the decision it adopts at the end of the procedure. It may naturally be led to ensure their effective implementation subsequently.  </w:t>
        <w:br/>
        <w:t xml:space="preserve">157. In the present case, the proposed compliance program includes a system for raising awareness and training on competition rules and a control, prevention, and alert mechanism allowing employees and company executives to disclose anti-competitive practices of which they may be aware. Its implementation is, moreover, placed under the supervision of a compliance officer. Finally, it is provided that any breaches of competition rules by executives and employees will result in proportionate sanctions, in accordance with applicable labor law.  </w:t>
        <w:br/>
        <w:t xml:space="preserve">158. To the extent that this commitment is, in this case, likely to enable the company Martinique Déménagements to prevent future breaches of competition rules and, if applicable, to draw the consequences of any breaches discovered within it, the Authority considers it to be substantial, credible, and verifiable.  </w:t>
        <w:br/>
        <w:t xml:space="preserve">159. Under these conditions, in order to take into account both the waiver to contest the grievances as such and the commitments proposed, which should be accepted and made mandatory, the sanction imposed on the company Martinique Déménagements will be reduced by 20%. The commitments in question, which are attached at the end of this decision, must naturally be subject to effective implementation.  </w:t>
        <w:br/>
        <w:t xml:space="preserve">160. Regarding the companies AGS Martinique and SMDTE, a reduction of 10% will be granted.  </w:t>
        <w:br/>
        <w:t xml:space="preserve">c) On the financial situation of the companies  </w:t>
        <w:br/>
        <w:t xml:space="preserve">161. As for the elements specific to the situation of each company or organization involved, the Authority has lastly committed to assessing the particular financial difficulties that may diminish their contributory capacity, which the parties invoke, according to the practical modalities indicated in the aforementioned press release of May 16, 2011.  </w:t>
        <w:br/>
        <w:t xml:space="preserve">162. It is up to the company to justify the existence of such difficulties by relying on reliable, complete, and objective evidence attesting to their reality and their concrete consequences on its contributory capacity (see, in this sense, the judgment of the Paris Court of Appeal of October 11, 2012, cited above, p. 73).  </w:t>
        <w:br/>
        <w:t xml:space="preserve">163. In this case, Martinique Déménagements invoked the existence of particular financial difficulties that it claims limit its contributory capacity.  </w:t>
        <w:br/>
        <w:t xml:space="preserve">164. The examination of the financial and accounting elements provided by Martinique Déménagements in support of its request leads the Authority to find that they constitute reliable, complete, and objective evidence attesting to the existence of particular and current financial difficulties affecting its ability to pay the sanction that the Authority intends to impose on it. It is therefore appropriate to reduce its sanction to the extent necessary for it to be able to fulfill it.  </w:t>
        <w:br/>
        <w:t>165. Given its contributory capacity, the sanction for Martinique Déménagements will be set at 55,000 euros.</w:t>
      </w:r>
    </w:p>
    <w:p>
      <w:r>
        <w:t xml:space="preserve">5. ON THE FINAL AMOUNT OF SANCTIONS  </w:t>
        <w:br/>
        <w:t xml:space="preserve">166. In light of all the elements described above, it is appropriate to impose the following sanctions on the companies involved:  </w:t>
        <w:br/>
        <w:t xml:space="preserve">Sanction before taking into account the non-  </w:t>
        <w:br/>
        <w:t xml:space="preserve">Company contestation of grievances and Final sanction  </w:t>
        <w:br/>
        <w:t xml:space="preserve">contributory capacity  </w:t>
        <w:br/>
        <w:t xml:space="preserve">Martinique Déménagements  </w:t>
        <w:br/>
        <w:t xml:space="preserve">85,968 euros 55,000 euros  </w:t>
        <w:br/>
        <w:t xml:space="preserve">SMDTE  </w:t>
        <w:br/>
        <w:t xml:space="preserve">27,109 euros 24,390 euros  </w:t>
        <w:br/>
        <w:t xml:space="preserve">142,600 euros  </w:t>
        <w:br/>
        <w:t xml:space="preserve">AGS Martinique 158,457 euros (jointly with Mobilitas)  </w:t>
        <w:br/>
        <w:t xml:space="preserve">158,450 euros of which 142,600 euros  </w:t>
        <w:br/>
        <w:t>Mobilitas - jointly with AGS Martinique</w:t>
      </w:r>
    </w:p>
    <w:p>
      <w:r>
        <w:t xml:space="preserve">D. ON THE OBLIGATION TO PUBLISH  </w:t>
        <w:br/>
        <w:t xml:space="preserve">167. Pursuant to Article L. 464-2 of the Commercial Code, "the Competition Authority may order the publication, dissemination, or display of its decision or an excerpt thereof in the manner it specifies (...). The costs are borne by the interested party."  </w:t>
        <w:br/>
        <w:t xml:space="preserve">168. In order to draw the attention of users of relocation services to the practices noted in this decision, it is appropriate to order the publication, at the shared expense of the sanctioned companies and in proportion to their financial sanctions, in the magazine Armées d’aujourd’hui, as well as in the daily newspaper France Antilles Martinique, of the summary of this decision appearing in the following paragraph:  </w:t>
        <w:br/>
        <w:t xml:space="preserve">169. Summary of the decision:  </w:t>
        <w:br/>
        <w:t xml:space="preserve">"The Competition Authority rendered a decision on November 18, 2014, sanctioning three moving companies for having made collusive estimates with a view to distorting competition regarding the relocations of military personnel.  </w:t>
        <w:br/>
        <w:t xml:space="preserve">The relocation of military personnel is governed by specific regulatory provisions that require them to present two competing estimates to their administration for the reimbursement of all or part of a relocation related to a transfer.  </w:t>
        <w:br/>
        <w:t>The investigation established that the companies were not genuinely competing in many cases by mutually establishing 'cover' estimates.</w:t>
      </w:r>
    </w:p>
    <w:p>
      <w:r>
        <w:t xml:space="preserve">The Authority deemed these practices to be serious, as they had the purpose and effect of causing an artificial market allocation among the companies and hindering price setting through the free play of competition.  </w:t>
        <w:br/>
        <w:t xml:space="preserve">Three companies and the parent company of one of them were sanctioned for a total amount of 237,840 euros.  </w:t>
        <w:br/>
        <w:t xml:space="preserve">The Authority imposed proportionate sanctions taking into account the seriousness of the behaviors in question, the significance of the damage caused to the economy, the individual situation of the companies, and the circumstance that three companies did not contest the grievances. It imposed:  </w:t>
        <w:br/>
        <w:t xml:space="preserve">- on the company Martinique Déménagements, a sanction of 55,000 euros;  </w:t>
        <w:br/>
        <w:t xml:space="preserve">- on the Société Martiniquaise de Déménagement, de Transport et d’Emballage (SMDTE), a sanction of 24,390 euros;  </w:t>
        <w:br/>
        <w:t xml:space="preserve">- on the company AGS Martinique, a sanction of 142,600 euros;  </w:t>
        <w:br/>
        <w:t xml:space="preserve">- on the company Mobilitas, as the parent company of AGS Martinique, a sanction of 158,450 euros of which 142,600 euros jointly with its subsidiary.  </w:t>
        <w:br/>
        <w:t xml:space="preserve">None of the companies involved contested the grievances. Furthermore, the company Martinique Déménagements made commitments aimed at establishing a compliance program with competition law.  </w:t>
        <w:br/>
        <w:t>The full text of the decision of the Competition Authority is accessible on the website www.autoritedelaconcurrence.fr."</w:t>
      </w:r>
    </w:p>
    <w:p>
      <w:r>
        <w:rPr>
          <w:b/>
        </w:rPr>
        <w:t>[Pages 31–31]</w:t>
      </w:r>
    </w:p>
    <w:p>
      <w:r>
        <w:t>DECISION</w:t>
      </w:r>
    </w:p>
    <w:p>
      <w:r>
        <w:t>Article 1: It is established that the companies Martinique Déménagements, AGS Martinique, and SMDTE have violated the provisions of Article L. 420-1 of the Commercial Code.</w:t>
      </w:r>
    </w:p>
    <w:p>
      <w:r>
        <w:t>Article 2: The commitments made by the company Martinique Déménagements, as mentioned in the annex to this decision, are acknowledged. This company is ordered to comply with them in all respects.</w:t>
      </w:r>
    </w:p>
    <w:p>
      <w:r>
        <w:t>Article 3: The following financial penalties are imposed:</w:t>
        <w:br/>
        <w:t>- on the company Martinique Déménagements, a penalty of 55,000 euros;</w:t>
        <w:br/>
        <w:t>- on the Société Martiniquaise de Déménagement, de Transport et d’Emballage (SMDTE), a penalty of 24,390 euros;</w:t>
        <w:br/>
        <w:t>- on the company AGS Martinique, a penalty of 142,600 euros;</w:t>
        <w:br/>
        <w:t>- on the company Mobilitas, as the parent company of AGS Martinique, a penalty of 158,450 euros, of which 142,600 euros jointly with its subsidiary.</w:t>
      </w:r>
    </w:p>
    <w:p>
      <w:r>
        <w:t>Article 4: The companies mentioned in Article 1 shall publish the text appearing in paragraph 169 of this decision, respecting the formatting, at their joint expense and in proportion to the financial penalties imposed in Article 3, in the daily newspapers France Antilles Martinique as well as in the magazine Armées d’aujourd’hui. This publication shall appear in a box, in black characters on a white background, with a height of at least three millimeters, under the title in bold characters of the same size: "Decision No. 14-D-16 of November 18, 2014, of the Competition Authority regarding practices implemented in the sector of relocation of military personnel assigned to Martinique." It may be followed by a mention that the decision has been appealed to the Court of Appeal of Paris if such appeals are filed. The companies shall send, by registered mail, to the procedure office of the Competition Authority, a copy of this publication, as soon as it is published and no later than January 19, 2015.</w:t>
      </w:r>
    </w:p>
    <w:p>
      <w:r>
        <w:t>Deliberated on the oral report of Mr. Julien Barbot, and the intervention of Mr. Umberto Berkani, deputy general rapporteur, by Ms. Claire Favre, vice-president, chair of the session, Ms. Séverine Larere and Messrs. Noël Diricq and Olivier d’Ormesson, members.</w:t>
      </w:r>
    </w:p>
    <w:p>
      <w:r>
        <w:t>The session secretary, The president,</w:t>
        <w:br/>
        <w:t>Caroline Chéron Claire Favre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