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https://www.autoritedelaconcurrence.fr/fr/decision/relative-des-pratiques-mises-en-oeuvre-dans-le-secteur-du-gaz-de-petrole-liquefie-gpl</w:t>
      </w:r>
    </w:p>
    <w:p>
      <w:r>
        <w:t>Pages translated : 12</w:t>
      </w:r>
    </w:p>
    <w:p/>
    <w:p>
      <w:r>
        <w:rPr>
          <w:b/>
        </w:rPr>
        <w:t>[Pages 1–3]</w:t>
      </w:r>
    </w:p>
    <w:p>
      <w:r>
        <w:t>FRENCH REPUBLIC</w:t>
        <w:br/>
        <w:t>Decision No. 10-D-36 of December 17, 2010</w:t>
        <w:br/>
        <w:t>regarding practices implemented in the liquefied petroleum gas (LPG) sector</w:t>
        <w:br/>
        <w:t>The Competition Authority (section IV),</w:t>
      </w:r>
    </w:p>
    <w:p>
      <w:r>
        <w:t>Having regard to the request made by the company Société des Pétroles Shell SAS and the company Butagaz SAS to the services of the Directorate General for Competition, Consumer Affairs and Fraud Control, on November 7, 2005, seeking to benefit from IV of Article L. 464-2 of the Commercial Code;</w:t>
      </w:r>
    </w:p>
    <w:p>
      <w:r>
        <w:t>Having regard to the conditional leniency opinions of the Competition Council No. 06-AC-02 and 06-AC-03 dated January 31, 2006;</w:t>
      </w:r>
    </w:p>
    <w:p>
      <w:r>
        <w:t>Having regard to decisions No. 06-SO-02 and 06-SO-03 of March 27, 2006 recorded under numbers 06/0028 F and 06/0029 F by which the Competition Council initiated an examination of two series of practices implemented in the liquefied petroleum gas sector;</w:t>
      </w:r>
    </w:p>
    <w:p>
      <w:r>
        <w:t>Having regard to the decision of July 23, 2008, of the general rapporteur of the Competition Council to join the instruction of files No. 06/0028 F and 06/0029 F;</w:t>
      </w:r>
    </w:p>
    <w:p>
      <w:r>
        <w:t>Having regard to the expert report in computer science and electronics dated January 6, 2010;</w:t>
      </w:r>
    </w:p>
    <w:p>
      <w:r>
        <w:t>Having regard to Articles 81 and 82 of the EC Treaty, now Articles 101 and 102 on the functioning of the European Union;</w:t>
      </w:r>
    </w:p>
    <w:p>
      <w:r>
        <w:t>Having regard to Book IV of the amended Commercial Code;</w:t>
      </w:r>
    </w:p>
    <w:p>
      <w:r>
        <w:t>Having regard to the business secrecy decisions No. 06-DSA-14 of May 9, 2006, No. 08-DSA-183 of November 3, 2008, No. 08-DSA-203 and 08-DSA-204 of December 16, 2008, No. 08-DSA-206 of December 17, 2008, No. 09-DSA-12 to 14 of January 12, 2009, No. 09-DSADEC-04 to 06 of January 12, 2009, No. 09-DSA-25 of January 22, 2009, No. 09-DSADEC-21 of February 23, 2009, No. 09-DSA-25 of April 2, 2009, No. 09-DSA-41 to 48 of April 2, 2009, No. 09-DSA-49 to 54, No. 09-DSADEC of April 7, 2009, No. 09-DECR-05 of May 18, 2009, No. 09-DECR-07 of May 18, 2009, No. 09-DECR-09 to 13 of May 19, 2009, No. 09-DECR-14 of May 20, 2009, No. 09-DEC-11 of May 19, 2009, No. 09-DEC-12 of May 19, 2009, No. 09-DEC-13 of May 20, 2009, No. 09-DSA-160 of August 25, 2009, No. 09-DEC-19 of September 17, 2009, No. 09-DEC-20 of September 28, 2009, No. 09-DEC-21 of September 28, 2009, No. 09-DSA-316 and 09-DSA-317 of December 15, 2009; No. 10-DSA-05 of January 12, 2010; No. 10-DSA-40 and 10-DSA-41 of February 17, 2010; No. 10-DSA-42 to 47 of February 23, 2010; No. 10-DSA-53 of March 2, 2010; No. 10-DEC-17 of April 8, 2010; No. 10-DEC-151 of August 5, 2010; No. 10-DSA-159 of August 12, 2010; No. 10-DSA-160 of August 16, 2010;</w:t>
      </w:r>
    </w:p>
    <w:p>
      <w:r>
        <w:t>Having regard to the observations presented by the companies Antargaz, Primagaz, Rubis SCA, Société des Pétroles Shell, Butagaz, SHV Gas NV, Total Raffinage Marketing, Totalgaz, Vitogaz, and the Government Commissioner;</w:t>
      </w:r>
    </w:p>
    <w:p>
      <w:r>
        <w:t>Having regard to the other documents in the file;</w:t>
      </w:r>
    </w:p>
    <w:p>
      <w:r>
        <w:t>The rapporteur, the general rapporteur, the Government Commissioner, and the representatives of the companies Antargaz, Primagaz, Rubis SCA, Société des Pétroles Shell (SPS), Butagaz, SHV Gas NV, Total Raffinage Marketing, Totalgaz, and Vitogaz heard during the session of the Competition Authority on September 21, 2010;</w:t>
      </w:r>
    </w:p>
    <w:p>
      <w:r>
        <w:t>Adopts the following decision:</w:t>
      </w:r>
    </w:p>
    <w:p>
      <w:r>
        <w:t>I. Reminder of the Procedure</w:t>
        <w:br/>
        <w:t>1. THE INITIAL INVESTIGATION</w:t>
        <w:br/>
        <w:t>1. Following various information, notably from the regional directorate for competition, consumer affairs, and fraud control of Lille, regarding the possible existence of coordinated price-fixing practices and hindrance to entry into the liquefied petroleum gas (packaged LPG) market by large retail chains (hereinafter referred to as "GMS" for "Grandes et Moyennes Surfaces"), the Minister of Economy, Finance, and Industry requested this directorate, on July 19, 2004, to conduct an investigation (reference 2593).</w:t>
      </w:r>
    </w:p>
    <w:p>
      <w:r>
        <w:t>2. On June 14, 2005, searches and seizures were carried out on the basis of Article L. 450-4 of the Commercial Code within several companies (Butagaz, Antargaz, Totalgaz, Vitogaz, and Primagaz), some of their representatives in the departments of Nord and Pas de Calais, as well as in the premises of two professional associations in the relevant sector, namely the Syndicat des Négociants Détaillants en Combustibles du Nord-Pas de Calais (hereinafter "SNDC") and the Comité Français du Butane et du Propane (hereinafter "CFBP").</w:t>
      </w:r>
    </w:p>
    <w:p>
      <w:r>
        <w:t>2. THE LENIENCY APPLICATIONS OF THE COMPANIES SOCIÉTÉ DES PÉTROLES SHELL AND BUTAGAZ</w:t>
        <w:br/>
        <w:t>3. On November 7, 2005, the company Société des Pétroles Shell SAS (hereinafter "Shell") and its subsidiary, Butagaz, submitted, through their counsel, Maître P. H., leniency applications based on Article L. 464-2 IV of the Commercial Code and Article 44 of Decree No. 2002-689 of April 30, 2002, to the Directorate General for Competition, Consumer Affairs and Fraud Control (hereinafter "DGCCRF") denouncing the existence of potentially anti-competitive practices implemented by gas companies in the packaged LPG sector.</w:t>
      </w:r>
    </w:p>
    <w:p>
      <w:r>
        <w:t>4. These practices allegedly consisted, first of all, of a price-fixing agreement regarding the distribution of bottles to large retail chains and the sale of bulk gas to professionals, which is said to have begun in the mid-1980s and continued until 2005. The companies involved would have included, in addition to Butagaz, the companies Totalgaz, Primagaz, Antargaz, Vitogaz, and Actigaz as well as the CFBP. They would also have consisted of an agreement aimed at hindering the entry into the packaged LPG market of private label brands, notably the Ecogaz brand sold by Auchan. These practices, which are said to have begun in the early 2000s and continued until 2005, would have involved, in addition to Butagaz, the companies Totalgaz, Primagaz, Antargaz, and Vitogaz.</w:t>
      </w:r>
    </w:p>
    <w:p>
      <w:r>
        <w:rPr>
          <w:b/>
        </w:rPr>
        <w:t>[Pages 4–6]</w:t>
      </w:r>
    </w:p>
    <w:p>
      <w:r>
        <w:t xml:space="preserve">5. On November 25, 2005, the leniency applications of Shell and Butagaz were transmitted to the general rapporteur of the Competition Council and registered under numbers 05/0094 AC and 05/0095 AC.  </w:t>
        <w:br/>
        <w:t xml:space="preserve">6. By two opinions No. 06-AC-02 and 06-AC-03 dated January 31, 2006, the Competition Council granted Shell and Butagaz conditional leniency, with a total exemption from sanctions regarding the price-fixing allegation and a partial exemption regarding the obstruction practices (between 15 and 30% of the sanction).  </w:t>
        <w:br/>
        <w:t xml:space="preserve">3. THE OFFICIAL INITIATIONS BY THE COMPETITION COUNCIL AND THE INSTRUCTION OF ASSOCIATED CASES  </w:t>
        <w:br/>
        <w:t xml:space="preserve">7. By decisions No. 06-SO-02 and 06-SO-03 dated March 27, 2006, the Competition Council initiated proceedings ex officio regarding the practices implemented in the packaged LPG sector. Two distinct procedures were thus opened under numbers 06/0028 F and 06/0029 F, and two requests for investigation were sent to the DGCCRF on March 29, 2006. The investigation was entrusted to the Lille BIEC, which conducted new visits and seizures as well as hearings, some of which were carried out jointly with the services of the Competition Council.  </w:t>
        <w:br/>
        <w:t xml:space="preserve">8. Assistance from the Austrian competition authority (Bundeswettbewerbsbehörde) was also obtained based on Article 22 of Regulation (EC) No. 1/2003 of the Council dated December 16, 2002, concerning the implementation of the competition rules provided for in Articles 81 and 82 of the EC Treaty.  </w:t>
        <w:br/>
        <w:t xml:space="preserve">9. On May 19 and July 15, 2008, the DGCCRF transmitted two administrative investigation reports to the Competition Council. The first concerns obstruction practices (hereinafter the "RAE obstruction") and the second relates to the practices implemented regarding pricing (hereinafter the "RAE pricing").  </w:t>
        <w:br/>
        <w:t xml:space="preserve">10. By decision dated July 23, 2008, the general rapporteur of the Competition Council joined the instruction of the two cases.  </w:t>
        <w:br/>
        <w:t xml:space="preserve">11. On July 17, 2009, a notification of grievances was sent to the companies Antargaz, Shell and its subsidiary Butagaz, SHV Gas NV and its subsidiary Primagaz, Total Raffinage Marketing and its subsidiary Totalgaz, Rubis SCA and its subsidiary Vitogaz. These companies are accused of price-fixing (grievance No. 1) as well as abuses of collective dominant position consisting of hindering the entry of large retail chains into the packaged LPG market (grievances No. 2 to 6). All grievances were notified based on Articles L. 420-1 and L. 420-2 of the Commercial Code as well as Articles 81 and 82 of the EC Treaty, which have become Articles 101 and 102 of the TFEU.  </w:t>
        <w:br/>
        <w:t>4</w:t>
      </w:r>
    </w:p>
    <w:p>
      <w:r>
        <w:t xml:space="preserve">II. The Allegation of Price-Fixing (Allegation No. 1)  </w:t>
        <w:br/>
        <w:t xml:space="preserve">A. THE DOCUMENTS SUBMITTED IN SUPPORT OF THE LENIENCY APPLICATION  </w:t>
        <w:br/>
        <w:t xml:space="preserve">12. As part of their leniency application, Shell and Butagaz submitted various documents to the file, which can be classified into several categories:  </w:t>
        <w:br/>
        <w:t xml:space="preserve">- the statement drafted by a former commercial director of Butagaz, Mr. M., pursuant to a termination agreement (referred to as the "M. report"), in which he expressly acknowledges having participated in the establishment of a coordinated policy to hinder the entry of large retail chains into the packaged LPG market and also reports, with concrete examples and names of the persons involved, on regular, formal or informal contacts between Butagaz and its competitors for the purpose of exchanging information on prices or of price fixing from 1986 to the end of July 2005;  </w:t>
        <w:br/>
        <w:t xml:space="preserve">- four internal emails from Butagaz, revealing the existence of contacts between Butagaz and its competitors between 2003 and 2004;  </w:t>
        <w:br/>
        <w:t xml:space="preserve">- testimonies from various employees of Butagaz, reporting contacts between the different commercial managers of Butagaz (Messrs. M., L., R.) and their counterparts from competing companies;  </w:t>
        <w:br/>
        <w:t xml:space="preserve">- the "top 10" table intended to group data on prices collected during meetings with competitors as well as handwritten notes from the commercial director of Butagaz, Mr. R.;  </w:t>
        <w:br/>
        <w:t xml:space="preserve">- several meeting minutes from the "committee 613" responsible for defining Butagaz's strategy towards distributors wishing to enter the packaged LPG market;  </w:t>
        <w:br/>
        <w:t xml:space="preserve">- emails from the CFBP updating on ongoing actions against Auchan.  </w:t>
        <w:br/>
        <w:t xml:space="preserve">13. In its observations in response to the notification of grievances, Totalgaz denounced the existence of material inconsistencies in some of these documents, namely the four internal emails from Butagaz mentioned above.  </w:t>
        <w:br/>
        <w:t xml:space="preserve">14. Thus, the anomalies observed concern, first of all, a date error. Indeed, May 21, 2003, mentioned in the first email was a Wednesday and not a Tuesday, as indicated. Furthermore, typographical inconsistencies were noted, such as the absence of space between "From," "Sent," "To," "Subject," and the existence of a space between "Importance" and ":". In addition, the signature of Mr. B. R. appearing at the bottom of the disputed emails shows seven differences compared to his authentic signature. Finally, the header of one of the emails is incomplete. Indeed, the date, time, and recipient are missing, whereas these fields should be filled in.  </w:t>
        <w:br/>
        <w:t xml:space="preserve">15. By decision dated November 2, 2009, the general rapporteur of the Competition Council appointed an expert in software and hardware near the Court of Appeal of Paris, under the conditions set forth in Articles L. 463-8 and R. 463-16 of the Commercial Code, to determine the reasons that could explain the anomalies described above.  </w:t>
        <w:br/>
        <w:t>5</w:t>
      </w:r>
    </w:p>
    <w:p>
      <w:r>
        <w:t xml:space="preserve">16. The contradictory expertise resulted in a report concluding as follows:  </w:t>
        <w:br/>
        <w:t xml:space="preserve">17. Since these documents were provided to Butagaz by one of its former employees and submitted by it during the leniency application, the material findings made by the expert remove any probative value from the four emails supporting this application. They also call into question the credibility of all the elements provided by this employee, namely primarily the M. report and the "top 10" table.  </w:t>
        <w:br/>
        <w:t xml:space="preserve">18. The elements described in paragraph 12 above cannot therefore contribute to establishing proof of the alleged collusive practices.  </w:t>
        <w:br/>
        <w:t xml:space="preserve">B. THE INITIAL INDICATORS  </w:t>
        <w:br/>
        <w:t xml:space="preserve">19. The initial indicators noted by the territorial services of the DGCCRF, which justified the investigation launched on July 19, 2004, indicate that French prices for LPG bottles were, in 2003, the highest in Europe and that there were small discrepancies between the prices of different brands of LPG bottles at the retail stage at service stations. However, they are insufficient to demonstrate, by themselves, a concerted anti-competitive intent among the companies involved.  </w:t>
        <w:br/>
        <w:t xml:space="preserve">C. THE ELEMENTS COLLECTED DURING VISITS AND SEIZURES  </w:t>
        <w:br/>
        <w:t xml:space="preserve">20. The elements related to prices collected during the visits and seizures conducted by the DGCCRF in 2005 and 2006, which are few in number (a note dated October 24, 2003, seized at Totalgaz: references 37013, 37014; a note and a letter from the national oil and gas union seized at Antargaz: references 37017 to 37022; a few handwritten notes from Mr. R., former commercial director of Butagaz: references 37024 to 37031), are also insufficient to characterize the existence of a price-fixing agreement between the accused companies that could be prosecuted based on Article L. 420-1 of the Commercial Code and Article 81 of the EC Treaty, which has become Article 101 of the TFEU.  </w:t>
        <w:br/>
        <w:t xml:space="preserve">D. CONCLUSION ON GRIEVANCE NO. 1  </w:t>
        <w:br/>
        <w:t xml:space="preserve">21. According to the fifth paragraph of Article L. 462-8 of the Commercial Code, "the Competition Authority may [also] decide to close a case for which it has initiated proceedings ex officio under the same conditions." Pursuant to these provisions, the referral to the Competition Council must be closed as it relates to facts that could characterize a price-fixing agreement.  </w:t>
        <w:br/>
        <w:t>6</w:t>
      </w:r>
    </w:p>
    <w:p>
      <w:r>
        <w:rPr>
          <w:b/>
        </w:rPr>
        <w:t>[Pages 7–9]</w:t>
      </w:r>
    </w:p>
    <w:p>
      <w:r>
        <w:t>de leurs fournisseurs. Cette capacité à agir de manière indépendante est essentielle pour établir l'existence d'une position dominante collective.</w:t>
      </w:r>
    </w:p>
    <w:p>
      <w:r>
        <w:t>39. En l'espèce, il convient d'examiner si les entreprises concernées, à savoir Antargaz, Shell, Butagaz, SHV Gas NV, Primagaz, Total Raffinage Marketing, Totalgaz, Rubis et Vitogaz, disposent d'une telle capacité à agir de manière indépendante sur le marché du GPL conditionné à usage domestique.</w:t>
      </w:r>
    </w:p>
    <w:p>
      <w:r>
        <w:t>40. Pour ce faire, il sera nécessaire d'analyser les interactions entre ces entreprises, ainsi que leur comportement sur le marché, afin de déterminer si elles agissent de manière coordonnée ou si elles sont soumises à des pressions concurrentielles suffisantes pour les inciter à adopter des comportements indépendants.</w:t>
      </w:r>
    </w:p>
    <w:p>
      <w:r>
        <w:t>41. En conclusion, l'existence d'une position dominante collective sur le marché du GPL conditionné à usage domestique dépendra de la capacité des entreprises à maintenir une coordination tacite tout en faisant face à des pressions concurrentielles. Si cette capacité est établie, il sera alors possible de conclure à l'existence d'une position dominante collective au sens des articles L. 420-2 du code de commerce et 102 du TFUE.</w:t>
      </w:r>
    </w:p>
    <w:p>
      <w:r>
        <w:rPr>
          <w:b/>
        </w:rPr>
        <w:t>[Pages 10–12]</w:t>
      </w:r>
    </w:p>
    <w:p>
      <w:r>
        <w:t>from the consumers (see, in particular, the judgment of the Court of Justice of the European Communities of March 16, 2000, Compagnie maritime belge transports and others/Commission, joined cases C-395/96 P and C-396/96 P, Rec. p. I-1365, paragraphs 33 and 34).</w:t>
      </w:r>
    </w:p>
    <w:p>
      <w:r>
        <w:t>3. ASSESSMENT IN THIS CASE</w:t>
        <w:br/>
        <w:t>39. It is in light of the three criteria established by the Airtours case law mentioned above that it is necessary to determine whether the suppliers of packaged LPG are in a situation of collective dominant position. Since these criteria are cumulative, it is sufficient to demonstrate the absence of verification of any one of them for the situation of collective dominant position not to be characterized.</w:t>
      </w:r>
    </w:p>
    <w:p>
      <w:r>
        <w:t>40. The third condition (condition of non-contestation) is lacking in this case in view of the elements gathered in the file. Indeed, these elements are insufficient in their current state to establish that the common course of action attributed to the oligopoly - maintaining collusive equilibrium by preventing, by all means, the entry of large retail chains into the packaged LPG market, which would allow the gas suppliers to "not have implemented strongly competitive action" - could be contested by the current and potential competitors of the members of the oligopoly.</w:t>
      </w:r>
    </w:p>
    <w:p>
      <w:r>
        <w:t>41. Energy has been one of the priority areas for large retail chains in the context of diversifying their activities. Since 1985, they have engaged in the distribution of fuel under their own brand, the management of which has been entrusted to wholly-owned subsidiaries (Siplec for Leclerc, Petrovex for Auchan, Carfuel for Carrefour...). Even though it was technically a new activity, the distribution of gas bottles appeared to these chains as a natural objective, all the more logical - and easier - as they were already vertically integrated. Their status as distributors also ensured them a guaranteed outlet downstream.</w:t>
      </w:r>
    </w:p>
    <w:p>
      <w:r>
        <w:t>42. This perspective could have been dismissed by the existence of strong barriers to entry, deterring large retail chains from making significant investments in a constantly declining market, and for a product that does not have the quality of a loss leader.</w:t>
      </w:r>
    </w:p>
    <w:p>
      <w:r>
        <w:t>43. However, while the barriers to entry appeared significant, particularly due to technical and regulatory obstacles related to the production chain, deposit costs, and the reputation of the historical operators already present, they do not seem, in this case, to have actually deterred large retail chains from entering the market. Indeed, with the exception of Auchan, which took several years to enter the market significantly (between 1999 and 2005), the other distributors, who opted from the outset for a more "classic" bottle than that of Auchan, seem to have launched their project within relatively short timeframes. Thus, according to the investigation, the Dubreuil group, owner of the U supermarkets and hypermarkets, quickly marketed its Actigaz bottles since their sale began seven months (October 2003-May 2004) after an initial exploratory contact with a filling center (Seminck). Similarly, Siplec, Leclerc's subsidiary, stated during its hearing: "The decision to enter was made at the end of 2003. We ultimately entered in the summer of 2005. It was necessary to convince the members to sell the bottles. [...] The market entry was made at higher costs than the other gas suppliers, but not really more than we had anticipated. Moreover, it did not occur later than we had planned."</w:t>
      </w:r>
    </w:p>
    <w:p>
      <w:r>
        <w:t>44. It follows that while the barriers to entry appear strong, and probably insurmountable for a new entrant that would not have had a distribution structure, they were not sufficient to deter large retail chains from entering the market, thus ensuring a relatively rapid and effective contestability of the common course of action attributed to the oligopoly formed by the gas companies.</w:t>
      </w:r>
    </w:p>
    <w:p>
      <w:r>
        <w:t>45. The market developments outlined in the file confirm this observation. While the average market share of private label brands, across all sectors, is currently between 20 and 30%, it is noted that approximately eighteen months after the launch of their private label bottles, Leclerc and Carrefour already claimed a market share of 20% for these within their network. Thus, as early as 2009, in most major chains, the private label became the number two in sales, behind Butagaz. Under these conditions, the gain in market share of private labels seems rather rapid considering the considerable market rigidities that notably involve the importance of the deposit, and in light of the exceptional stability of market shares during the preceding period.</w:t>
      </w:r>
    </w:p>
    <w:p>
      <w:r>
        <w:t>46. The rapid entry of private labels into the market can certainly be partly explained by their ability to delist a competitor, in order to free up shelf space to market their own products. In this regard, the leaders of Petrovex (Auchan) acknowledged during their hearing that "from a strictly strategic point of view, we have an interest in delisting a supplier in favor of our gas bottles [...]". Thus, in 2003, Vitogaz was delisted in 30 Auchan sales outlets. Totalgaz also faced several dozen delisting requests from Leclerc stores in the summer of 2005. Similarly, during the session, all the gas companies involved, except for Butagaz, cited cases of delistings upon the arrival of private labels in the market.</w:t>
      </w:r>
    </w:p>
    <w:p>
      <w:r>
        <w:t>47. The entry of large retail chains into the market was all the more likely to threaten the common course of action identified by the investigation, on which the functioning of the oligopoly could be based, as it led the gas suppliers:</w:t>
        <w:br/>
        <w:t>- to innovate technically and commercially, by bringing different bottles to market (Viseo, Primalight, Calypso), equipped with new features, lighter or more easily transportable, as recognized by the large retail chains themselves;</w:t>
        <w:br/>
        <w:t>- to propose new commercial practices regarding deposits, which led to a clear break in the evolution of market shares among the five gas suppliers regarding the new bottle deposits, notably due to the rise of promotional offers aimed at new customers;</w:t>
        <w:br/>
        <w:t>- to face a significantly strengthened market power of the large retail chains, which were able to successfully oppose, at the end of 2004, the price increase requested by Butagaz, then Vitogaz and Primagaz, for January 1, 2005.</w:t>
      </w:r>
    </w:p>
    <w:p>
      <w:r>
        <w:t>48. The ability of gas suppliers to maintain a common course of action despite the competitive pressure from large retail chains, which, on the contrary, was likely to effectively threaten a collusive equilibrium, does not thus appear to be demonstrated.</w:t>
      </w:r>
    </w:p>
    <w:p>
      <w:r>
        <w:t>49. The elements gathered in the file are therefore not sufficiently conclusive to establish the existence of a collective dominant position.</w:t>
      </w:r>
    </w:p>
    <w:p>
      <w:r>
        <w:t>50. Consequently, it is also appropriate to close the ex officio proceedings as they relate to facts that could be qualified as abuses of collective dominant position, based on the provisions cited above of the fifth paragraph of Article L. 462-8 of the Commercial Code.</w:t>
      </w:r>
    </w:p>
    <w:p>
      <w:r>
        <w:t>DECISION</w:t>
        <w:br/>
        <w:t>Sole Article: The ex officio proceedings No. 06-SO-02 and 06-SO-03, which gave rise to the procedures recorded under numbers 06/0028 F and 06/0029 F, are closed, without prejudice to the assessment made by the general rapporteur on the follow-up to be given to the file under V of Article L. 464-2 of the Commercial Code.</w:t>
      </w:r>
    </w:p>
    <w:p>
      <w:r>
        <w:t>Deliberated on the oral report of Ms. Constance Valigny and the intervention of Ms. Virginie Beaumeunier, general rapporteur, by Ms. Elisabeth Flüry-Hérard, vice-president, session chair, Messrs. Emmanuel Combe, Noël Diricq, and Pierre Godé, members.</w:t>
      </w:r>
    </w:p>
    <w:p>
      <w:r>
        <w:t>The session secretary, The vice-president,</w:t>
        <w:br/>
        <w:t>Véronique Letrado Elisabeth Flüry-Hérard</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