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https://www.autoritedelaconcurrence.fr/fr/decision/relative-des-pratiques-mises-en-oeuvre-dans-le-secteur-du-negoce-des-produits</w:t>
      </w:r>
    </w:p>
    <w:p>
      <w:r>
        <w:t>Pages translated : 151</w:t>
      </w:r>
    </w:p>
    <w:p/>
    <w:p>
      <w:r>
        <w:rPr>
          <w:b/>
        </w:rPr>
        <w:t>[Pages 1–3]</w:t>
      </w:r>
    </w:p>
    <w:p>
      <w:r>
        <w:t xml:space="preserve">FRENCH REPUBLIC  </w:t>
        <w:br/>
        <w:t xml:space="preserve">Decision No. 08-D-32 of December 16, 2008  </w:t>
        <w:br/>
        <w:t>regarding practices implemented in the steel products trading sector</w:t>
      </w:r>
    </w:p>
    <w:p>
      <w:r>
        <w:t xml:space="preserve">The Competition Council (section III A),  </w:t>
        <w:br/>
        <w:t xml:space="preserve">Having regard to the letter of July 7, 2005, registered on July 8, 2005 under number 05/0045 F, by which the Minister of Economy, Finance and Industry referred to the Competition Council the situation of competition in the steel products trading sector;  </w:t>
        <w:br/>
        <w:t xml:space="preserve">Having regard to the request of the company Descours &amp; Cabaud SA and its subsidiaries made to the General Rapporteur of the Competition Council on October 25, 2006, registered under number 06/0074AC and seeking to benefit from IV of Article L. 464-2 of the Commercial Code;  </w:t>
        <w:br/>
        <w:t xml:space="preserve">Having regard to the conditional leniency notice No. 07-AC-03 of March 14, 2007;  </w:t>
        <w:br/>
        <w:t xml:space="preserve">Having regard to Articles 81 and 82 of the Treaty establishing the European Community;  </w:t>
        <w:br/>
        <w:t xml:space="preserve">Having regard to Book IV of the Commercial Code relating to price and competition freedom;  </w:t>
        <w:br/>
        <w:t xml:space="preserve">Having regard to the business secrecy decisions No. 07-DSA-192 of October 1, 2007, No. 08-DSA-01, 08-DSA-02, 08-DSA-03, 08-DSA-04, 08-DSA-05, 08-DSA-06, 08-DSA-07, 08-DSA-08, 08-DSA-09, 08-DSA-10, 08-DSADEC-01, 08-DSADEC-02 and 08-DSADEC-03 of January 7, 2008, No. 08-DSA-22 and 08-DSADEC-08 of February 5, 2008, No. 08-DSA-111 and 08-DSA-112 of July 22, 2008, No. 08-DSA-165 and 08-DSADEC-77 of October 13, 2008 and the decisions No. 08-DEC-03, 08-DEC-04, 08-DEC-05, 08-DEC-06, 08-DEC-07 of February 27, 2008, No. 08-DEC-13, 08-DECR-14, 08-DECR-15, 08-DECR-16 of February 28, 2008 authorizing the use of documents classified in the confidential annex;  </w:t>
        <w:br/>
        <w:t>Having regard to the minutes of April 11, 14 and 25, 2008 by which the companies Produits d’Usines Métallurgiques PUM Station Service Acier, Arcelor Profil and AMD Sud Ouest for the first, KDI for the second and the Fédération Française de Distribution des Métaux succeeding France Négoce Aciers for the third declared not to contest the grievance that had been notified to them and requested the benefit of the provisions of III of Article L. 464-2 of the Commercial Code;</w:t>
      </w:r>
    </w:p>
    <w:p>
      <w:r>
        <w:t xml:space="preserve">Having regard to the observations presented by the companies Produits d’Usines Métallurgiques PUM Station Service Acier, Arcelor Profil and AMD Sud Ouest, KDI, Descours &amp; Cabaud SA, Etablissements Maisonneuve, Etablissements Marc Morel et Fils, SA Clisson Métal, Liametho, Comptoir de Distribution Professionnelle, Ferren Fers, by the Fédération Française de Distribution des Métaux succeeding France Négoce Aciers and by the Government Commissioner;  </w:t>
        <w:br/>
        <w:t xml:space="preserve">Having regard to the other documents in the file;  </w:t>
        <w:br/>
        <w:t xml:space="preserve">The Rapporteur, the General Rapporteur, the Government Commissioner, the representatives of the companies Descours &amp; Cabaud SA, Comptoir de Distribution Professionnelle, Ferren Fers, SA Clisson Métal, Liametho, Etablissements Maisonneuve, Etablissements Marc Morel et Fils, the Fédération Française de Distribution des Métaux succeeding France Négoce Aciers, the companies KDI, Produits d’Usines Métallurgiques PUM Station Service Acier, Arcelor Profil and AMD Sud Ouest heard during the session of October 29, 2008;  </w:t>
        <w:br/>
        <w:t xml:space="preserve">Having regard to the note in deliberation presented on October 29, 2008 by the Fédération Française de Distribution des Métaux.  </w:t>
        <w:br/>
        <w:t>Adopts the following decision:</w:t>
      </w:r>
    </w:p>
    <w:p>
      <w:r>
        <w:t xml:space="preserve">SUMMARY  </w:t>
        <w:br/>
        <w:t xml:space="preserve">I. FINDINGS..................................................................................................................7  </w:t>
        <w:br/>
        <w:t xml:space="preserve">A. THE REFERRAL FROM THE MINISTER IN CHARGE OF ECONOMY...........................................7  </w:t>
        <w:br/>
        <w:t xml:space="preserve">B. THE LENIENCY REQUEST FROM THE DESCORS &amp; CABAUD GROUP........................................7  </w:t>
        <w:br/>
        <w:t xml:space="preserve">C. THE SECTOR CONCERNED........................................................................................................8  </w:t>
        <w:br/>
        <w:t xml:space="preserve">1. Steel products..................................................................................................................8  </w:t>
        <w:br/>
        <w:t xml:space="preserve">a) The steel sector.............................................................................................................8  </w:t>
        <w:br/>
        <w:t xml:space="preserve">b) The evolution of the sector............................................................................................9  </w:t>
        <w:br/>
        <w:t xml:space="preserve">The crisis in the steel industry.........................................................................................9  </w:t>
        <w:br/>
        <w:t xml:space="preserve">The explosion of demand in 2004...................................................................................9  </w:t>
        <w:br/>
        <w:t xml:space="preserve">c) The main products concerned......................................................................................10  </w:t>
        <w:br/>
        <w:t xml:space="preserve">Long products................................................................................................................10  </w:t>
        <w:br/>
        <w:t xml:space="preserve">Beams...........................................................................................................................10  </w:t>
        <w:br/>
        <w:t xml:space="preserve">Tubes............................................................................................................................10  </w:t>
        <w:br/>
        <w:t xml:space="preserve">Merchant bars...............................................................................................................10  </w:t>
        <w:br/>
        <w:t xml:space="preserve">Reinforcing bars.............................................................................................................10  </w:t>
        <w:br/>
        <w:t xml:space="preserve">Flat products..................................................................................................................10  </w:t>
        <w:br/>
        <w:t xml:space="preserve">2. The trading of steel products..........................................................................................11  </w:t>
        <w:br/>
        <w:t xml:space="preserve">3. Sales volumes and values...............................................................................................12  </w:t>
        <w:br/>
        <w:t xml:space="preserve">D. THE COMPANIES CONCERNED..........................................................................................15  </w:t>
        <w:br/>
        <w:t xml:space="preserve">1. The PUM/Arcelor group..................................................................................................15  </w:t>
        <w:br/>
        <w:t xml:space="preserve">2. The KDI group................................................................................................................15  </w:t>
        <w:br/>
        <w:t xml:space="preserve">3. The Descours &amp; Cabaud group.......................................................................................16  </w:t>
        <w:br/>
        <w:t xml:space="preserve">4. The Morel Duferco group...............................................................................................16  </w:t>
        <w:br/>
        <w:t xml:space="preserve">5. The Maisonneuve company............................................................................................16  </w:t>
        <w:br/>
        <w:t xml:space="preserve">6. The Liametho company..................................................................................................17  </w:t>
        <w:br/>
        <w:t xml:space="preserve">7. The Clisson Métal company............................................................................................17  </w:t>
        <w:br/>
        <w:t xml:space="preserve">8. The CODIP company.......................................................................................................17  </w:t>
        <w:br/>
        <w:t xml:space="preserve">9. The Ferren Fers company...............................................................................................18  </w:t>
        <w:br/>
        <w:t xml:space="preserve">10. France Négoce Aciers....................................................................................................18  </w:t>
        <w:br/>
        <w:t xml:space="preserve">E. THE IDENTIFIED PRACTICES............................................................................................18  </w:t>
        <w:br/>
        <w:t xml:space="preserve">1. The elements identified at the national level..................................................................19  </w:t>
        <w:br/>
        <w:t xml:space="preserve">a) National meetings and their participants....................................................................19  </w:t>
        <w:br/>
        <w:t xml:space="preserve">The beam club...............................................................................................................19  </w:t>
        <w:br/>
        <w:t xml:space="preserve">The tube commission.....................................................................................................20  </w:t>
        <w:br/>
        <w:t xml:space="preserve">The flat products commission.......................................................................................20  </w:t>
        <w:br/>
        <w:t xml:space="preserve">The FNA bureau.............................................................................................................20  </w:t>
        <w:br/>
        <w:t xml:space="preserve">The meeting of regional presidents................................................................................20  </w:t>
        <w:br/>
        <w:t xml:space="preserve">b) The purpose of the meetings and the content of the arrangements put in place...........21  </w:t>
        <w:br/>
        <w:t xml:space="preserve">The purpose of the product commissions......................................................................21  </w:t>
        <w:br/>
        <w:t xml:space="preserve">The long products arrangement....................................................................................22  </w:t>
        <w:br/>
        <w:t xml:space="preserve">The content of the long products arrangement...............................................................22  </w:t>
        <w:br/>
        <w:t xml:space="preserve">Pricing: base scales and discounts...............................................................................23  </w:t>
        <w:br/>
        <w:t xml:space="preserve">Client rankings................................................................................................................24  </w:t>
        <w:br/>
        <w:t>Monitoring of market shares..........................................................................................27</w:t>
      </w:r>
    </w:p>
    <w:p>
      <w:r>
        <w:rPr>
          <w:b/>
        </w:rPr>
        <w:t>[Pages 4–6]</w:t>
      </w:r>
    </w:p>
    <w:p>
      <w:r>
        <w:t xml:space="preserve">The evolution of consultation and the strengthening of the long products arrangement in 2003..........................................................................................................................29  </w:t>
        <w:br/>
        <w:t xml:space="preserve">The flat products arrangement..........................................................................................35  </w:t>
        <w:br/>
        <w:t xml:space="preserve">The activity of the FNA office......................................................................................36  </w:t>
        <w:br/>
        <w:t xml:space="preserve">The activity of the regional presidents' meeting........................................................37  </w:t>
        <w:br/>
        <w:t xml:space="preserve">c) Other bilateral or multilateral contacts.........................................................................38  </w:t>
        <w:br/>
        <w:t xml:space="preserve">The lunches of sales directors..........................................................................................38  </w:t>
        <w:br/>
        <w:t xml:space="preserve">The dinners of presidents.................................................................................................39  </w:t>
        <w:br/>
        <w:t xml:space="preserve">Telephone contacts and other bilateral contacts............................................................39  </w:t>
        <w:br/>
        <w:t xml:space="preserve">d) Monitoring of national arrangements..............................................................................40  </w:t>
        <w:br/>
        <w:t xml:space="preserve">The dissemination of decisions made and agreed conditions...................................40  </w:t>
        <w:br/>
        <w:t xml:space="preserve">Regular monitoring by traders.........................................................................................40  </w:t>
        <w:br/>
        <w:t xml:space="preserve">The management of consultations by pilots and central points...................................41  </w:t>
        <w:br/>
        <w:t xml:space="preserve">The concepts of pilot and central point.........................................................................41  </w:t>
        <w:br/>
        <w:t xml:space="preserve">The functions of pilots and central points.....................................................................42  </w:t>
        <w:br/>
        <w:t xml:space="preserve">The rotations and shifts of deltas....................................................................................44  </w:t>
        <w:br/>
        <w:t xml:space="preserve">The regional beam commissions...................................................................................45  </w:t>
        <w:br/>
        <w:t xml:space="preserve">The sponsors....................................................................................................................46  </w:t>
        <w:br/>
        <w:t xml:space="preserve">2. The elements noted at the regional level......................................................................47  </w:t>
        <w:br/>
        <w:t xml:space="preserve">a) The general organization of regions............................................................................47  </w:t>
        <w:br/>
        <w:t xml:space="preserve">b) Meetings at the regional level and their content.......................................................50  </w:t>
        <w:br/>
        <w:t xml:space="preserve">The mention of scales.....................................................................................................53  </w:t>
        <w:br/>
        <w:t xml:space="preserve">The mention of rankings................................................................................................54  </w:t>
        <w:br/>
        <w:t xml:space="preserve">The monitoring of recent cases and compliance with the arrangement....................55  </w:t>
        <w:br/>
        <w:t xml:space="preserve">c) The dissemination of documents related to the establishment of the arrangement...58  </w:t>
        <w:br/>
        <w:t xml:space="preserve">The regional scales..........................................................................................................58  </w:t>
        <w:br/>
        <w:t xml:space="preserve">The content of the scales..............................................................................................58  </w:t>
        <w:br/>
        <w:t xml:space="preserve">The creation and dissemination of scales....................................................................59  </w:t>
        <w:br/>
        <w:t xml:space="preserve">The use of scales............................................................................................................61  </w:t>
        <w:br/>
        <w:t xml:space="preserve">The client ranking lists....................................................................................................61  </w:t>
        <w:br/>
        <w:t xml:space="preserve">Rankings by product.....................................................................................................62  </w:t>
        <w:br/>
        <w:t xml:space="preserve">General rankings...........................................................................................................62  </w:t>
        <w:br/>
        <w:t xml:space="preserve">Summary tables and instructions................................................................................63  </w:t>
        <w:br/>
        <w:t xml:space="preserve">d) The implementation of coercive actions......................................................................66  </w:t>
        <w:br/>
        <w:t xml:space="preserve">Internal control and sanction systems.........................................................................66  </w:t>
        <w:br/>
        <w:t xml:space="preserve">The formalized system noted in the 7th region............................................................66  </w:t>
        <w:br/>
        <w:t xml:space="preserve">The sanctions noted in the regions..............................................................................69  </w:t>
        <w:br/>
        <w:t xml:space="preserve">The mechanisms of pressure and coercion against external actors............................70  </w:t>
        <w:br/>
        <w:t xml:space="preserve">3. The information exchanged..........................................................................................71  </w:t>
        <w:br/>
        <w:t xml:space="preserve">F. THE NOTIFIED GRIEVANCES........................................................................................72  </w:t>
        <w:br/>
        <w:t xml:space="preserve">G. THE IMPLEMENTATION OF III OF ARTICLE L. 464-2 OF THE COMMERCIAL CODE........73  </w:t>
        <w:br/>
        <w:t xml:space="preserve">1. The commitments made by the PUM/Arcelor group companies.................................74  </w:t>
        <w:br/>
        <w:t xml:space="preserve">2. The commitments made by KDI..................................................................................78  </w:t>
        <w:br/>
        <w:t xml:space="preserve">3. The commitments made by the FFDM.........................................................................81  </w:t>
        <w:br/>
        <w:t xml:space="preserve">II. DISCUSSION............................................................................................................83  </w:t>
        <w:br/>
        <w:t xml:space="preserve">A. ON THE PROCEDURE..................................................................................................83  </w:t>
        <w:br/>
        <w:t xml:space="preserve">1. On the admissibility of elements arising from the leniency procedure......................83  </w:t>
        <w:br/>
        <w:t xml:space="preserve">2. On the alleged infringement of the rights of the defense...........................................83  </w:t>
        <w:br/>
        <w:t xml:space="preserve">3. On the alleged unfairness of the investigation............................................................84  </w:t>
        <w:br/>
        <w:t xml:space="preserve">B. ON THE APPLICABLE LAW..........................................................................................85  </w:t>
        <w:br/>
        <w:t xml:space="preserve">1. The legal context of the steel sector..........................................................................85  </w:t>
        <w:br/>
        <w:t xml:space="preserve">2. The applicability of Community law..........................................................................85  </w:t>
        <w:br/>
        <w:t xml:space="preserve">C. ON THE MERITS OF THE GRIEVANCES.........................................................................86  </w:t>
        <w:br/>
        <w:t xml:space="preserve">1. On the relevant market.................................................................................................86  </w:t>
        <w:br/>
        <w:t xml:space="preserve">2. On the grievance of complex and continuous agreement...........................................87  </w:t>
        <w:br/>
        <w:t xml:space="preserve">a) On the notion of complex and continuous practice...................................................87  </w:t>
        <w:br/>
        <w:t xml:space="preserve">b) On the participation of the companies involved in the agreement............................88  </w:t>
        <w:br/>
        <w:t xml:space="preserve">On the standard of proof of participation in a complex and continuous horizontal agreement................................................................................................................89  </w:t>
        <w:br/>
        <w:t xml:space="preserve">On the standard of proof of adherence to a complex and continuous agreement in Community law.........................................................................................................90  </w:t>
        <w:br/>
        <w:t xml:space="preserve">On the standard of proof of adherence to a horizontal agreement in national law........92  </w:t>
        <w:br/>
        <w:t xml:space="preserve">On the standard of proof applicable to the present case...............................................93  </w:t>
        <w:br/>
        <w:t xml:space="preserve">On the anti-competitive object of the practices..............................................................94  </w:t>
        <w:br/>
        <w:t xml:space="preserve">On the anti-competitive object of national and regional meetings..............................94  </w:t>
        <w:br/>
        <w:t xml:space="preserve">On the anti-competitive object of information exchanges.............................................94  </w:t>
        <w:br/>
        <w:t xml:space="preserve">On the common arguments of several companies contesting the grievances................95  </w:t>
        <w:br/>
        <w:t xml:space="preserve">On the allegedly partial, passive, or forced participation..............................................95  </w:t>
        <w:br/>
        <w:t xml:space="preserve">On the alleged absence of adherence to the implementation of the agreement...........98  </w:t>
        <w:br/>
        <w:t xml:space="preserve">On the participation of Morel and its duration...............................................................99  </w:t>
        <w:br/>
        <w:t xml:space="preserve">On the participation of Maisonneuve.............................................................................100  </w:t>
        <w:br/>
        <w:t xml:space="preserve">On the participation of Liametho..................................................................................101  </w:t>
        <w:br/>
        <w:t xml:space="preserve">On the participation of Clisson Métal...........................................................................102  </w:t>
        <w:br/>
        <w:t xml:space="preserve">On the participation of CODIP......................................................................................102  </w:t>
        <w:br/>
        <w:t xml:space="preserve">On the participation of Ferren Fers..............................................................................103  </w:t>
        <w:br/>
        <w:t xml:space="preserve">On the effects of the practices.......................................................................................104  </w:t>
        <w:br/>
        <w:t xml:space="preserve">D. ON THE SANCTIONS...................................................................................................108  </w:t>
        <w:br/>
        <w:t xml:space="preserve">a) The legal ceiling.........................................................................................................108  </w:t>
        <w:br/>
        <w:t xml:space="preserve">b) The criteria for determining the sanction................................................................110  </w:t>
        <w:br/>
        <w:t xml:space="preserve">c) On the severity of the practices..................................................................................111  </w:t>
        <w:br/>
        <w:t xml:space="preserve">On the general severity of the practices......................................................................111  </w:t>
        <w:br/>
        <w:t xml:space="preserve">The impact of the practices on the market..................................................................111  </w:t>
        <w:br/>
        <w:t xml:space="preserve">The persistence of the practices..................................................................................112  </w:t>
        <w:br/>
        <w:t xml:space="preserve">The geographical scope of the practices......................................................................112  </w:t>
        <w:br/>
        <w:t xml:space="preserve">The material scope of the agreement..........................................................................112  </w:t>
        <w:br/>
        <w:t xml:space="preserve">The sophistication of the practices..............................................................................112  </w:t>
        <w:br/>
        <w:t xml:space="preserve">On the context of crisis and the intervention of public authorities..............................113  </w:t>
        <w:br/>
        <w:t xml:space="preserve">On the characterization of the respective behavior of the companies involved...........114  </w:t>
        <w:br/>
        <w:t xml:space="preserve">On the degree of involvement in the complex practice..............................................114  </w:t>
        <w:br/>
        <w:t xml:space="preserve">On the role of leader.....................................................................................................115  </w:t>
        <w:br/>
        <w:t xml:space="preserve">On the alleged pressures..............................................................................................116  </w:t>
        <w:br/>
        <w:t xml:space="preserve">On the alleged non-application of the agreed measures.............................................117  </w:t>
        <w:br/>
        <w:t xml:space="preserve">On the immediate cessation of the practices...............................................................120  </w:t>
        <w:br/>
        <w:t xml:space="preserve">On the specific case of the union.................................................................................121  </w:t>
        <w:br/>
        <w:t xml:space="preserve">d) On the importance of the damage to the economy..................................................122  </w:t>
        <w:br/>
        <w:t xml:space="preserve">On the quantitative elements characterizing the importance of the damage to the economy................................................................................................................123  </w:t>
        <w:br/>
        <w:t xml:space="preserve">The arguments relating to the comparison of the evolution of margin rates..............123  </w:t>
        <w:br/>
        <w:t xml:space="preserve">The economic study presented by the PUM/Arcelor group companies......................124  </w:t>
        <w:br/>
        <w:t xml:space="preserve">The evaluations presented in session by Descours &amp; Cabaud..................................126  </w:t>
        <w:br/>
        <w:t xml:space="preserve">The arguments relating to the exploitation of Mr. Y's statement...............................127  </w:t>
        <w:br/>
        <w:t xml:space="preserve">On the qualitative elements characterizing the importance of the damage to the economy................................................................................................................127  </w:t>
        <w:br/>
        <w:t xml:space="preserve">The characteristics of the trading of steel products..................................................128  </w:t>
        <w:br/>
        <w:t xml:space="preserve">The size of the market..................................................................................................129  </w:t>
        <w:br/>
        <w:t xml:space="preserve">The diffusion effect on downstream markets..............................................................129  </w:t>
        <w:br/>
        <w:t xml:space="preserve">The profound and lasting disruption of the competitive process...............................129  </w:t>
        <w:br/>
        <w:t xml:space="preserve">e) On the reiteration.........................................................................................................130  </w:t>
        <w:br/>
        <w:t xml:space="preserve">On the existence of a prior infringement finding..........................................................131  </w:t>
        <w:br/>
        <w:t xml:space="preserve">On the definitive nature, as of the date of this decision, of the infringement finding...132  </w:t>
        <w:br/>
        <w:t xml:space="preserve">On the identity or similarity of the practices................................................................132  </w:t>
        <w:br/>
        <w:t xml:space="preserve">On the identity of the applicable standards................................................................133  </w:t>
        <w:br/>
        <w:t xml:space="preserve">On the identity of the companies..................................................................................133  </w:t>
        <w:br/>
        <w:t xml:space="preserve">On the time elapsed between the practices..................................................................134  </w:t>
        <w:br/>
        <w:t xml:space="preserve">f) On the individual situation of the companies.............................................................134  </w:t>
        <w:br/>
        <w:t xml:space="preserve">On the alleged autonomy of the subsidiaries of the PUM/Arcelor group....................134  </w:t>
        <w:br/>
        <w:t xml:space="preserve">On the exemplary effect of the behavior of certain companies....................................135  </w:t>
        <w:br/>
        <w:t xml:space="preserve">On the situation of the smaller companies in the market.............................................136  </w:t>
        <w:br/>
        <w:t xml:space="preserve">On the absence of prior infringement...........................................................................136  </w:t>
        <w:br/>
        <w:t xml:space="preserve">On the absence of economic or financial benefit derived from the practice..................136  </w:t>
        <w:br/>
        <w:t xml:space="preserve">On the attribution to companies..................................................................................137  </w:t>
        <w:br/>
        <w:t xml:space="preserve">On the attribution of anti-competitive practices to a union.......................................138  </w:t>
        <w:br/>
        <w:t xml:space="preserve">On the financial situation of the companies involved...................................................139  </w:t>
        <w:br/>
        <w:t xml:space="preserve">On the economic context at the date of the decision....................................................140  </w:t>
        <w:br/>
        <w:t xml:space="preserve">g) On the procedures leading to a partial exemption or reduction of sanctions...........142  </w:t>
        <w:br/>
        <w:t xml:space="preserve">On the leniency procedure and the situation of Descours &amp; Cabaud..........................142  </w:t>
        <w:br/>
        <w:t xml:space="preserve">On the procedure of non-contestation of grievances....................................................144  </w:t>
        <w:br/>
        <w:t xml:space="preserve">On the procedural situation of Maisonneuve.................................................................144  </w:t>
        <w:br/>
        <w:t xml:space="preserve">On the assessment of the proposed commitments.........................................................144  </w:t>
        <w:br/>
        <w:t xml:space="preserve">h) On the amount of sanctions.......................................................................................146  </w:t>
        <w:br/>
        <w:t xml:space="preserve">For PUM Service Acier.................................................................................................146  </w:t>
        <w:br/>
        <w:t xml:space="preserve">For Arcelor Profil..........................................................................................................146  </w:t>
        <w:br/>
        <w:t xml:space="preserve">For AMD Sud/Ouest......................................................................................................146  </w:t>
        <w:br/>
        <w:t xml:space="preserve">For KDI..........................................................................................................................146  </w:t>
        <w:br/>
        <w:t xml:space="preserve">For Descours &amp; Cabaud SA..........................................................................................147  </w:t>
        <w:br/>
        <w:t xml:space="preserve">For Morel.......................................................................................................................147  </w:t>
        <w:br/>
        <w:t xml:space="preserve">For Maisonneuve............................................................................................................147  </w:t>
        <w:br/>
        <w:t xml:space="preserve">For Clisson Métal...........................................................................................................147  </w:t>
        <w:br/>
        <w:t xml:space="preserve">For Liametho................................................................................................................147  </w:t>
        <w:br/>
        <w:t xml:space="preserve">For CODIP.....................................................................................................................147  </w:t>
        <w:br/>
        <w:t xml:space="preserve">For Ferren Fers..............................................................................................................148  </w:t>
        <w:br/>
        <w:t xml:space="preserve">For the FFDM................................................................................................................148  </w:t>
        <w:br/>
        <w:t xml:space="preserve">i) On the obligation of publication.................................................................................148  </w:t>
        <w:br/>
        <w:t>DISPOSITIF....................................................................................................................150</w:t>
      </w:r>
    </w:p>
    <w:p>
      <w:r>
        <w:rPr>
          <w:b/>
        </w:rPr>
        <w:t>[Pages 7–9]</w:t>
      </w:r>
    </w:p>
    <w:p>
      <w:r>
        <w:t xml:space="preserve">I. Findings  </w:t>
        <w:br/>
        <w:t xml:space="preserve">A. THE REFERRAL TO THE MINISTER IN CHARGE OF ECONOMY  </w:t>
        <w:br/>
        <w:t xml:space="preserve">1. On May 25, 2004, inspection and seizure operations were initiated by the DGCCRF in the premises of a number of French steel product traders. These operations followed an order from the judge of freedoms and detention of the Bobigny High Court dated May 12, 2004, based on Article L. 450-4 of the Commercial Code, which authorized the use of these operations to seek evidence of alleged anti-competitive practices in the steel products sector. This authorization had itself been requested after clients of steel product traders complained about suspicious similarities in the offers received during consultations.  </w:t>
        <w:br/>
        <w:t xml:space="preserve">2. Following these investigations and other inspections and seizures, notably at the headquarters of France Négoce Aciers on July 20, 2004, an administrative investigation report accompanied by 83 annexes was established on March 10, 2005.  </w:t>
        <w:br/>
        <w:t xml:space="preserve">3. Based on this report, the Minister of Economy, Finance and Industry referred, by letter dated July 7, 2005, registered on July 8, 2005 under number 05/0045F, the situation of competition in the steel products trading sector to the Competition Council.  </w:t>
        <w:br/>
        <w:t xml:space="preserve">B. THE LENIENCY APPLICATION OF DESCOURS &amp; CABAUD GROUP  </w:t>
        <w:br/>
        <w:t xml:space="preserve">4. On October 25, 2006, the company Descours &amp; Cabaud SA, which is one of the companies targeted by the investigation, and its subsidiaries submitted a request for the implementation of IV of Article L. 464-2 of the Commercial Code, in support of which they provided statements and documents.  </w:t>
        <w:br/>
        <w:t xml:space="preserve">5. On March 14, 2007, the Competition Council issued opinion No. 07-AC-03 granting Descours &amp; Cabaud SA and its subsidiaries "conditional leniency, with an exemption from the sanction incurred ranging from 10% to 30%, taking into account the rank and the date on which the request was submitted as well as the extent to which the elements provided constitute at this stage a significant added value compared to the elements already available to the competition authorities, and subjecting the exemption to the following conditions:  </w:t>
        <w:br/>
        <w:t xml:space="preserve">- the elements provided by Descours &amp; Cabaud SA and its subsidiaries must have effectively contributed to establishing the reality of the practices denounced, presented as anti-competitive, and to identifying the authors;  </w:t>
        <w:br/>
        <w:t xml:space="preserve">- Descours &amp; Cabaud SA and its subsidiaries must provide the Competition Council and, where applicable, the investigation services of the Minister of Economy, Finance and Industry, with total, ongoing, and prompt cooperation throughout the investigation and instruction procedure and provide them with any evidence that comes into their possession or that they have regarding the suspected infringements;  </w:t>
        <w:br/>
        <w:t xml:space="preserve">- they must cease their participation in the alleged illegal activities without delay and no later than from the notification of this opinion;  </w:t>
        <w:br/>
        <w:t xml:space="preserve">- they must not have taken measures to compel other companies to participate in the infringements;  </w:t>
        <w:br/>
        <w:t xml:space="preserve">- they must not have informed other companies that may be implicated in the denounced practices of their request."  </w:t>
        <w:br/>
        <w:t xml:space="preserve">C. THE RELEVANT SECTOR  </w:t>
        <w:br/>
        <w:t xml:space="preserve">1. STEEL PRODUCTS  </w:t>
        <w:br/>
        <w:t xml:space="preserve">a) The steel sector  </w:t>
        <w:br/>
        <w:t xml:space="preserve">6. Steel is an alloy of iron ore and carbon, frequently used as a raw material in industry (notably automotive) and, like concrete, in construction. According to the European Commission, "it is one of the most important materials used in our society. It is present in the buildings where we live and work, in the transportation we use, and plays a fundamental role in the manufacturing and distribution of the food products we consume. It is also an essential raw material for the vast majority, if not all, of the other branches of the manufacturing industry" (Commission decision of November 21, 2001, case COMP/CECA.1351 - Usinor/Arbed/Aceralia, paragraph 11).  </w:t>
        <w:br/>
        <w:t xml:space="preserve">7. The composition of steel can vary depending on the uses for which it is intended but also on the needs to mitigate certain of its defects (notably its poor resistance to oxidation) or to enhance its qualities (notably hardness and mechanical resistance). Thus, "the first important differentiation within the steel industry is primarily based on the chemistry of steel. Three main categories of steel are distinguished: carbon steel, stainless steel, and special or alloyed steels. Carbon steel is the one we are most familiar with: it is used in a wide range of applications, including car bodies, beverage cans, beams, reinforcing materials in the construction sector, and so on. Stainless steel contains high proportions of chromium and nickel and is therefore much more expensive than carbon steel. It is consequently prioritized for applications that require resistance to corrosion and/or high temperatures. The physical properties of steels can be modified by changes in chemical analysis or by the treatment they receive during their production or subsequent manufacturing processes. For example, beverage cans and knives are two products made from different carbon steels, as the former requires a very ductile material, while the latter requires a very hard material (to maintain their sharpness)" (Usinor/Arbed/Aceralia decision cited above, paragraphs 13 to 15).  </w:t>
        <w:br/>
        <w:t xml:space="preserve">8. There are two main modes (or routes) of steel production: the blast furnace route (or integrated route) and the electric route. The blast furnace route accounts for just over 60% of steel production. It consists of an oxidizing melting of pig iron (in an oxygen converter), which is itself obtained from iron ore and coke. The electric route accounts for just under 40% of steel production. Scrap metal (with recycling accounting for 30% of the electric route) is melted in electric arc furnaces.  </w:t>
        <w:br/>
        <w:t xml:space="preserve">9. The liquid steel obtained is then continuously cast and cooled to form semi-finished products in billets and blooms (i.e., steel bars) for long products and in slabs for flat products. In a minority of cases, it is cast into ingots.  </w:t>
        <w:br/>
        <w:t xml:space="preserve">The next step is rolling (i.e., a permanent deformation made from a rolling mill, which can be done hot or cold) into finished products known as flat (sheets, in coil or roll) or long (beams, bars, rails, etc.).  </w:t>
        <w:br/>
        <w:t xml:space="preserve">10. Global annual steel production was approximately 1,130 million tons in 2005 (of which just over 160 million in the European Union, or 14%, and just under 20 million in France). China was the main producer in 2005 (approximately 350 million, or just under 31%) and the main consumer (just under 28%, with the European Union consuming just over 17%).  </w:t>
        <w:br/>
        <w:t xml:space="preserve">11. In Europe, the outlets are diversified; construction (building structures or works such as bridges or tunnels) represents 24% of volumes, automotive (body structures or engines) 18%. Other outlets include mechanical engineering, tube manufacturing, metal articles, and structural metal parts. In consumer goods, it should be noted that steel is used in household appliances as well as in packaging (beverages, etc.). The trading outlets are more targeted, particularly towards construction professionals.  </w:t>
        <w:br/>
        <w:t xml:space="preserve">b) The evolution of the sector  </w:t>
        <w:br/>
        <w:t xml:space="preserve">The steel crisis  </w:t>
        <w:br/>
        <w:t xml:space="preserve">12. The European steel industry experienced a drop in demand that led to problems of excess supply and overcapacity and, consequently, a low price level from the mid-1970s to 1988, with variations depending on the products. The European Commission therefore implemented a number of measures aimed at protecting the sector.  </w:t>
        <w:br/>
        <w:t xml:space="preserve">13. In 1977, it adopted, under Article 46 of the ECSC Treaty, the "Simonet Plan" under which each company made unilateral voluntary commitments to adapt its supplies to the levels proposed by the Commission each quarter in its forecast program. The "Davignon Plan" came into force in 1978. This new regime added indicative and minimum prices to the unilateral voluntary commitments.  </w:t>
        <w:br/>
        <w:t xml:space="preserve">14. On October 31, 1980, the Commission adopted a decision in which it recognized a manifest crisis within the meaning of Article 58 of the ECSC Treaty and imposed mandatory production quotas for most steel products. The Commission set a general objective for community production per quarter for the different categories of products, and each company was assigned a mandatory production quota and a delivery quota within the common market. These quotas were supplemented, between 1984 and 1986, by a system of minimum prices for beams and other products and by a "monitoring system" under which each company was required to report its supplies by country to the Commission. This monitoring system alone persisted after 1988, until 1990.  </w:t>
        <w:br/>
        <w:t xml:space="preserve">The surge in demand in 2004  </w:t>
        <w:br/>
        <w:t>15. The year 2004 was a very profitable year for the steel sector. That year, global steel production increased by 9% and exceeded one billion tons for the first time. This growth was primarily driven by the surge in demand from China and emerging countries. This strong demand and subsequent demand for raw materials entering the steel manufacturing cycle led to a situation of shortage and a rise in steel prices globally: between December 2003 and November 2004, the increase was just under 9%.</w:t>
      </w:r>
    </w:p>
    <w:p>
      <w:r>
        <w:rPr>
          <w:b/>
        </w:rPr>
        <w:t>[Pages 10–12]</w:t>
      </w:r>
    </w:p>
    <w:p>
      <w:r>
        <w:t>30% for steel products overall and just over 50% for beams.</w:t>
      </w:r>
    </w:p>
    <w:p>
      <w:r>
        <w:t>c) The main products concerned</w:t>
      </w:r>
    </w:p>
    <w:p>
      <w:r>
        <w:t>16. There are a large number of different steel products, each available in several forms, sizes, cuts, and even qualities. These products are homogeneous and standardized. Below are the five main categories concerned by the practices examined hereafter, but the present case involves a larger number of normal carbon steel products.</w:t>
      </w:r>
    </w:p>
    <w:p>
      <w:r>
        <w:t>Long products</w:t>
      </w:r>
    </w:p>
    <w:p>
      <w:r>
        <w:t>Beams</w:t>
      </w:r>
    </w:p>
    <w:p>
      <w:r>
        <w:t>17. Beams are long products, resulting from the hot rolling of billets or blooms on a universal mill allowing for the realization of all classic profiles (I, U, H, etc.). Trading accounts for about 90% of the distribution of beams, as traditional orders from users are not large enough to interest producers. Beams are primarily used for metal construction (industrial storage buildings and agricultural buildings) and public works (supporting structures, piles, bridges). The clientele for these products consists of metal carpenters, metalworkers, locksmiths, public works companies, as well as masons, maintenance services, etc.</w:t>
      </w:r>
    </w:p>
    <w:p>
      <w:r>
        <w:t>Tubes</w:t>
      </w:r>
    </w:p>
    <w:p>
      <w:r>
        <w:t>18. Tubes are hollow bodies defined by a diameter or outer sides. They are actually derived from flat products and consist of a very wide range of products. Their clientele includes locksmiths, metalworkers, metal builders, as well as industrialists who source directly from producers.</w:t>
      </w:r>
    </w:p>
    <w:p>
      <w:r>
        <w:t>Merchant bars</w:t>
      </w:r>
    </w:p>
    <w:p>
      <w:r>
        <w:t>19. Merchant bars are long products that are hot-rolled other than beams and tubes. The share of trading in the distribution of these products is also very significant, around 90%. Its clientele consists of locksmiths, metalworkers, small and medium-sized industrial companies, and metal carpenters.</w:t>
      </w:r>
    </w:p>
    <w:p>
      <w:r>
        <w:t>Reinforcing bars</w:t>
      </w:r>
    </w:p>
    <w:p>
      <w:r>
        <w:t>20. Reinforcing bars (or rods) are steel rods, generally of low quality, used as reinforcements for reinforced concrete. The share of trading in the distribution of rods is about 40%. Its clientele consists of large construction companies and masons.</w:t>
      </w:r>
    </w:p>
    <w:p>
      <w:r>
        <w:t>Flat products</w:t>
      </w:r>
    </w:p>
    <w:p>
      <w:r>
        <w:t>21. Flat products consist of sheets and plates, which differ by their mode of manufacture (sheets are unrolled from coils unlike plates, which can therefore be thicker and wider). The share of trading in the distribution of plates is relatively low, around 10 to 15%. The clientele for these products is numerous and varied, many sourcing directly from factories. It includes companies in the automotive, household appliance, metal furniture sectors, as well as all traditional users of long products.</w:t>
      </w:r>
    </w:p>
    <w:p>
      <w:r>
        <w:t>2. THE TRADE OF STEEL PRODUCTS</w:t>
      </w:r>
    </w:p>
    <w:p>
      <w:r>
        <w:t>22. The trade of steel products represents about 15 to 20% of the steel sold in France (between 2.6 and 3.3 million tons during the period concerned by the grievances). The trade deals with a very heterogeneous and numerous clientele (the number of clients of large trading groups is counted in thousands or even tens of thousands), who do not purchase sufficient volume to be directly supplied by producers, notably in metal construction, locksmithing, and boiler making.</w:t>
      </w:r>
    </w:p>
    <w:p>
      <w:r>
        <w:t>23. The trade is differentiated from manufacturing and direct sales by a number of factors (Commission Decision M. 1329 Usinor/Cockerill of February 4, 1999):</w:t>
        <w:br/>
        <w:t>• the diversity of its clients: compared to the clients of the direct sector, those who procure steel through distribution channels are generally different clients, whose needs are not the same;</w:t>
        <w:br/>
        <w:t>• the smaller size of orders: while sales from steel mills are generally made in tens of tons, those from steel service centers are made in tons and sales from stockists are usually in hundreds of kilograms;</w:t>
        <w:br/>
        <w:t>• the ability of distributors to respond quickly to client needs: delivery times from steel mills are usually measured in weeks, or even months, while traders work in hours or days; steel service centers typically offer just-in-time deliveries and commit to a day, sometimes even to a time slot;</w:t>
        <w:br/>
        <w:t>• the local nature of the activity: distribution points generally serve clients within a limited perimeter relative to their location;</w:t>
        <w:br/>
        <w:t>• the large number of companies associated with this activity, from integrated distributors belonging to steel companies to small independent businesses.</w:t>
      </w:r>
    </w:p>
    <w:p>
      <w:r>
        <w:t>24. Traders fulfill the function of wholesale selling, meaning they make bulk purchases from producers, then resell in smaller quantities. Their storage activity consists particularly of holding a wide variety of steel products in appropriate locations to supply, primarily, but not exclusively, small and medium-sized clients, in quantities of steel that are not sufficiently large to justify dealing directly with steel producers or steel service centers. Furthermore, stockists have steel available for immediate delivery and are therefore able to provide a service that steel producers do not offer. They have also developed their own processing facilities to add value to their products and improve their customer service. This processing includes cutting to length, slitting, shearing, and polishing. The activities of traders cover almost the entire range of steel products.</w:t>
      </w:r>
    </w:p>
    <w:p>
      <w:r>
        <w:t>25. Given the homogeneity of the products and the diffuse nature of the clientele, the trade of steel products is the type of market where competition should primarily occur on price, with other considerations potentially coming into play being the range of products in stock, the availability of these products, the delivery time, and possibly ancillary services.</w:t>
      </w:r>
    </w:p>
    <w:p>
      <w:r>
        <w:t>26. From a pricing perspective, the traders interviewed presented three types of relationships with clients. Small clients, particularly local ones, may order without truly asking for prices. Some clients consult, particularly for large orders, with several traders and split the order line by line if necessary. A few rare large clients have personalized net rates. The proportion of this type of relationship in the client portfolio varies among traders.</w:t>
      </w:r>
    </w:p>
    <w:p>
      <w:r>
        <w:t>3. SALES VOLUMES AND VALUES</w:t>
      </w:r>
    </w:p>
    <w:p>
      <w:r>
        <w:t>27. France Négoce Aciers provided the following data on sales volumes through trading:</w:t>
      </w:r>
    </w:p>
    <w:p>
      <w:r>
        <w:t>Table No. 1: Sales Volumes via Trading in Tons for the Five Main Products</w:t>
      </w:r>
    </w:p>
    <w:p>
      <w:r>
        <w:t>2001 2002 2003 2004 2005 2006</w:t>
      </w:r>
    </w:p>
    <w:p>
      <w:r>
        <w:t>Beams 756,315 688,073 647,210 643,306 593,775 626,155</w:t>
      </w:r>
    </w:p>
    <w:p>
      <w:r>
        <w:t>Merchant bars 456,111 409,984 372,095 354,820 337,260 355,068</w:t>
      </w:r>
    </w:p>
    <w:p>
      <w:r>
        <w:t>Reinforcing bars 179,181 174,337 163,919 163,305 154,903 154,554</w:t>
      </w:r>
    </w:p>
    <w:p>
      <w:r>
        <w:t>Flat products 1,530,567 1,364,796 1,242,074 1,144,149 1,239,631 1,342,029</w:t>
      </w:r>
    </w:p>
    <w:p>
      <w:r>
        <w:t>Tubes 394,741 373,142 362,139 368,480 409,205 415,871</w:t>
      </w:r>
    </w:p>
    <w:p>
      <w:r>
        <w:t>Total 3,316,915 3,010,332 2,787,437 2,674,060 2,734,774 2,893,677</w:t>
      </w:r>
    </w:p>
    <w:p>
      <w:r>
        <w:rPr>
          <w:b/>
        </w:rPr>
        <w:t>[Pages 13–15]</w:t>
      </w:r>
    </w:p>
    <w:p>
      <w:r>
        <w:t>Table No. 2: Detail of Market Shares in Volume for the Five Main Products for the Five Largest Traders</w:t>
      </w:r>
    </w:p>
    <w:p>
      <w:r>
        <w:t>2001 2002 2003 2004 2005 2006</w:t>
        <w:br/>
        <w:t>PUM/ Arcelor [25-35] [25-35] [25-35] [25-35] [25-35] [25-35]</w:t>
        <w:br/>
        <w:t>KDI [25-35] [25-35] [25-35] [25-35] [25-35] [25-35]</w:t>
        <w:br/>
        <w:t>D&amp;C [15-25] [15-25] [15-25] [15-25] [15-25] [15-25]</w:t>
        <w:br/>
        <w:t>Maisonneuve [0-5] [0-5] [0-5] [0-5] [0-5] [0-5]</w:t>
        <w:br/>
        <w:t>Morel [5-15] [5-15] [5-15] [5-15] [5-15] [5-15]</w:t>
        <w:br/>
        <w:t>sellertuoP</w:t>
        <w:br/>
        <w:t>Others [15-25] [15-25] [5-15] [15-25] [5-15] [5-15]</w:t>
        <w:br/>
        <w:t>PUM/ Arcelor [15-25] [15-25] [15-25] [15-25] [15-25] [15-25]</w:t>
        <w:br/>
        <w:t>KDI [25-35] [25-35] [25-35] [25-35] [25-35] [25-35]</w:t>
        <w:br/>
        <w:t>D&amp;C [15-25] [15-25] [25-35] [25-35] [25-35] [25-35]</w:t>
        <w:br/>
        <w:t>Maisonneuve [0-5] [0-5] [0-5] [5-15] [5-15] [5-15]</w:t>
        <w:br/>
        <w:t>Morel [0-5] [0-5] [0-5] [0-5] [0-5] [0-5]</w:t>
        <w:br/>
        <w:t>sénimaL</w:t>
        <w:br/>
        <w:t>Others [15-25] [15-25] [15-25] [15-25] [15-25] [15-25]</w:t>
        <w:br/>
        <w:t>PUM/ Arcelor [5-15] [5-15] [5-15] [5-15] [5-15] [5-15]</w:t>
        <w:br/>
        <w:t>KDI [25-35] [25-35] [25-35] [25-35] [25-35] [25-35]</w:t>
        <w:br/>
        <w:t>D&amp;C [25-35] [25-35] [25-35] [25-35] [25-35] [25-35]</w:t>
        <w:br/>
        <w:t>Maisonneuve [0-5] [0-5] [0-5] [0-5] [0-5] [0-5]</w:t>
        <w:br/>
        <w:t>Morel / / / / / /</w:t>
        <w:br/>
        <w:t>notéb</w:t>
        <w:br/>
        <w:t>sdnoR</w:t>
        <w:br/>
        <w:t>Others [25-35] [25-35] [25-35] [25-35] [25-35] [25-35]</w:t>
        <w:br/>
        <w:t>PUM/ Arcelor [35-45] [45-55] [45-55] [45-50] [35-45] [35-45]</w:t>
        <w:br/>
        <w:t>KDI [5-15] [5-15] [5-15] [5-15] [5-15] [5-15]</w:t>
        <w:br/>
        <w:t>D&amp;C [5-15] [5-15] [5-15] [5-15] [5-15] [5-15]</w:t>
        <w:br/>
        <w:t>Maisonneuve [0-5] [0-5] [0-5] [5-15] [0-5] [0-5]</w:t>
        <w:br/>
        <w:t>Morel [0-5] [0-5] [0-5] [0-5] [0-5] [0-5]</w:t>
        <w:br/>
        <w:t>stalP</w:t>
        <w:br/>
        <w:t>stiudorP</w:t>
        <w:br/>
        <w:t>Others [35-45] [15-25] [15-25] [15-25] [25-35] [25-35]</w:t>
        <w:br/>
        <w:t>PUM/ Arcelor / [15-25] [15-25] [15-25] [15-25] [15-25]</w:t>
        <w:br/>
        <w:t>KDI / [25-35] [15-25] [15-25] [15-25] [15-25]</w:t>
        <w:br/>
        <w:t>D&amp;C / [15-25] [15-25] [15-25] [15-25] [15-25]</w:t>
        <w:br/>
        <w:t>Maisonneuve / [0-5] [0-5] [5-15] [0-5] [5-15]</w:t>
        <w:br/>
        <w:t>Morel / / / / / [0-5]</w:t>
        <w:br/>
        <w:t>sebuT</w:t>
        <w:br/>
        <w:t>Others / [25-35] [25-35] [25-35] [35-45] [35-45]</w:t>
      </w:r>
    </w:p>
    <w:p>
      <w:r>
        <w:t>Table No. 3: Cumulative Market Shares in Volume of the Three Largest Groups of Traders (PUM/Arcelor - KDI - Descours &amp; Cabaud)</w:t>
      </w:r>
    </w:p>
    <w:p>
      <w:r>
        <w:t>2001 2002 2003 2004 2005 2006</w:t>
        <w:br/>
        <w:t>Beams [70-80] [70-80] [70-80] [70-80] [70-80] [70-80]</w:t>
        <w:br/>
        <w:t>Flat Products [70-80] [70-80] [70-80] [70-80] [70-80] [70-80]</w:t>
        <w:br/>
        <w:t>Concrete Rods [60-70] [60-70] [60-70] [60-70] [60-70] [60-70]</w:t>
        <w:br/>
        <w:t>Flat Products [50-60] [70-80] [70-80] [70-80] [60-70] [60-70]</w:t>
        <w:br/>
        <w:t>Tubes / [60-70] [60-70] [60-70] [50-60] [50-60]</w:t>
      </w:r>
    </w:p>
    <w:p>
      <w:r>
        <w:t>28. For almost all products, the groups PUM/Arcelor, KDI, and Descours &amp; Cabaud together represented 60 to 80% of the volumes distributed by FNA members between 2001 and 2006.</w:t>
      </w:r>
    </w:p>
    <w:p>
      <w:r>
        <w:t>29. Regarding sales values, the figures from the various companies involved available in the file are partly uncertain or incomplete: the information collected during the investigation mostly concerned only the five main products and not all products involved in the practices, as shown in the summary presented below in paragraph 159. The companies Morel and Ferren Fers were not subsequently subject to requests for information on this point, just like Clisson Métal, which however provided similar information in its submissions. More generally, the overall figures communicated by the parties do not specify which products are included. Furthermore, the precise values are for some protected by business secrecy. Finally, the amounts communicated by the parties sometimes varied during the investigation.</w:t>
      </w:r>
    </w:p>
    <w:p>
      <w:r>
        <w:t>30. Based on the various documents in the file, estimates by the parties of the share of their turnover dedicated to the products concerned or the financial statements of the companies, it is nevertheless possible to estimate the following orders of magnitude of sales values (for the last complete year before the end of the practices):</w:t>
      </w:r>
    </w:p>
    <w:p>
      <w:r>
        <w:t>Table No. 4: Turnover of the Companies Involved (all normal carbon steel products)</w:t>
      </w:r>
    </w:p>
    <w:p>
      <w:r>
        <w:t>Company Year Approximate Turnover (in millions of euros)</w:t>
        <w:br/>
        <w:t>Group PUM/Arcelor 2003 [550-650]</w:t>
        <w:br/>
        <w:t>PADF 2001 [30-60]</w:t>
        <w:br/>
        <w:t>Métal Pyrénées 2002 [1-5]</w:t>
        <w:br/>
        <w:t>KDI 2003 [300-400]</w:t>
        <w:br/>
        <w:t>Descours &amp; Cabaud 2003 [200-300]</w:t>
        <w:br/>
        <w:t>Morel 2003 [20-40]</w:t>
        <w:br/>
        <w:t>Maisonneuve 2003 [45-60]</w:t>
        <w:br/>
        <w:t>Clisson Métal 2003 [10-15]</w:t>
        <w:br/>
        <w:t>Liametho 2003 [5-10]</w:t>
        <w:br/>
        <w:t>CODIP 2003 [5-10]</w:t>
        <w:br/>
        <w:t>Ferren Fers 2003 [1-5]</w:t>
      </w:r>
    </w:p>
    <w:p>
      <w:r>
        <w:t>D. THE COMPANIES INVOLVED</w:t>
      </w:r>
    </w:p>
    <w:p>
      <w:r>
        <w:t>1. THE PUM/ARCELOR GROUP</w:t>
      </w:r>
    </w:p>
    <w:p>
      <w:r>
        <w:t>31. The current ArcelorMittal group is the result of a series of mergers and acquisitions among steelmakers. In 1999, Usinor, which already owned the companies D'Huart and SLPM in France in terms of trading, acquired the Belgian law group Cockerill Sambre and its distribution subsidiaries including PUM. In 2002, Usinor (and thus Cockerill), Aceralia, and Arbed merged to create Arcelor. The Arcelor group thus integrated the distribution component of the ProfilArbed Distribution France group (hereinafter, "PADF"), which was notably formed by the acquisition of Champion Profil. In 2003, PADF and D'Huart, which were two trading companies specialized in major accounts for beams, merged to create Arcelor Profil. In 2006, Mittal Steel Company acquired Arcelor to create ArcelorMittal. After this operation, the distribution branch of the group gradually regrouped by integrating into a single entity the companies from the same region. A series of mergers and name changes then took place.</w:t>
      </w:r>
    </w:p>
    <w:p>
      <w:r>
        <w:t>32. The trading activity of the Arcelor group has been organized since 1999, headed by the company Produits d'Usines Métallurgiques PUM Station Service Acier (hereinafter, "PUM Service Acier" or "PUM"). PUM is 100% owned by Usinor, a company that has been 100% owned by Arcelor since 2002. It owns all the shares of almost all twenty-one trading subsidiaries of the group also involved in this case, including the companies Arcelor Profil and Arcelor Négoce Distribution (hereinafter, "AND") since their creation in 2003. The companies PADF and Métal Pyrénées were respectively absorbed by Arcelor Profil in 2003 and PMSO (which became AMD Sud/Ouest in 2007) in 2002, but were involved in the practices examined even before these dates.</w:t>
      </w:r>
    </w:p>
    <w:p>
      <w:r>
        <w:t>33. Mr. Jacques X... is the Chairman and CEO of AND and PUM. These two companies had the same address until 2007. Regarding their links, Mr. X... stated in 2004: "PUM exists as a commercial brand" and "the trading of PUM is integrated into AND." The organizational chart of AND indicates the existence of positions assigned to individuals holding functions in trading companies of the group (notably Arcelor Profil and SLPM). Some of these individuals hold management or director positions in several companies of the group. The total consolidated turnover of the companies within the scope of PUM amounted in 2007 to over 1 billion euros. The global consolidated turnover of ArcelorMittal in 2007 amounted to 76.7 billion euros.</w:t>
      </w:r>
    </w:p>
    <w:p>
      <w:r>
        <w:t>2. THE KDI GROUP</w:t>
      </w:r>
    </w:p>
    <w:p>
      <w:r>
        <w:t>34. The current KDI group is the result of the consolidation of a series of traders. In 1994, Nozal and Hardy Tortuaux, two companies that acquired a series of small traders and themselves belonging respectively to Usinor Sacilor and Arbed, created Arus. Between 1996 and 1998, Klöckner acquired 90% of the shares of Arus, with Usinor and Arbed retaining 5% each. The company then took the name KDI and is still today 10% owned by the ArcelorMittal group. Between May and July 1999, KDI, the main operating company of the group in the trading sector, absorbed all 40 to 50 trading companies of the group. Among the current brands, KDI CM specializes in major accounts for beams.</w:t>
      </w:r>
    </w:p>
    <w:p>
      <w:r>
        <w:rPr>
          <w:b/>
        </w:rPr>
        <w:t>[Pages 16–18]</w:t>
      </w:r>
    </w:p>
    <w:p>
      <w:r>
        <w:t>35. The distribution activity is not limited to steel products but also extends to other heavy products, tools, and industrial accessories. The company KDI is controlled and chaired by Klöckner Distribution Industrielle SA. The chairman of the management board of this company is Mr. Philippe Y.... The total consolidated revenue of KDI amounted to 980 million euros in 2007. The global consolidated revenue of Klöckner in 2007 reached 6.3 billion euros.</w:t>
      </w:r>
    </w:p>
    <w:p>
      <w:r>
        <w:t>3. THE DESCOURS &amp; CABAUD GROUP</w:t>
      </w:r>
    </w:p>
    <w:p>
      <w:r>
        <w:t>36. The Descours &amp; Cabaud group (hereinafter, D&amp;C) is a trading group founded in the 18th century. It has diversified into many sectors (non-ferrous and plastic products, fluid transport, industrial plastics, hardware, tools and industrial supplies, personal protective equipment, heating – sanitary, etc.), with steel currently representing 10% of its revenue. The group is of family origin, and the shareholding is now composed of 65% by the founding families, 20% by financiers, and 15% by group employees or the family of former employees. It consists of two networks, the Dexis network (technical trading) and the Prolians network, which includes traders in steel products.</w:t>
      </w:r>
    </w:p>
    <w:p>
      <w:r>
        <w:t>37. It is controlled by Descours &amp; Cabaud SA (hereinafter, "Descours &amp; Cabaud") whose CEO is Mr. Pierre Z..., who holds 100% of the shares of SOGEDESCA and Decaber, the latter holding 100% of the shares of the relevant subsidiaries. The total consolidated revenue of the companies within the scope of Descours &amp; Cabaud amounted to 3.2 billion euros in 2007.</w:t>
      </w:r>
    </w:p>
    <w:p>
      <w:r>
        <w:t>4. THE MOREL DUFERCO GROUP</w:t>
      </w:r>
    </w:p>
    <w:p>
      <w:r>
        <w:t>38. The companies of the Morel regional distribution group were acquired in 1999 by an Italian-Swiss steel producer and trader, the Duferco group. The French trading companies of the group distribute long products (notably beams) and flat products through the company Etablissements Marc Morel et Fils (hereinafter, "Morel") and its subsidiary Morel Duferco Produits Plats, whose premises, accounts, and management are identical. The documents in the file mostly refer to the name "Etablissements Morel" or "Morel," even concerning flat products. These companies are based in Saint Jean d’Ardières and operate in the south and east of France. The revenue of the company Etablissements Marc Morel et Fils amounted to 55.2 million euros in 2007, and that of the company Morel Duferco Produits Plats amounted to 19.6 million euros. The global consolidated revenue of Duferco reached 6.7 billion euros in 2007.</w:t>
      </w:r>
    </w:p>
    <w:p>
      <w:r>
        <w:t>5. THE MAISONNEUVE COMPANY</w:t>
      </w:r>
    </w:p>
    <w:p>
      <w:r>
        <w:t>39. The company Etablissements Maisonneuve (hereinafter, "Maisonneuve") is one of the largest steel traders not covering the entire national territory, as it operates mainly in the greater west of France. It was established in 1936 and was sold to Patrice A..., the current president, in 1971. Its clientele ranges from Brest to the Paris region, from Cherbourg to Poitiers and La Rochelle. Its sales team consists of about 25 people and negotiates approximately 160,000 tons of steel annually (2006 figures) for a revenue of around 100 million euros. The revenue of the Maisonneuve company amounted to 121 million euros in 2007.</w:t>
      </w:r>
    </w:p>
    <w:p>
      <w:r>
        <w:t>6. THE LIAMETHO COMPANY</w:t>
      </w:r>
    </w:p>
    <w:p>
      <w:r>
        <w:t>40. The Liametho company has existed since 1988 and resulted from the takeover by four of its former executives of the family company Liabastre. Its activity consists of trading in steels, stainless steels, aluminum, and concrete reinforcements according to plans. It is based in Honfleur and operates in departments of Normandy and recently towards the DOM-TOM. It is part of the purchasing group SOCODA. The Liametho company has stakes in the capital of another trading company, Clisson Métal, and previously owned a subsidiary with this company, COMET. Its president stated: "We acquired the business of Auto Distribution in La Flèche, which itself had acquired a steel and industrial supplies trading company. We partnered with Clisson Métal to acquire the steel trading business and created Comet (70 for us / 30 for Clisson). Previously, in 1996, we had taken a stake in Clisson Métal (34%). Thus, there is a synergy between us and Clisson Métal (notably for emergency services)." The revenue of the Liametho company amounted to 15.6 million euros in 2007.</w:t>
      </w:r>
    </w:p>
    <w:p>
      <w:r>
        <w:t>7. THE CLISSON MÉTAL COMPANY</w:t>
      </w:r>
    </w:p>
    <w:p>
      <w:r>
        <w:t>41. The company Clisson Métal has been active since the 1920s and took on a corporate form in 1968. It developed throughout the 1990s to reach a stable activity volume in the range of 20,000 to 22,000 tons. The company SA Clisson Métal (hereinafter, "Clisson Métal") engages in trading steels, stainless steels, and aluminum, cutting tubes and open profiles, and manufacturing shaped reinforcements according to plans. It is based in Moncoutant and operates in departments of the Pays de la Loire, Poitou Charentes, and Centre. It is part of the purchasing group SOCODA. The revenue of the Clisson Métal company amounted to 30.2 million euros in 2007.</w:t>
      </w:r>
    </w:p>
    <w:p>
      <w:r>
        <w:t>8. THE CODIP COMPANY</w:t>
      </w:r>
    </w:p>
    <w:p>
      <w:r>
        <w:t>42. The company Comptoir de Distribution Professionnelle (hereinafter, "CODIP") was created in February 1993, in the form of a cooperative of former employees of a hardware company of the DOMO finances group, which was placed in judicial recovery in 1991. The administrator appointed Mr. B..., the current president of CODIP, as general manager with the task of selling the group's companies. A Marseille-based group acquired the hardware activities but did not acquire the assets representing the steel trading business, which, after liquidation, were taken over by the employees. CODIP became a simplified joint-stock company in 2004. It is based in Aix-en-Provence and operates in certain departments of southeastern France. Its revenue for the fiscal year ending June 30, 2008, amounted to 21.2 million euros.</w:t>
      </w:r>
    </w:p>
    <w:p>
      <w:r>
        <w:t>9. THE FERREN FERS COMPANY</w:t>
      </w:r>
    </w:p>
    <w:p>
      <w:r>
        <w:t>43. The company Ferren Fers was acquired in 2001 by CODIP. It is managed by Mr. B..., who is the deputy president and to whom an operations manager and a sales manager report. The company COFER, a holding company of which Mr. B... is the main shareholder, holds the shares of CODIP and the majority of the shares of Ferren Fers. The latter is based in Carpentras and operates in certain departments of southeastern France, which partially overlaps with CODIP's activities. Mr. B... stated regarding the relations between CODIP and Ferren Fers: "The two companies have, for me, natural areas of influence resulting from their historical market areas. They are in two overlapping action zones (Vaucluse). In these border areas, there is no agreement between us: it is total free competition between the two companies, and I do not give any directives when both are consulted. However, in my opinion, it is preferable for both companies to remain in their respective areas of influence (...). At the sales level, FERREN and CODIP have their own logic (they are legally and financially separate), but at the purchasing level, I am the contact person for the factories for both. That is why CODIP retained 25% of the capital of FERREN to justify, if necessary, to the tax authorities the crossovers at the purchasing level." The revenue of the Ferren Fers company amounted to 7.8 million euros in 2007.</w:t>
      </w:r>
    </w:p>
    <w:p>
      <w:r>
        <w:t>10. FRANCE NÉGOCE ACIERS</w:t>
      </w:r>
    </w:p>
    <w:p>
      <w:r>
        <w:t>44. France Négoce Aciers (abbreviated as FNA) is the main union of the steel trading profession. It resulted from the merger in 2000 of two main unions, the SNCPS and the SNIPS, which grouped national traders and regional independents, respectively. More generally, it is the result of successive mergers of trading unions, the oldest of which dates back to 1911, generally constituted by products (for example, the SNCTR, for tubes and fittings, merged with FNA in 2003). FNA changed its name at the beginning of 2008, becoming the Fédération Française de la Distribution des Métaux (abbreviated as FFDM). On this occasion, it integrated unions related to stainless steel (UNAS), copper (SNCM), and aluminum (AFDA). The statutes of FNA at the time of the facts provided for a general assembly, a board of directors, an office, as well as a national college and a regional college. It has, with the approval of SESSI, a mission to collect figures regarding the tonnages distributed on the market for statistical purposes.</w:t>
      </w:r>
    </w:p>
    <w:p>
      <w:r>
        <w:t>E. THE IDENTIFIED PRACTICES</w:t>
      </w:r>
    </w:p>
    <w:p>
      <w:r>
        <w:t>45. The documents in the file, seized or provided by the leniency applicant, and the statements collected reveal the existence of a concerted action among competitors regarding commercial conditions: pricing schedules, ranking of clients based on their potential, maximum discount rates, procedures for monitoring cases and control, etc. The observed behaviors are based on long-standing national and regional habits and were developed under the impetus of the three main national trading groups.</w:t>
      </w:r>
    </w:p>
    <w:p>
      <w:r>
        <w:rPr>
          <w:b/>
        </w:rPr>
        <w:t>[Pages 19–21]</w:t>
      </w:r>
    </w:p>
    <w:p>
      <w:r>
        <w:t>46. Scales and other conditions were defined at the national level. The consultation extended to "pricing" the cases of the most important clients, establishing a pricing reference for less important cases, and adapting national guidelines at the level of each region. These decisions were made during national meetings bringing together the major national trading groups and the most important independents, based on information relayed from the regions.</w:t>
      </w:r>
    </w:p>
    <w:p>
      <w:r>
        <w:t>47. The decisions made, the conditions set, and the scales thus established at the national level were transmitted to the designated "presidents" of the 11 regions dividing the entirety of French territory and defined within the framework of the FNA (Île-de-France, Nord, Normandie, Bretagne and Pays de la Loire, Centre, Aquitaine, Midi-Pyrénées, PACA and Languedoc Roussillon, Rhône-Alpes and Auvergne, Bourgogne and Franche-Comté and Est) and then to the traders. They were subsequently applied or adapted and supplemented throughout all regions, under the direction of the presidents. Meetings were thus organized for the dissemination and feedback of information, for defining adapted pricing conditions from the national level to the regional or departmental level, and for monitoring the application of the arrangements as well as the commercial proposals made by the traders during ongoing or recent consultations. Instances were also established to oversee the practical follow-up of consultations and the defense mechanisms of the consultation (coercive measures against external traders or sanctions against deviating traders).</w:t>
      </w:r>
    </w:p>
    <w:p>
      <w:r>
        <w:t>1. ELEMENTS IDENTIFIED AT THE NATIONAL LEVEL</w:t>
      </w:r>
    </w:p>
    <w:p>
      <w:r>
        <w:t>a) National meetings and their participants</w:t>
      </w:r>
    </w:p>
    <w:p>
      <w:r>
        <w:t>48. The elements in the file reveal the existence of a series of meetings organized under the auspices of the FNA union within the framework of the so-called "forge week" since at least 1999. At least five meetings, spread over two days, took place during the second or third week of each month. During these meetings, measures and commercial conditions, referred to as "arrangements," were defined for various steel products.</w:t>
      </w:r>
    </w:p>
    <w:p>
      <w:r>
        <w:t>The beam club</w:t>
      </w:r>
    </w:p>
    <w:p>
      <w:r>
        <w:t>49. The long products commission (or "beam commission" or "beam club" or "Club P") was scheduled for Monday afternoons during forge weeks. In 2004, according to FNA documents, members included Messrs. C... (FNA president), D... (FNA general delegate), E... (D&amp;C), F... (KDI), who directed it according to his own statements, G... (D&amp;C), H... (D&amp;C), I... (AND), J... (Morel), and K... (Arcelor Profil) (references 19492, 19497, and 23095).</w:t>
      </w:r>
    </w:p>
    <w:p>
      <w:r>
        <w:t>50. Statements from Descours &amp; Cabaud indicate that the companies D’Huart and Maisonneuve also participated. Notebooks seized from the premises of Maisonneuve contain minutes from several "Club P" meetings in Paris, three of which (September 16, 2002, October 1, 2002, and December 16, 2002) include the list of attendees. Among them were Messrs. A... (Maisonneuve), C... and D... (FNA), L... and F... (KDI), H... (D&amp;C), I... (AND), M... (Morel), and P... (D'Huart), Mr. N... (PADF) twice (in 2002) and Mr. J... (Morel) once (in 2003). The agendas for 2002 and 2003 of Mr. Y..., president of KDI, indicate that he attended certain beam clubs or meetings (references 19687, 19688, 14649, 14654, 14666, 8924, 8970, 9026, 9027, 9058, 9072, 9166, and 9167).</w:t>
      </w:r>
    </w:p>
    <w:p>
      <w:r>
        <w:t>51. An invitation letter and the list of attendees indicate that Messrs. E... and H... (D&amp;C), F... and L... (KDI), I... (Champion Profil), O... and P... (D’Huart), Q..., R... and N... (PADF), S... (PUM), K... (Morel), and T... (FNA) attended a "Club P" in September 1999, which is confirmed by statements (references 19158, 19159, and 19822 to 19827).</w:t>
      </w:r>
    </w:p>
    <w:p>
      <w:r>
        <w:t>The tube commission</w:t>
      </w:r>
    </w:p>
    <w:p>
      <w:r>
        <w:t>52. The tube commission was scheduled for Monday mornings during forge weeks. In 2004, according to FNA documents, members included Messrs. C... (FNA president), D... (FNA general delegate), E... (D&amp;C), F... (KDI), U... (EXMA), G... (D&amp;C), H... (D&amp;C), I... (AND), V... (Van Leuwen Tubes), W... (Ets Dubocage), and K... (Arcelor Profil) (references 19492 and 19495).</w:t>
      </w:r>
    </w:p>
    <w:p>
      <w:r>
        <w:t>53. The documents in the file indicate that issues related to tubes could potentially be addressed by the long products commission, whose main focus remains beams. They refer unambiguously to a consultation (national and regional scales) also concerning tubes, as well as merchant plates and wide flats, cold-formed profiles and drawn products, which are treated below with the rest of the long products arrangements.</w:t>
      </w:r>
    </w:p>
    <w:p>
      <w:r>
        <w:t>The flat products commission</w:t>
      </w:r>
    </w:p>
    <w:p>
      <w:r>
        <w:t>54. The flat products commission was scheduled for Monday during forge weeks, before or after the beam commission depending on the period. In 2004, according to FNA documents, members included Messrs. C... (FNA president), D... (FNA general delegate), 1... (Duferco France), 2... (Ets Champion), 3... (Unitol), J... (Morel), and 4... (AND). According to Descours &amp; Cabaud, Messrs. E... and H... (D&amp;C), S... (PUM, until 2003), 5... (SLPM, PUM/Arcelor group), and 6... (Cofrafer) also participated in this commission (references 19492, 19496, and 19685).</w:t>
      </w:r>
    </w:p>
    <w:p>
      <w:r>
        <w:t>The FNA bureau</w:t>
      </w:r>
    </w:p>
    <w:p>
      <w:r>
        <w:t>55. The FNA bureau was scheduled for Tuesday mornings during forge weeks. In 2004, according to FNA documents, members of the bureau included Messrs. C... (FNA president), 7... (Clisson Métal), E... (D&amp;C), F... (KDI), G... (D&amp;C), I... (AND), S... (Berton Sicard), W... (Ets Dubocage), Y... (KDI), 4... (AND), and 8... (Liametho). Notices for FNA bureau meetings from 2002 and 2003 indicate that members at that time included Messrs. 7..., E..., F..., 5... (in 2002 only), I..., S..., W..., Y..., and 8... (references 19492 to 19494, 16123, and 16154).</w:t>
      </w:r>
    </w:p>
    <w:p>
      <w:r>
        <w:t>The meeting of regional presidents</w:t>
      </w:r>
    </w:p>
    <w:p>
      <w:r>
        <w:t>56. The meeting of regional presidents was scheduled for Tuesday mornings, after the bureau. The list of FNA regional presidents is present in the file for the years 2000, 2001, 2002, and 2004, as well as the list of SNCPS regional presidents from 1994 to 2000. In 2004, the regional presidents included Messrs. 9... (1st, independent), W... (2nd, Dubocage), 10... (3rd, KDI), 11... (4th Celtic, CMB-D&amp;C), 12... (4th and 4th Oceanic, KDI), A... (4th Maine), 13... (5th, KDI), 14... (6th, KDI), 15... (7th, KDI), 16... (8th, Berton Sicard – PUM/Arcelor group), 17... (9th, KDI), 18... (10th, KDI), 19... (11th and 11th Alsace/Lorraine, KDI), and 20... (11th Champagne/Ardennes, SMH). Some documents in the file also reveal the existence of vice-presidents of regions, among whom were Messrs. 8... (Liametho, in 3rd), C... (in 4th), and 7... (Clisson Métal, in 6th). A regional manager from KDI stated about this meeting: "I am the president of the 4th region within the FNA. I took this position in 1991 or 1992. In this capacity, I go to the union every month in Paris (the 2nd Tuesday of the month from 10 a.m. to 1 p.m.) to meet with the 10 other regional presidents." According to the leniency applicant, a number of independents and the sales directors of major groups also regularly attended, these meetings being open to all members wishing to obtain information directly, which is confirmed by statements collected during the administrative investigation, notably statements from Mr. A... (Maisonneuve) (references 19492, 19125, 19126, 19123, 19124, 17922, 17923, 19812 to 19816, 19127 to 19145, 14160, 359, 19694 to 19697, and 23076).</w:t>
      </w:r>
    </w:p>
    <w:p>
      <w:r>
        <w:t>b) The purpose of the meetings and the content of the arrangements established</w:t>
      </w:r>
    </w:p>
    <w:p>
      <w:r>
        <w:t>The purpose of the product commissions</w:t>
      </w:r>
    </w:p>
    <w:p>
      <w:r>
        <w:t>57. Generally speaking, the elements in the file indicate that the three product commissions of the FNA had the function, according to an old practice, of defining and modifying national reference scales.</w:t>
      </w:r>
    </w:p>
    <w:p>
      <w:r>
        <w:t>58. Essentially, based on a model or proposals from a leading company for the product concerned, the product commission discussed and adopted a new price scale or modifications to the scale from the previous period, as well as the date of application of the modification. The file contains consistent and similar statements from the various actors interviewed on this point (references 23088 to 23100, 21926 to 21939, 225 to 232, 670 to 674, 1828 to 1838, and 898 to 904):</w:t>
        <w:br/>
        <w:t>• Mr. Y... (KDI): "The beam, flat products, and concrete products commissions proposed to evolve the current reference scale. The proposed modifications were communicated to the regional presidents who determined how they wished to implement it in their region";</w:t>
        <w:br/>
        <w:t>• Mr. H... (Descours &amp; Cabaud): "The scales were defined in a concerted manner in product commissions (FNA) and in the beam club. They were based on scales proposed by one of the major national groups (KDI for beams, PUM which became Arcelor Distribution for flat products in particular), the level of the different tiers of the scale being debated in meetings. Even though there are many references for beams, there are only a few different categories of profiles. Price variations depending on product variations are then automatic. The last column, that of the most important cases, was the most widely debated. The same was true for other steel products, for which there are also many references" and "Regarding the national beam arrangement, the negotiated scales were sales scales, to be applied rigorously. It was a pricing tool, defining in direct reading precisely the selling price to be applied based on the product concerned, the client's potential, and the order tonnage. The tonnage tiers varied over time. For other products purchased by metal constructors, trends, price floors, or certain pricing tiers were planned at the national level. To ensure that the prices applied at the regional level corresponded to these conditions, I then determined for the group complementary instructions to be applied on the DC scales. In general...</w:t>
      </w:r>
    </w:p>
    <w:p>
      <w:r>
        <w:rPr>
          <w:b/>
        </w:rPr>
        <w:t>[Pages 22–24]</w:t>
      </w:r>
    </w:p>
    <w:p>
      <w:r>
        <w:t>general, there was no possibility for the members of the agreement, whether at the national or regional level, to modify the prices determined at the national level. For the prices set at the regional level, it depended on the arrangement established in the region";</w:t>
        <w:br/>
        <w:t>• Mr. A... (Maisonneuve): "the scales are established by the FNA" and "It is the national union that sets the rates and depending on the clients, there is a ranking by importance of companies. These are the clients we call monitored. Rates are recommended based on the importance and potential of these companies (in volume of tonnage). According to this classification, we know which rates to apply to them";</w:t>
        <w:br/>
        <w:t>• Mr. 8... (Liametho): "It is the product commissions that developed the scale thresholds. At the regional presidents' meetings, the representative of the producers was present. It is there that the scale thresholds were disseminated";</w:t>
        <w:br/>
        <w:t>• Mr. D... (FNA): "a leading company for a product would develop a proposed reference scale for it to be examined in committee. FNA would disseminate it at their request to the members of the union" and "It is the beam club that publishes this scale. The FNA then disseminates the information. As for the beam scale, it is KDI that produces it. For flat products, it is Arcelor that produces the scale. Descours &amp; Cabaud publishes the scales for cold profiles and concrete products";</w:t>
        <w:br/>
        <w:t>• Mr. B... (CODIP): "Mr. D... participated in this meeting. He announced new national beam scales to us".</w:t>
        <w:br/>
        <w:t>59. The existence and mechanism of the profession's scales discussed during the product commissions as described by the interviewees during the investigation are confirmed by the statements of the leniency applicant, the multiple references made to them in the documents mentioning the various arrangements described below, as well as the notes taken by Mr. A... (Maisonneuve) during beam clubs on September 2, 2002, September 16, 2002, October 1, 2002, October 21, 2002, December 16, 2002, and April 14, 2003, by Mr. D... (FNA) during a beam club on January 12, 2004, and by Mr. H... (Descours &amp; Cabaud) during a beam club on April 19, 2004, during a tube commission on April 19, 2004, and during a flat products commission on April 20, 2004 (references 19709, 14646, 14649, 14658, 14659, 14666, 14674, 19350, 11182, 11183, and 11188).</w:t>
        <w:br/>
        <w:t>The long products arrangement</w:t>
        <w:br/>
        <w:t>The content of the long products arrangement</w:t>
        <w:br/>
        <w:t>60. Regarding the content of the arrangement, Mr. A... (Maisonneuve) stated: "The arrangement consists of the guiding scales that are provided. They were defined with the aim of being applied strictly. After that, I would ask my collaborator to provide me with reports on the cases of the week that fell outside the arrangement. Depending on the client's volume, there could be a tonnage range or possibly a final discount." He added: "The national arrangement was intended for high-potential clients and included, in addition to the scales, the rankings and monitored clients. The regional and departmental arrangements were similar to the national arrangement in that they established scales, but for smaller cases" (references 23071 to 23084).</w:t>
        <w:br/>
        <w:t>61. The scope of the arrangement varied according to the products concerned. Discussions on beams were the most in-depth. For this product, in addition to the common scales, general rankings of clients and the framework for discounts, existing for all products, a more elaborate ranking of the most important clients based on their potential was jointly developed. A distribution of market shares was established on this basis. The main body of this consultation was the beam commission. It is presented by the leniency applicant as the place where the agreement was developed, where it continued, and where its operation was controlled, through a precise examination of client consultations, the responses made to these consultations, and their results. Mr. E... (Descours &amp; Cabaud) thus stated: "It is in this body that the true agreement of the profession was 'concocted.' Indeed, the beam is a strategic product among the major traders who distribute about 90% of this product on the market" (references 19823 to 19827). This arrangement was monitored and tightened in September 2003.</w:t>
        <w:br/>
        <w:t>Pricing: base scales and discounts</w:t>
        <w:br/>
        <w:t>62. Like the other commissions, the beam club discussed and established the national reference scale (which primarily aimed to determine the prices to be applied for the most important beam clients, based on their ranking) as well as the discounts for beams. This scale then served as a reference for determining the regional scales for smaller clients. The club also discussed the scales and other pricing conditions concerning other products that could be sold to the same clients or at the same time as the beams (rolled products as well as tubes, rods, etc.) as well as associated services (cutting in particular), in order to prevent competition from playing among traders respecting the arrangement related to the beams themselves but lowering their prices on other items of the orders (references cited above, paragraph 59, and statements from Descours &amp; Cabaud, references 21926 to 21939 and 19709).</w:t>
        <w:br/>
        <w:t>63. The seized documents show that discussions covered both the general elements of scale evolution, the dates of application of changes, client rankings, maximum possible discounts, commercial conditions related to products other than beams, and significant or problematic markets in the 11 regions. Thus, the minutes of a meeting dated September 2, 2002 (reference 14646) illustrate the extent of the consultation:</w:t>
        <w:br/>
        <w:t>"2/9/02 Club P. Paris</w:t>
        <w:br/>
        <w:t>(...)</w:t>
        <w:br/>
        <w:t>Increase of €15</w:t>
        <w:br/>
        <w:t>and €10</w:t>
        <w:br/>
        <w:t>(...)</w:t>
        <w:br/>
        <w:t>List of ranked clients 19/7/02</w:t>
        <w:br/>
        <w:t>As of 1/10 +€20/25 as of 1/10</w:t>
        <w:br/>
        <w:t>Application of the scale as of 1/8/02</w:t>
        <w:br/>
        <w:t>Respect for the rankings of 19/7/02</w:t>
        <w:br/>
        <w:t>L.M Scales as of 1/8/02 Maximum discount 15%</w:t>
        <w:br/>
        <w:t>L.Flat id</w:t>
        <w:br/>
        <w:t>Tubes 1/9 5"</w:t>
        <w:br/>
        <w:t>64. The continuation of the minutes, titled "The Markets," enumerates "monitored" and "non-monitored" markets for each of the 11 regions.</w:t>
        <w:br/>
        <w:t>65. The classic scales in the trading of steel products consist for each product (category, reference, and size) of between three and eight columns, corresponding to a price relative to a tonnage range. Traditionally, the quotation of a consultation is done by direct reading, depending on the requested tonnage, adding the price of cutting if applicable. However, in the case of beams, the determined conditions were more elaborate than those concerning other products.</w:t>
        <w:br/>
        <w:t>Client rankings</w:t>
        <w:br/>
        <w:t>66. Mr. A... (Maisonneuve) stated, regarding the ranking of clients: "It is the national union that establishes the rates and depending on the clients, there is a ranking by importance of companies. These are the clients we call monitored. Rates are recommended based on the importance and potential of these companies (in volume of tonnage). According to this classification, we know which rates to apply to them" (reference 226).</w:t>
        <w:br/>
        <w:t>67. The ranking is established based on the potential of orders made by a client to all traders. The ranking of a client refers to a tonnage range or a value corresponding to the quotation to be applied, regardless of the quantities requested during the consultation. As a result, the prices to be applied to these clients are set in advance. Rankings existed for all product categories since at least 1999 (for example, references 10382 to 10435 and 10467 to 10472).</w:t>
        <w:br/>
        <w:t>68. This ranking was, however, much more developed in terms of beams and accompanied by a monitoring and control arrangement. Important clients were referred to, depending on the periods and actors, as "monitored clients" or "high-potential clients." The definition of the ranking of monitored clients was carried out at the FNA by the beam club, as explained by the following statements (references 23123 to 23133, 1828 to 1838, and 1348 to 1355):</w:t>
        <w:br/>
        <w:t>• Mr. Y... (KDI): "The beam commission decided on the monitored beam clients for the national level. For the regions (monitored clients of all products, including beams), it was a regional collegial decision taken under the leadership of the regional president";</w:t>
        <w:br/>
        <w:t>• Mr. D... (FNA): "In principle, quotations are made on a case-by-case basis, based on the tonnage ranges of the scales developed by the companies. But large clients purchase significant tonnages. Companies discuss the validity of the rankings (A, B, L) based on their view of the potential of the clients. Sometimes, companies do not agree on the potential of certain clients. These discussions took place during the beam commissions. The ranking was done on this occasion";</w:t>
        <w:br/>
        <w:t>• Mr. F... (KDI): "club P" means beam club during which we were led to discuss the situation in metal construction, we also examined the upstream situation and ranked the largest clients as L, A, B. This gave us an idea of the potential of these clients, whose purchases in beams all go through trading unlike flat products."</w:t>
        <w:br/>
        <w:t>69. The rates proposed to the concerned clients were determined based on their ranking and the conditions set for each class. The scales concerning beams, as well as most client lists, therefore included this reference to the category of the concerned client. Furthermore, on lists of monitored clients, and in order to refine the definition of the conditions to be applied, a maximum discount (in percentage or in</w:t>
      </w:r>
    </w:p>
    <w:p>
      <w:r>
        <w:rPr>
          <w:b/>
        </w:rPr>
        <w:t>[Pages 25–27]</w:t>
      </w:r>
    </w:p>
    <w:p>
      <w:r>
        <w:t>value) (for example, references 22369 to 22384, 22401 to 22416, 22735 to 22754, 22761 to 22765, 22807 to 22809, 22813 to 22838 and 22058 to 22064).</w:t>
      </w:r>
    </w:p>
    <w:p>
      <w:r>
        <w:t>70. Mr. 21... (KDI) stated, regarding the categories of monitored clients (reference 392): "Among the monitored clients, there are clients L as free; then there is a hierarchy A and B: A are very large clients and B are important clients. This classification is an FNA classification." B thus corresponds to the traditional last column of the scale (50 tons and more most often), A concerns larger clients, for whom the conditions are better, and L are even more favored clients. On certain tables present in the file, there is the mention "P", which means that these are managed clients, that is to say, clients for whom a trader, most often their main supplier, ensures the monitoring of consultations, orders placed, and tonnages delivered by each competitor in order to determine whether the prices and market share distribution decided for this client are respected. Furthermore, less important clients were classified as "C". These clients were mainly treated at the regional level (decisions on classifications and pricing conditions to be applied).</w:t>
      </w:r>
    </w:p>
    <w:p>
      <w:r>
        <w:t>71. The monitored clients were defined at the beginning of the year 2001: a list of important clients (a little less than 120) was established based on feedback from various traders on order volumes (tonnages achieved) for the years 1999 and 2000. Preparatory documents are thus included in the file, some dated March 2001 and detailing the average percentage of market shares among a series of clients in the 4th region for seven traders: Descours &amp; Cabaud, D’Huart, KDI, Maisonneuve, Morel, ProfilArbed, and PUM (references 8161, 8162, and 8166).</w:t>
      </w:r>
    </w:p>
    <w:p>
      <w:r>
        <w:t>72. Furthermore, documents clarify the method to be retained for defining monitored clients, as well as a number of operational rules of the system then put in place. One, dated April 2, 2001, mentions regarding the 4th region a system whose scope is nevertheless national (references 13921 to 13923):</w:t>
        <w:br/>
        <w:t>“3° Definition of the percentages of achievements of each company based on the average reference tonnages achieved in 1999/2000, declared by each of them, with the possibility of verification by RM → FNA</w:t>
        <w:br/>
        <w:t>(...)</w:t>
        <w:br/>
        <w:t>4° From these references, designation of "pilots" (1-2 or 3) and "followers" with the objective that each company finds its % of achievements, with the exception of about 30 clients concerned by DESCORS &amp; CABAUD ATLANTIQUE.</w:t>
        <w:br/>
        <w:t>→ 1 single contact person per company and per client.</w:t>
        <w:br/>
        <w:t>5° The "pilots" determine the prices to be practiced for recording orders and will be "protected" by the "followers" who will provide prices PILOT + 30 to 50 F/T.</w:t>
        <w:br/>
        <w:t>The "followers" call the "pilot" to know conditions and prices during each consultation.</w:t>
        <w:br/>
        <w:t>6° The point will be made every two weeks by the members of Club P with communication for each company:</w:t>
        <w:br/>
        <w:t>- end of month meeting: recording/tonnes of the last 15 days;</w:t>
        <w:br/>
        <w:t>- mid-month meeting: recording/tonnes of the first 15 days, and invoicing of month M-1.</w:t>
        <w:br/>
        <w:t>25</w:t>
      </w:r>
    </w:p>
    <w:p>
      <w:r>
        <w:t>7° Other clients regions:</w:t>
        <w:br/>
        <w:t>- Maintenance of the 20T scale from 01/01/2001</w:t>
        <w:br/>
        <w:t>- Maximum discount allowed 250 F/T</w:t>
        <w:br/>
        <w:t>The region has no authority to define lower conditions without prior agreement from Club P.</w:t>
        <w:br/>
        <w:t>The region will communicate to FNA → RM the list of its classifications.</w:t>
        <w:br/>
        <w:t>8° Conditions for rolled products – wide flats</w:t>
        <w:br/>
        <w:t>- For the 117 monitored clients: scale 20 T maximum discount 8%</w:t>
        <w:br/>
        <w:t>- Other clients: see the region.</w:t>
        <w:br/>
        <w:t>9° Start date: April 2, 2001</w:t>
        <w:br/>
        <w:t>10° On 17/04/2001, at 16:30, Club P invites the regional presidents for a first point. (…)”.</w:t>
      </w:r>
    </w:p>
    <w:p>
      <w:r>
        <w:t>73. The tables attached to this document present the monitored clients for the 4th and 5th regions and mention for each concerned client the potential in tonnes, the tonnages D&amp;C for 1999 and 2000, the objective for 2001, the prices C1 as well as the names of the pilots (references 13924 to 13926).</w:t>
      </w:r>
    </w:p>
    <w:p>
      <w:r>
        <w:t>74. The updating of the client rankings also took place at the beam club, as indicated by the following two documents (references 8730 and 9089):</w:t>
        <w:br/>
        <w:t>• an internal email at KDI from Mr. F... formulated as follows:</w:t>
        <w:br/>
        <w:t>“Decision of Club P from yesterday:</w:t>
        <w:br/>
        <w:t>1/ application of the scale to direct reading of cuts. The 30% discount is removed.</w:t>
        <w:br/>
        <w:t>2/ GAGNE moves from L to A</w:t>
        <w:br/>
        <w:t>3/ VINSON is no longer monitored thus managed by the region.</w:t>
        <w:br/>
        <w:t>4/ BRISARD at DAMPIERRE moves from L to A”;</w:t>
        <w:br/>
        <w:t>• the notes from the week 16 page of Mr. Y...'s agenda:</w:t>
        <w:br/>
        <w:t>“FNA Office: - resellers</w:t>
        <w:br/>
        <w:t>Beams do not agree with the proposal</w:t>
        <w:br/>
        <w:t>- free clients</w:t>
        <w:br/>
        <w:t>- the €10 did not pass.</w:t>
        <w:br/>
        <w:t>of less than 50t – 10 we moved to 50t – 20”.</w:t>
      </w:r>
    </w:p>
    <w:p>
      <w:r>
        <w:t>75. When questioned about this document, Mr. Y... stated: “I suppose I did not agree with the proposal made at the beam club to change the tier of monitored clients.”</w:t>
      </w:r>
    </w:p>
    <w:p>
      <w:r>
        <w:t>76. A large number of lists of these clients, national or regional, specifically concerning beam clients, with or without mention of the pilots, as well as email communications referencing them, exist in the file (for example, Excel file “monitored clients with pilots.xls” and references 20021 to 20044, 14634 and 14635).</w:t>
        <w:br/>
        <w:t>26</w:t>
      </w:r>
    </w:p>
    <w:p>
      <w:r>
        <w:t>Monitoring of market shares</w:t>
      </w:r>
    </w:p>
    <w:p>
      <w:r>
        <w:t>77. Mr. H... (Descours &amp; Cabaud) stated, regarding the use of the client ranking: “At the same time as the price control, it was decided (on initial impulse from PAD then immediately from KDI) to freeze market shares. Therefore, even before dealing with the scales, it was a matter of identifying, classifying the metal construction clients and studying the figures from the previous two years in order to proceed with the distribution of market shares.”</w:t>
      </w:r>
    </w:p>
    <w:p>
      <w:r>
        <w:t>78. A document dated June 1, 2001, widely disseminated internally at Descours &amp; Cabaud, provides information on the practical functioning of tonnage feedback and the monitoring of the achievement of objectives (references 13916 and 13917):</w:t>
        <w:br/>
        <w:t>“1°/ We are sending you, in annex, tables of order recordings of monitored clients, for the period from 2/04 to 25/05.</w:t>
        <w:br/>
        <w:t>Table No. 1: For each company, point between the average of achievements 1999/2000 (D) and the achievements (R) for the considered period. You will notice that our % achieved is identical to that of our averages 1999/2000 and that we are lagging behind the 6th, 7th, 9th, and 11th regions.</w:t>
        <w:br/>
        <w:t>Table No. 2: Achievements by company and by client of tonnages in absolute value.</w:t>
        <w:br/>
        <w:t>Table No. 3: table by company and by client of achievements in %.</w:t>
        <w:br/>
        <w:t>2°/ For the 28 monitored clients listed in the attached list, it was decided:</w:t>
        <w:br/>
        <w:t>to carry out a control of the tonnages declared sold in April 2001 in each company;</w:t>
        <w:br/>
        <w:t>we will soon set the "modalities".</w:t>
        <w:br/>
        <w:t>To entrust the management to a single person (please note the changes that have occurred).</w:t>
        <w:br/>
        <w:t>3°/ Reminder of the conditions, for any business up to 100 T (regardless of its origin):</w:t>
        <w:br/>
        <w:t>One single scale in force: that of 2/05/2001</w:t>
        <w:br/>
        <w:t>Discounts for monitored clients: to facilitate use, we are attaching for each of them the discounts to be applied by category of beam, knowing that:</w:t>
        <w:br/>
        <w:t>- for clients benefiting from a discount of less than or equal to 530 F (excluding BO category), the maximum discount may be 530 F/T,</w:t>
        <w:br/>
        <w:t>- for clients benefiting from a discount of greater than or equal to 530 F (excluding BO category), the conditions remain unchanged.</w:t>
        <w:br/>
        <w:t>4°/ We take this opportunity to inform you that you must communicate to us, for mandatory reception on Friday, June 15 before 10:00 AM, the following information:</w:t>
        <w:br/>
        <w:t>Invoicing of beams for May 2001</w:t>
        <w:br/>
        <w:t>Recordings of beams for the period from 2/04 to 14/06 inclusive.”</w:t>
      </w:r>
    </w:p>
    <w:p>
      <w:r>
        <w:t>79. The table No. 1 mentioned in the instructions is dated May 28, 2001, and presents, by region, for the period April/May 2001 and for seven traders (Descours &amp; Cabaud, D'Huart, KDI, Maisonneuve, Morel, ProfilArbed, and PUM), the percentage of sales (“achievements”) on average over the years 1999 and 2000 and the percentage of orders recorded from April 2 to May 25, 2001. This document was prepared by the beam club (statement of Mr. H..., in whose office the document was found). Tables No. 2 and 3, also dated May 28, 2001, detail, by monitored clients, the</w:t>
      </w:r>
    </w:p>
    <w:p>
      <w:r>
        <w:rPr>
          <w:b/>
        </w:rPr>
        <w:t>[Pages 28–30]</w:t>
      </w:r>
    </w:p>
    <w:p>
      <w:r>
        <w:t>réalisations (in tonnage and percentage) of the same seven traders from April 2 to May 25 (references 13918, 1181 and 19828 to 19840).</w:t>
      </w:r>
    </w:p>
    <w:p>
      <w:r>
        <w:t>80. Similar monitoring documents are included in the file. Depending on the cases, they aim to provide a global follow-up of tonnages or objectives and achievements regarding clients from the 11 regions (in percentage and tonnage), to reference orders placed with certain monitored clients and the group to which the pilot belongs, to list, for a given region and period, the requests from monitored clients, the orders taken and the conditions offered, or to calculate the percentage of consultations for which orders have been declared and concluded at the agreed price. The companies concerned by these tables are all or part of the PUM/Arcelor group, PADF, KDI, Descours &amp; Cabaud, Martin Belaysoud, Morel, and Maisonneuve. An "others" category is sometimes included (for example, references 19972, 19973, 20098 to 20111, 13293, 4496 to 4509 as well as Excel files named "POUT 9E REG SEPT 02.xls", "8 10 au 22102002.xls" and "CR affaires 91003.xls").</w:t>
      </w:r>
    </w:p>
    <w:p>
      <w:r>
        <w:t>81. To create these tables, traders provided the FNA with precise information on the tonnages achieved with monitored clients. This could be done by mail, as was the case with the company Maisonneuve in February and May 2003 regarding about fifty monitored clients for 2001, 2002, and January to April 2003, or electronically: the file titled "synthèse pilotage oct-nov FNA" is included in the file, as well as files to be filled out (titled "synthèse pilotage") for a given period to be returned to the FNA and including for all or part of the 11 regions the columns "client", "potential", "volumes in consultation" or "consultation (total tonnage)", "volumes declared by participant" or "consultations by participant", "volumes recorded by participant" or "orders by participant" and in some cases "% of market by participant" or "observations". Mr. D... (FNA) stated regarding these documents that they were "to validate the rankings of clients that were made (based on the addition of tonnages achieved with the various companies)" and that "these data were examined during beam meetings" (references 14602 to 14604, 14529, 20112, 20121, 1828 to 1838 as well as the file "synthèse pilotage.xls").</w:t>
      </w:r>
    </w:p>
    <w:p>
      <w:r>
        <w:t>82. The beam club or the FNA centralized the information feedback and created tables similar to that of May 28, 2001, presented above in paragraph 79. Five series of summary tables from the FNA and distributed, according to the leniency applicant, during or after the meetings of the beam commission contain information on the performances achieved in terms of beams for seven traders (Descours &amp; Cabaud, D'Huart, KDI, Maisonneuve, Morel, PADF, and PUM) across all regions and overall for clients corresponding to the list of monitored clients from 2001. The company Descours &amp; Cabaud stated: "These tables constituted the true core of the agreement since they allowed for the control of beam sales levels: - at each 'monitored' client; - in each of the 11 regions of the agreement; - and at the national level" (reference 19687). The tables are dated July 2001, October 2001, or December 2001 and each contains part of the following information (references 19792 to 19796 and 20260 to 20574):</w:t>
        <w:br/>
        <w:t>• level of market shares decided jointly based on performances from 1999 and 2000;</w:t>
        <w:br/>
        <w:t>• orders recorded between June 25 and October 10, 2001, in tons and then in percentages;</w:t>
        <w:br/>
        <w:t>• deliveries from September 2001, in tons and then in percentages;</w:t>
        <w:br/>
        <w:t>• deliveries from the third quarter of 2001, in tons and percentages;</w:t>
        <w:br/>
        <w:t>• percentages of actual deliveries from the second quarter of 2001, the third quarter of 2001 between June 25 and October 10, 2001, from September 2001 and from November 2001;</w:t>
        <w:br/>
        <w:t>• invoicing from November 2001, in tons and then in percentages;</w:t>
        <w:br/>
        <w:t>• market analysis of beams: high potential, low potential, average achievement for 1999 and 2000, achievements from April to November 2001 and projection for 2001.</w:t>
      </w:r>
    </w:p>
    <w:p>
      <w:r>
        <w:t>83. Such information cannot be obtained in isolation by a trader. Their establishment and dissemination exceed the scope of the authorization granted by the administration to the FNA to collect statistical data. The feedback of information and the control of consultations, declared tonnages, and sold tonnages allowed for a global follow-up of the evolution of the arrangement but also of market shares and their distribution as decided jointly. This is confirmed by the following documents and statements (references 9063, 1181, and 13307):</w:t>
        <w:br/>
        <w:t>• notes taken in Mr. Y...'s agenda, which also confirm the idea that a distribution of market shares took place in the Beam Club: "Perrin Constr. Métallique S knows exactly everything that was said on 3/1/02 at the Beam Club – market shares distributed beforehand";</w:t>
        <w:br/>
        <w:t>• the statement of Mr. H... (Descours &amp; Cabaud): "Within the framework of the beam club, we wanted to set market shares at monitored clients (...) When in the achievements, we were behind, we took measures to recover our delay";</w:t>
        <w:br/>
        <w:t>• a document dated November 13, 2003, relating to a monitored client and containing the following mentions: "TOTAL BEAM CONSULTATIONS IN OCTOBER: 115T. DIS (name of a company belonging to the Descours &amp; Cabaud group) HANDLED 55T. OR 47% FOR A TARGET OF 26%. KDI HANDLED 37T. OR 32% FOR A TARGET OF 25%. CHAILLOUS HANDLED 23T. OR 20% FOR A TARGET OF 32%".</w:t>
      </w:r>
    </w:p>
    <w:p>
      <w:r>
        <w:t>The evolution of the consultation and the strengthening of the long products arrangement in 2003</w:t>
      </w:r>
    </w:p>
    <w:p>
      <w:r>
        <w:t>84. The arrangement evolved through successive tightening. The year 2001 is notably marked by the establishment of the "monitoring" presented above. The year 2003 is marked by the strengthening of the beam arrangement and the establishment of a flat products arrangement. In this regard, Mr. H... (Descours &amp; Cabaud) stated: "[E]ven before 2001, within the framework of monthly national meetings, we determined, on various steel products, trends, minimum sales instructions or scales. This did not prevent the regions from organizing and 'legislating' to establish a more precise mode of operation by products. In April 2001, given the volume declines for all steel products and a drop in profitability, especially in the beam market (the product in which trading is most present), the situation was difficult and we decided, with the two other major national groups (PAD, which later became ARCELOR DISTRIBUTION and KDI) that it was necessary to regulate prices nationally and therefore the margins of this product which represented very significant tonnages and whose prices were particularly disturbed. Along with price control, it was decided (initially prompted by PAD and then immediately by KDI) to freeze market shares. From then on, even before addressing scales, it was a matter of identifying, ranking metal construction clients and studying the figures from the previous two years in order to proceed with the distribution of market shares. For such an arrangement to function, the company MOREL was immediately involved, given its importance in the sector. In a second phase, the company MAISONNEUVE, well established particularly in the West, was also involved. Initially, the new arrangement only concerned beams which were the most consumed products by the selected metal construction clients. For other products, the previous state was maintained (i.e., monthly national meetings setting trends, minimum conditions, and/or scales for all products and all references, possibly supplemented by more detailed regulations at the regional level). However, in practice, while respecting the beam conditions, other services could allow for the recovery of business. It was quickly understood that, to operate effectively, the arrangement could not only concern beams. That is why the conditions for certain associated services, particularly cutting, which has real value in our business, were defined at the national level. Then we evolved towards other products sometimes sold to metal construction clients at the same time as beams and that certain regions were already regulating (rolled products, sheets, construction tubes, cold profiles). The results and the intensity of the arrangement on these other products varied. An arrangement discussed in flat products commissions and tube commissions, for example, functioned among metal construction clients for flat products and construction tubes based on a "spot scale". Within the framework of the Beam Clubs, a scaling was established in the same spirit for cold profiles, also purchased by metal construction clients, based on a KDI scale. Furthermore, within the framework of product commissions, DESCOURS &amp; CABAUD was asked to consider a national scale for rebar: this scale was created but did not yield results due to the small share of trading in this activity. In the same vein, certain rules were established to avoid polluting the application of the arrangement. First, sales considered semi-direct were defined (in terms of tonnage and delivery time). These sales represent a small share of overall activity and margins are always reduced. However, prices have never been regulated on semi-direct sales and orders from monitored clients, who are important clients, could sometimes be treated as semi-direct sales to escape the arrangement. It was therefore important to set the criteria for defining this type of sales. Next, there is a difference between theoretical weight and weighed weight, and some clients request to pay only the weighed weight. This can affect the commercial conditions applied. The few clients to whom weighed weight could be billed were therefore identified and listed."</w:t>
      </w:r>
    </w:p>
    <w:p>
      <w:r>
        <w:t>85. The elements in the file thus reveal the establishment, under the impetus of the three main traders, of the relaunch of the long products arrangement in 2003. Meetings took place between them on July 30, 2003 (also in the presence of representatives from Morel),</w:t>
      </w:r>
    </w:p>
    <w:p>
      <w:r>
        <w:rPr>
          <w:b/>
        </w:rPr>
        <w:t>[Pages 31–33]</w:t>
      </w:r>
    </w:p>
    <w:p>
      <w:r>
        <w:t>2 September and 8 September 2003 (also in the presence of representatives from Maisonneuve) (references 1997 to 20020, 8164 and 8165, 10919 to 11049, 8870 to 9220 and 14688).</w:t>
      </w:r>
    </w:p>
    <w:p>
      <w:r>
        <w:t>86. The following table lists the instructions from this period found respectively in each of the three major groups of traders and attests to a very high degree of similarity between them. It also shows that the system established in September 2003 covers nationally all long products and all scenarios that may be encountered in the markets: major clients and smaller ones, semi-direct sales, etc. (references 10252 to 10255, 9708 to 9711, 8256 to 8258, 17733 to 17735 as well as file "1_next1.ppt"):</w:t>
      </w:r>
    </w:p>
    <w:p>
      <w:r>
        <w:t>Table No. 5: Instructions Distributed Among the Three National Traders in September 2003</w:t>
      </w:r>
    </w:p>
    <w:p>
      <w:r>
        <w:t>D&amp;C KDI PUM</w:t>
        <w:br/>
        <w:t>Transcription of a handwritten document</w:t>
        <w:br/>
        <w:t>Aff. Beams &gt; Application of the "trading scale" &gt; Application of the trading scale &gt; Direct reading wholesale scale</w:t>
        <w:br/>
        <w:t>clients &gt; Discounts on this scale - Discounts on this scale No new markets or</w:t>
        <w:br/>
        <w:t>A and L are prohibited are prohibited renewal of contracts</w:t>
        <w:br/>
        <w:t>&gt; Neither new markets nor - Neither new markets nor</w:t>
        <w:br/>
        <w:t>renewals renewals Direct reading cuts</w:t>
        <w:br/>
        <w:t>&gt; Application of the scale &gt; Cuts: June 99 -30%</w:t>
        <w:br/>
        <w:t>"cuts" at direct reading - Full application of the shot blasting paint</w:t>
        <w:br/>
        <w:t>- package cut scale "cuts"</w:t>
        <w:br/>
        <w:t>- cuts for See scale - For package cuts</w:t>
        <w:br/>
        <w:t>and metric length: see</w:t>
        <w:br/>
        <w:t>metric length</w:t>
        <w:br/>
        <w:t>scale</w:t>
        <w:br/>
        <w:t>&gt; Application of the GPP scale from June 99 with &gt; GPP: application of the</w:t>
        <w:br/>
        <w:t>possibility of a 30% discount GPP scale from June 99 with</w:t>
        <w:br/>
        <w:t>possibility of a 30% discount</w:t>
        <w:br/>
        <w:t xml:space="preserve">LM &gt; Scale of March 1, 2003: → National scale of March 1, 2003 with a maximum discount of 25% </w:t>
        <w:br/>
        <w:t>maximum discount 25% on column "20T and +"</w:t>
        <w:br/>
        <w:t xml:space="preserve">Tubes &gt; Scale of April 1, 2003: → National scale April 1, 2003 with a maximum discount of 25% </w:t>
        <w:br/>
        <w:t>maximum discount 25% on column "20T and +"</w:t>
        <w:br/>
        <w:t>Monthly monitoring of these clients Monthly monitoring within the framework</w:t>
        <w:br/>
        <w:t>by a regional Long Products club (new definition of the Long Products clubs</w:t>
        <w:br/>
        <w:t>as of October 1) and compliance with these prices</w:t>
      </w:r>
    </w:p>
    <w:p>
      <w:r>
        <w:t xml:space="preserve">Aff. Beams &gt; Application of the "reference scale" &gt; Application of the reference scale with discounts of –50€ to 60€ </w:t>
        <w:br/>
        <w:t>clients &gt; Possible discount of 50 or 60 euros depending on the client - [illegible word]</w:t>
        <w:br/>
        <w:t>according to the indication of this column</w:t>
        <w:br/>
        <w:t>- neither new markets nor</w:t>
        <w:br/>
        <w:t>&gt; Neither new markets nor</w:t>
        <w:br/>
        <w:t>renewals renewals Direct reading cut</w:t>
        <w:br/>
        <w:t>&gt; Cuts: and L</w:t>
        <w:br/>
        <w:t>&gt; Application of the scale "cuts" at direct reading - Full application of the</w:t>
        <w:br/>
        <w:t>scale "cuts"</w:t>
        <w:br/>
        <w:t>- package cut</w:t>
        <w:br/>
        <w:t>- For package cuts</w:t>
        <w:br/>
        <w:t>- cuts for See scale</w:t>
        <w:br/>
        <w:t>and metric length: see</w:t>
        <w:br/>
        <w:t>metric length</w:t>
        <w:br/>
        <w:t>scale</w:t>
        <w:br/>
        <w:t>&gt; Application of the GPP scale</w:t>
        <w:br/>
        <w:t>&gt; GPP: application of the</w:t>
        <w:br/>
        <w:t>GPP scale from June 99 with</w:t>
        <w:br/>
        <w:t>possibility of a 30% discount</w:t>
        <w:br/>
        <w:t>possibility of a 30% discount</w:t>
        <w:br/>
        <w:t xml:space="preserve">LM &gt; Retail trading scale to be → Retail scale to be built from the national scales </w:t>
        <w:br/>
        <w:t>built from the national scale starting from the national scale of March 1, 2003</w:t>
        <w:br/>
        <w:t>of March 1, 2003</w:t>
        <w:br/>
        <w:t>&gt; The maximum discounts to</w:t>
        <w:br/>
        <w:t>apply, for the 10T deals, are &gt; - The maximum discounts to apply,</w:t>
        <w:br/>
        <w:t>20% on each column for the 10T deals, are</w:t>
        <w:br/>
        <w:t>20% on each column</w:t>
        <w:br/>
        <w:t xml:space="preserve">Tubes &gt; Retail trading scale to be → Retail scale to be built from the national scales </w:t>
        <w:br/>
        <w:t>built from the national scale starting from the national scale of April 1, 2003</w:t>
        <w:br/>
        <w:t>of April 1, 2003</w:t>
        <w:br/>
        <w:t>&gt; The maximum discounts to</w:t>
        <w:br/>
        <w:t>apply, for the 10T deals, are &gt; - The maximum discounts to apply,</w:t>
        <w:br/>
        <w:t>20% on each column for the 10T deals, are</w:t>
        <w:br/>
        <w:t>20% on each column</w:t>
        <w:br/>
        <w:t>Monitoring of this application by the regions.</w:t>
      </w:r>
    </w:p>
    <w:p>
      <w:r>
        <w:t>Aff. For the DEFINITION 1 &gt; No pricing of the No pricing of the</w:t>
        <w:br/>
        <w:t>semi-direct categories &gt; No pricing of the producers to traders producers to traders ??</w:t>
        <w:br/>
        <w:t>1 to 5 producers to traders foreign for the French market No pricing of the</w:t>
        <w:br/>
        <w:t>French producers to users</w:t>
        <w:br/>
        <w:t>foreign for the French market &gt; No direct pricing Aff 100T mini</w:t>
        <w:br/>
        <w:t>of producers to</w:t>
        <w:br/>
        <w:t>&gt; No direct pricing 10T mini per post</w:t>
        <w:br/>
        <w:t>of producers Delivery at a single point and 1</w:t>
        <w:br/>
        <w:t>&gt; 100-ton deal only [illegible word]</w:t>
        <w:br/>
        <w:t>to users</w:t>
        <w:br/>
        <w:t>minimum</w:t>
        <w:br/>
        <w:t>Deadline &gt; 1 month</w:t>
        <w:br/>
        <w:t>&gt; 100-ton deal</w:t>
        <w:br/>
        <w:t>&gt; 10-ton post minimum</w:t>
        <w:br/>
        <w:t>commercial length</w:t>
        <w:br/>
        <w:t>&gt; 10-ton post in</w:t>
        <w:br/>
        <w:t>&gt; Direct delivery from the factory</w:t>
        <w:br/>
        <w:t>commercial length</w:t>
        <w:br/>
        <w:t>to the client or the site</w:t>
        <w:br/>
        <w:t>&gt; Direct delivery from the factory at a single delivery point</w:t>
        <w:br/>
        <w:t>to the client or the site in one go</w:t>
        <w:br/>
        <w:t>&gt; Deadline &gt; 1 month</w:t>
      </w:r>
    </w:p>
    <w:p>
      <w:r>
        <w:rPr>
          <w:b/>
        </w:rPr>
        <w:t>[Pages 34–36]</w:t>
      </w:r>
    </w:p>
    <w:p>
      <w:r>
        <w:t>For the DEFINITION 2 &gt; No pricing for Aff min 50T categories &gt; No pricing for producers to traders 5T in lengths [illegible word] 0 and 6 producers to foreign traders for the French market &gt; No direct pricing from producers &gt; No direct pricing from producers to users &gt; Cases of 50 tons minimum &gt; Post of 5 tons in commercial length &gt; Direct delivery from the factory to the client or the site at a single delivery point and in one go &gt; Deadline &gt; 1 month &gt; In the case of mixed business (categories 0 and 6 + other categories), it is the first definition that applies.</w:t>
      </w:r>
    </w:p>
    <w:p>
      <w:r>
        <w:t>87. An internal note from the company KDI written by Mr. F..., dated September 10, 2003, concerning the "commercial policy September to December 2003," includes the mentions "application as of September 15, 2003" and "Long Products arrangement will be strengthened on October 1, 2003." Notes taken during a conference call by Mr. X... gathering all the distribution subsidiaries of the PUM/Arcelor group by two subsidiary managers contain the following mentions and passages: "execrable conjunctural evolution," "Long products and flat products," "Start on 15/09," "Complete locking on 1/10," "Arrangement accompanied by sanctions," "Words of J. X... on AND Descours KDI &gt; we respect the commitment made at the professional level," "our respect is accompanied by respect for others," and "monitoring/control put in place," as well as: "3 factors: execrable conjunctural evolution, certain increase in upstream AND under close surveillance (are we participating in the market degradation?) Formal agreement to maintain prices in the French market - from 15/9 - locked on 1/10 arrangement accompanied by sanctions exemplary discipline [illegible word] does not mean naivety (surveillance and control) Ensure that colleagues respect the arrangement."</w:t>
      </w:r>
    </w:p>
    <w:p>
      <w:r>
        <w:t>88. Mr. D... (FNA) qualified these documents as "instructions 'thresholds' (minimum conditions) given by the general management of the groups" and specified that "the subsidiaries always have the possibility to apply higher rates." Their similarity demonstrates that they were decided jointly and transmitted in September 2003, which is also confirmed by these notes from Mr. A... (Maisonneuve), dated after this date: "The September agreement concerns a global arrangement: - Beams - L.M. - L.Pl - Tubes - PAF - P. Flats and with all clients." Documents from 2004, also seized from Maisonneuve, confirm the maintenance of an arrangement following the same principles (references 1828 to 1838, 15175 and 14850 to 14856).</w:t>
      </w:r>
    </w:p>
    <w:p>
      <w:r>
        <w:t>The flat products arrangement</w:t>
      </w:r>
    </w:p>
    <w:p>
      <w:r>
        <w:t>89. In 2003, the establishment of an arrangement concerning flat products replicating the beam arrangement was also decided. As indicated above, the flat products commission discussed, established, or modified until then pricing conditions prepared by the PUM/Arcelor group, which were then disseminated within the three major groups as well as to the regional presidents, who transmitted them to the traders in their region.</w:t>
      </w:r>
    </w:p>
    <w:p>
      <w:r>
        <w:t>90. Documents prior to September 2003 and dating back to 1999 confirm that concerted conditions on flat products were disseminated within the profession. These include meeting minutes, internal sales instructions from the groups, communications of pricing conditions by regional presidents, occasional exchanges of instructions, or even regional summaries of arrangements. Furthermore, although the classification was not as advanced as in the case of beams, general client scales are included in the file, covering, for all products including flat products, the pricing column to be applied to them (references 15692 to 16032, 11253, 16776 to 16778, 17965 to 17967, 8719 to 8727, 20156 to 20259, 8317, 8318, 8327, 10410, 14371, 8343, 7221, 17957 to 17962 and 14622).</w:t>
      </w:r>
    </w:p>
    <w:p>
      <w:r>
        <w:t>91. Starting from September 2003, alongside the tightening of the arrangement concerning beams, the transposition of monitoring of important clients – previously applied only to beams – to flat products was decided. A monitoring system was thus added, as had been the case in 2001 for beams, to the scales and rankings in force. The arrangement put in place is as follows, as presented in the same internal note from KDI as that cited in paragraph 87: "Flat products arrangement Store and semi-direct business: a. Monitored Clients: The scale (net price to the client) for direct reading as of September 15 is to be applied for all monitored clients whose list is attached. Discounts on this scale are prohibited. This list may be supplemented by the regions. b. Diffuse clientele: Retail scale to be constructed by the regions starting from the scale of May 2, 2003. Maximum discount to be applied for important business: 50 euros on the column "10 to 20 T" of this scale" (references 8256 to 8258 and 10253).</w:t>
      </w:r>
    </w:p>
    <w:p>
      <w:r>
        <w:t>92. This arrangement was also disseminated in the regions, as evidenced by an email from Mr. 12... (KDI), president of the 4th region, to several traders: "In addition to the note on the conditions for the 4th region for the month of September, we specify that the national Flat Products arrangement is reinforced by a 'monitoring structure' of the selected files. Modified list attached. Mr. Jacques 39… will assume the role (...) Reminder of the conditions: - Application of the wholesale scale of 08/09/03 Net price for the listed clients only - Systematic declaration of consultations to J. 39…. Please inform your salespeople concerned by these clients. - An analysis of the business will be made during the monthly regional meeting. - A report will be made the Thursday before the FNA meeting" (reference 10289).</w:t>
      </w:r>
    </w:p>
    <w:p>
      <w:r>
        <w:t>93. To implement this arrangement, and as had been the case for beams in 2001, a list of monitored clients was established. Five intermediate documents then definitive established between August and October 2003 and including more or less clients are in the file. The figures from the last lists stabilize at a level close to the number of monitored clients in beams. Mr. D... (FNA) confirmed that this system was put in place in the fall of 2003. He explained that "the monitoring structure in question is inspired by the management for long products" and that "the 'national flat products arrangement' is nothing more than what is done at the level of beams for this family of products. The traders listed the clients by potential (the large potentials) within the flat products commission for the 11 regions" (references 20045 to 20072, 10289 to 10293, 10437 to 10452, 1828 to 1838 as well as the file "selected files during the meeting of 02.09.03.xls").</w:t>
      </w:r>
    </w:p>
    <w:p>
      <w:r>
        <w:t>94. After September 2003, information on the flat products arrangement continued to be provided by the same means but referred to monitored flat products clients (summaries, internal instructions, and transmission via the regional president), for whom a follow-up of the business is carried out (references 14856, 14857, 14837 to 14849, 11971 to 11973, 18196, 20138 to 20151, 19507, 19511, 19518, 19523, 19527, 19530, 19531, 19532, 19550 and 19554 to 19556, 14296 and 15646).</w:t>
      </w:r>
    </w:p>
    <w:p>
      <w:r>
        <w:t>The activity of the FNA office</w:t>
      </w:r>
    </w:p>
    <w:p>
      <w:r>
        <w:t>95. The office is a meeting provided for by the statutes of the FNA. The agenda for the meeting on April 16, 2002, was as follows: "1. Position of the profession on the evolution of payment conditions, 2. Evolution of the organization of the 11th region, 3. Update on 'non-reporting' member files, 4. Market situation and 5. Various questions," while that for the meeting on May 20, 2003, was: "1. General situation. 2. Report from the commissions. 3. Position regarding regional associations. 4. Creation of a training center at F.N.A.? 5. PFTE summary. 6. Various questions" (references 16123 and 16154).</w:t>
      </w:r>
    </w:p>
    <w:p>
      <w:r>
        <w:t>96. The documents in the file indicate that the FNA office was responsible for validating changes made to the geographical definition or to the direction of the regions. It also drew up the list of steel product traders as well as, within the framework of "services commission," the ancillary pricing practices (transport costs, payment terms, packaging, etc.) of each, conducting a census of the various costs charged by a large number of traders across the 11 steel regions or recommending rates. These missions were assigned to a particular member of the office, including Mr. 8... (Liametho) in 2003 on transport costs and ancillary costs and Mr. F... (KDI) in 2000 on ancillary services. An internal report from KDI on the activity of this commission proposes that the relevant points be addressed at the next office meeting and concludes as follows: "It is necessary to reactivate the 'scales' commission a. to launch new national or regional scales on: - concrete bars - welded mesh - cold-formed profiles - etc....," which shows that recommendations on services are placed on the same level as the establishment of scales (references 19190, 19364, 19189, 19147, 19148, 16156 to 16159 and 8152).</w:t>
      </w:r>
    </w:p>
    <w:p>
      <w:r>
        <w:t>97. According to the leniency applicant, the FNA office reviewed issues inherent to the functioning of the union and informed participants of the content of the previously cited meetings they had not necessarily attended. For both long products and flat products, the sales directors of KDI and PUM communicated orally during this meeting the decisions that would then be transmitted to the regional presidents. This is confirmed by the notes taken by Mr. D... during the office meeting on January 13, 2004, in which the scales of the different products and the modalities for transmitting information are discussed, as well as by those taken by Mr. Y... (KDI) in his agenda.</w:t>
      </w:r>
    </w:p>
    <w:p>
      <w:r>
        <w:rPr>
          <w:b/>
        </w:rPr>
        <w:t>[Pages 37–39]</w:t>
      </w:r>
    </w:p>
    <w:p>
      <w:r>
        <w:t>2002 to the notes of week 16 (April 15 to 21). The latter also stated: "I was a member of the board of the FNA, which is the executive body of the FNA: at that time, this board dealt with the internal functioning of the union (the current Board of Directors deals with the legal life of the union), notably the regional commissions and meetings, for which it ensured that they took place, that the upstream situation was known, and that the work of the commissions was monitored by the regions" and "The board, which was aware of the evolution of upstream products, could indicate to a commission that given the evolution of upstream prices, a certain movement in the reference scale was desirable" (references 19692 to 19694, 19351, 9089 and 23088 to 23100).</w:t>
      </w:r>
    </w:p>
    <w:p>
      <w:r>
        <w:t>The activity of the regional presidents' meeting</w:t>
        <w:br/>
        <w:t>98. Essentially, this meeting was the junction point between the national level and the regional level of consultation. The regional presidents attended, gathered information from producers as well as the orientations or decisions made by the various commissions (or the board). They then provided an update on the situation and the application of the arrangement in their region. The elements in the file are consistent regarding the content of these meetings. First, representatives of producers (often from Arcelor) came to present the trends of their upcoming pricing conditions. Then, respectively for long products and flat products, the sales directors of KDI and PUM orally communicated the arrangement to be implemented. Subsequently, each regional president commented orally, for their region, on the market situation, prices, and the behavior of operators. It was then their responsibility to disseminate, by mail or electronic sending, the information gathered in their region, in the regular meetings held there. Mr. 15... (KDI), president of the 7th region, confirms this process: "The primary role of the regional president was to attend a monthly meeting in Paris where we met with producers (ARCELOR tubes, ARCELOR flat products, and ARCELOR long products) who spoke to us about the economic situation at their level in the context of shortages. Each regional president had to summarize the local situation on the ground: the mission was to synthesize the information. Finally, it was necessary to relay the information at the level of each region (notably regarding price increases)" (references 1005 to 1014).</w:t>
      </w:r>
    </w:p>
    <w:p>
      <w:r>
        <w:t>99. These elements are also confirmed by the various notes from these meetings that are in the file, of which two representative examples are mentioned below (references 19352, 19353, 4800 to 4804, 4286 to 4289, 3839 to 3849 and 1185 to 1188):</w:t>
        <w:br/>
        <w:t>• the notes taken by Mr. D... during the meeting of January 13, 2004: they include information presumably provided by the producers, then quick notes on the scales (which he must have already known) and finally elements on the 11 regions concerning operators, clients, and compliance with the arrangement ("R1: all scales are in place", "R2 (...) 5 to 20T → fight: must verify the implementation of the scales", "R3 Adaptation of regional scales to national", etc.);</w:t>
        <w:br/>
        <w:t>• the notes taken by Mr. 15..., president of the 7th region during the same meeting as well as during those of March 16 and April 20, 2004: these notes also refer to the presentations of the producers and then to the variations of the scales on all products (explicit mentions of Mr. 4... on January 13 and April 20 and of Mr. I... on January 13 as well as strict instructions " + 50 euros on Flat Products all categories by May 3", "1st scale &lt; to direct reading, no more discounts on clients B", "2nd scale of bulk A and L → modification of the cutting scale", etc.).</w:t>
      </w:r>
    </w:p>
    <w:p>
      <w:r>
        <w:t>100. The meeting of the regional presidents thus concluded the union's consultation meetings of the "week of forges."</w:t>
      </w:r>
    </w:p>
    <w:p>
      <w:r>
        <w:t>c) Other bilateral or multilateral contacts</w:t>
        <w:br/>
        <w:t>101. The documents in the file attest to the existence, in addition to the commissions and meetings involving a large number of traders within the framework of the "week of forges," of regular meetings between the sales directors and the presidents of the three major national trading groups, accompanied by representatives of the FNA, during which the follow-up and orientation of the consultation were discussed. Furthermore, bilateral contacts, by phone or by mail, took place between traders.</w:t>
      </w:r>
    </w:p>
    <w:p>
      <w:r>
        <w:t>The lunches of the sales directors</w:t>
        <w:br/>
        <w:t>102. The documents seized at the FNA mention "Tuesday lunches" organized after the meetings of the regional presidents. Not all traders participated in these lunches, which were reserved for the sales directors of the three major national groups. Thus, attending these lunches in 2004 were Messrs. C..., (FNA president), E... (D&amp;C), F... (KDI), G... (D&amp;C), H... (D&amp;C), I... (AND), Y... (KDI) and 4... (AND). Previously, (at least until March 2001) Mr. T... represented the FNA in place of Mr. C..., (at least until 2003) Mr. S... represented PUM/AND in place of Mr. 4..., Mr. L... represented KDI (in 1999) and Mr. 22... represented SLPM (in 1999). These lunches took place in Paris, at "Petit Colombier" until 2002 and at "Vinci" after 2002 and served to synthesize the important elements of the consultation. They were indeed an opportunity for analyzing the information gathered and the decisions made during previous meetings. Furthermore, the participants agreed on instructions to communicate and made adjustments or reminders in case of slippage in the follow-up of the arrangement. The costs were borne alternately by the participants, and the company Descours &amp; Cabaud provided, as part of its leniency application, the expense notes for ten of these meals, from 1997 to 2004 (19498, 10919 to 11104, 8870 to 9220, 19913 to 19927, 20615 to 20628, 20666 and 20667). The table below lists the participants in the lunches concerned by these expense notes:</w:t>
      </w:r>
    </w:p>
    <w:p>
      <w:r>
        <w:t>Table No. 6: Participants in the lunches of the sales directors</w:t>
        <w:br/>
        <w:t>16/12/97 26/08/99 20/03/01 18/09/01 22/01/02 18/02/03 17/06/03 14/10/03 13/01/04 20/04/04</w:t>
        <w:br/>
        <w:t>FNA Mr. C... X X X X X X X X</w:t>
        <w:br/>
        <w:t>Mr. T... X X X</w:t>
        <w:br/>
        <w:t>D&amp;C Mr. E... X X X X X</w:t>
        <w:br/>
        <w:t>Mr. G... X</w:t>
        <w:br/>
        <w:t>Mr. H... X X X X X X X X</w:t>
        <w:br/>
        <w:t>KDI Mr. L... X</w:t>
        <w:br/>
        <w:t>Mr. F... X X X X</w:t>
        <w:br/>
        <w:t>Mr. Y... X X X X X X X</w:t>
        <w:br/>
        <w:t>PUM Mr. I... X X X X X X X X X</w:t>
        <w:br/>
        <w:t>AND</w:t>
        <w:br/>
        <w:t>Mr. 4... X X</w:t>
        <w:br/>
        <w:t>Mr. S... X X X X X X X X</w:t>
        <w:br/>
        <w:t>Mr. 22... X</w:t>
      </w:r>
    </w:p>
    <w:p>
      <w:r>
        <w:t>The dinners of the presidents</w:t>
        <w:br/>
        <w:t>103. The documents seized at the FNA mention "presidents' dinners," bringing together the leaders of the three major groups as well as that of the FNA. Thus, in July 2003, Messrs. C... (FNA president), X... (PUM), Y... (KDI) and Z... (D&amp;C) were invited. The company Descours &amp; Cabaud stated regarding these dinners gathering the presidents of the three major national groups, as well as possibly their sales directors and the president of the FNA, that they took place at irregular intervals but about two to three times a year. The purpose was as follows: "In light of the exchanges on the steel market (production as well as distribution), a point on the general functioning of the agreement was made. The operational difficulties of the 'agreement' were highlighted and the families of products concerned by the 'agreement' were defined" (references 19499, 19700 to 19702 and 19769 to 19771).</w:t>
      </w:r>
    </w:p>
    <w:p>
      <w:r>
        <w:t>104. The costs were borne alternately by the participants, and the company Descours &amp; Cabaud provided, as part of its leniency application, an expense note for a dinner on November 25, 2002 at "Pressoir," which gathered Messrs. Q... (PAD), I... (PADF), Z... (D&amp;C), E... (D&amp;C), Y... (KDI) and C.... Furthermore, the 2002 and 2003 agendas of Mr. Y... mention presidents' dinners on the following dates and locations: March 13, 2003 (at "Maison du Danemark"), June 10 and December 16, 2003 (at "Faugeron"), January 14 (location not specified, preceded by a meeting with representatives of the FNA, D&amp;C, and PUM) and June 10, 2002 (location not specified) and April 8, August 29, and November 25, 2002 (at "Pressoir"). They also indicate a dinner on April 9, 2003 with Messrs. X... and 23..., lunches with Mr. X... on July 25 and December 11, 2003, and a meeting with Messrs. X..., I... and 23... at KDI on August 26, 2003 (references 19928 to 19938, 8938, 8964, 9018, 9062, 9086, 9126, 9152, 8946, 8977, 9016 and 8986).</w:t>
      </w:r>
    </w:p>
    <w:p>
      <w:r>
        <w:t>The telephone contacts and other bilateral contacts</w:t>
        <w:br/>
        <w:t>105. The documents gathered in the file reveal that bilateral contacts between traders, notably the major groups, could occur by mail or by phone. Mr. H... (Descours &amp; Cabaud) indicated that if "there were no bilateral contacts on the substance or on market shares, [there] were, however, for clients or businesses. Some cases were resolved between two rather than in meetings." The file includes two notebooks listing the phone calls received by Mr. F..., from the KDI group. They show that he was in regular contact with a number of competing traders (including PUM/Arcelor, D&amp;C, and Morel), central points, or the FNA. Mr. Y...'s agenda (KDI) also indicates a number of calls made to Mr. Z... (D&amp;C), Mr. Q... (PAD), Mr. X... (AND) and Messrs. C... and D... (FNA) (references 21926 to 21939, 8576 to 8637 and 9238 to 9298 and 8870 to 9220).</w:t>
      </w:r>
    </w:p>
    <w:p>
      <w:r>
        <w:t>106. Finally, traders contacted each other to mutually inquire about the outcome of lost business or to inform each other of price levels (including Maisonneuve with KDI, Chaillous and PUM) and organized in some cases meetings or bilateral exchanges on consultations, client rankings, or the establishment of specific scales (including Descours &amp; Cabaud with KDI and with PUM and CODIP with KDI) (references 10369 to 10371, 14550 to 14557, 14559 to 14571, 22777 to 22794 and 16688 to 16694).</w:t>
      </w:r>
    </w:p>
    <w:p>
      <w:r>
        <w:rPr>
          <w:b/>
        </w:rPr>
        <w:t>[Pages 40–42]</w:t>
      </w:r>
    </w:p>
    <w:p>
      <w:r>
        <w:t>d) Monitoring of National Arrangements</w:t>
      </w:r>
    </w:p>
    <w:p>
      <w:r>
        <w:t>107. While the guidelines for the "long products" arrangement were decided at the national level, its implementation was regional, with most cases being decided at this latter level. The monitoring elements of the "long products" arrangement are sometimes identical or overlap with the monitoring of arrangements concerning other products.</w:t>
      </w:r>
    </w:p>
    <w:p>
      <w:r>
        <w:t>The Dissemination of Decisions Made and Agreed Conditions</w:t>
      </w:r>
    </w:p>
    <w:p>
      <w:r>
        <w:t>108. The decisions made at the national level were transmitted to the various traders by electronic message, fax, or mail, notably through the regional president (sometimes with the addition of conditions related to the region) or the union. They were also relayed within the companies and groups. The decisions made by the product commissions were disseminated by the regional presidents or by the FNA union concerning the different products. Below are representative examples of these exchanges, concerning different regions:</w:t>
        <w:br/>
        <w:t>• for the 1st region, an electronic message from Mr. 9... (president of the 1st region) to Mr. A... reminding the contact details of the central point of the first region, the declaration threshold (5 tons), and communicating the list of monitored beam clients nationally with their discounts by category (references 14634 and 14635);</w:t>
        <w:br/>
        <w:t>• for the 8th region, sends by Mr. 24..., president of the region, of price lists and rankings for more than 22 clients, by electronic messages to 14 traders in the region (including PUM, PADF, KDI, Descours &amp; Cabaud, Morel, Ferren Fers, and CODIP) in June 2002 and by fax to Descours &amp; Cabaud in September 2002, a similar document having been found at CODIP in September 2003. The file also reveals the sending of three price lists to a very large number of traders and the sending of a corrective price list from Mr. 16... (who succeeded Mr. 24... as regional president) to Mr. S... following the dissemination of a price list by the FNA (references 16776 to 16778, 17966, 17967, 18580, 18581, 18910, 18911, and 19582);</w:t>
        <w:br/>
        <w:t>• for the 3rd, 4th, 9th, and 10th regions, transmissions of price lists (and other instructions) by the regional president (references 20152 to 20155, 13485 to 13494, 19507 to 19511, 22640, 22353 to 22355, and 22390 to 22400), including, for the 9th region, sends by Mr. 17... to PUM, KDI, Descours &amp; Cabaud, and Morel (references 22513 to 22719);</w:t>
        <w:br/>
        <w:t>• sends via the FNA to the regional presidents or traders including PUM, PADF, KDI, Descours &amp; Cabaud, Morel, Maisonneuve, CODIP, and Ferren Fers (references 4439, 4454, 4455, 14721, and 19576 to 19585).</w:t>
      </w:r>
    </w:p>
    <w:p>
      <w:r>
        <w:t>Regular Monitoring by Traders</w:t>
      </w:r>
    </w:p>
    <w:p>
      <w:r>
        <w:t>109. The national arrangements were monitored and adapted by the companies, in a more or less formal manner. Thus, meetings (detailed below) organized under the authority of the regional presidents at the regional, sub-regional, or departmental level, general or specifically dedicated to beams, were an opportunity not only to disseminate the price lists and other decisions made at the national level but also to discuss past cases and the behavior of each operator. They could also be the venue for requests for justifications or even sanctions for deviations (for example, references 14573 to 14583, 14996 to 16032, 9937 to 10373, 18153 to 18188, 18656 to 18785, 18912 to 18967).</w:t>
      </w:r>
    </w:p>
    <w:p>
      <w:r>
        <w:t>110. In case of difficulty, conflicts could be addressed at the level of national meetings, given the frequent feedback from the subsidiaries of the three major groups to their commercial directors or product managers. Mr. H... (Descours &amp; Cabaud) stated in this regard: "The monitoring of cases was done in meetings, based on potential price offers or sometimes invoices. (...) Generally, points were made during the meetings of the Beam Club and the meetings of the commercial directors of the national groups at the FNA, as well as between the presidents of the national groups. It was on these occasions that the monitoring of cases was carried out and measures aimed at ensuring discipline were taken. The infringing company had a hard time. In this regard, in addition to allowing for the clarification of certain points or the officialization of the rules and behaviors to be followed, the lunches of the commercial directors were also an opportunity to set things straight in a smaller committee when violations had been observed" (references 21926 to 21939 and for examples of internal feedback on deviations, references 4669 to 4775, 10245 to 10254, and 18186).</w:t>
      </w:r>
    </w:p>
    <w:p>
      <w:r>
        <w:t>111. Traders also conducted their own monitoring of cases, either sporadically or in a general and methodical manner. Thus, a series of summary tables of the "dysfunctions" observed or direct requests for explanations on lost cases with competitors or the union, by mail or by phone, were notably found in the premises of the company Maisonneuve (references 15148 to 15172, 15191 to 15204, 13739, 13755, 13781).</w:t>
      </w:r>
    </w:p>
    <w:p>
      <w:r>
        <w:t>Management of Consultations by Pilots and Central Points</w:t>
      </w:r>
    </w:p>
    <w:p>
      <w:r>
        <w:t>The Concepts of Pilot and Central Point</w:t>
      </w:r>
    </w:p>
    <w:p>
      <w:r>
        <w:t>112. On a day-to-day basis, referents were established to gather information and monitor consultations at the level of a client or a geographical area. "Pilots" and "central points" were thus designated to monitor the evolution of cases, at the level of a particular client (mainly monitored beam clients) or a department (all products). The pilots and central points constitute the second anchoring point of the national arrangement in the regions, alongside the regional meetings established under the direction of the regional presidents.</w:t>
      </w:r>
    </w:p>
    <w:p>
      <w:r>
        <w:t>113. The existence of central points and pilots, since at least 1999, is clearly established across all 11 FNA regions, both by the seized documents and by the statements of the leniency applicant that coincide with those of the various individuals interviewed during the investigation and instruction. Meeting minutes, lists of pilots, lists of clients accompanied by their pilot, lists of central points by department, or documents summarizing consultations and orders by monitored clients, accompanied by the names of these clients' pilots, are thus found in the file and allow for the identification of the individuals in charge of these functions. These pilots and central points come from different companies or groups of traders, including several members of the PUM/Arcelor, KDI, Descours &amp; Cabaud, and Morel groups as well as the companies Maisonneuve and Clisson Métal. In some cases, it was possible to find monitoring documents based on which they directed the consultations (for example, references 19958 to 19969, 20086 to 20097, 4937, 4432, 4792, 19972, 19973, 20112 to 20131, 13293, 10382 to 10395, 13261 to 13267, 13269 to 13271, 13274 to 13276, and 13279 to 13312, 2264 to 2715, 6401 to 6521, 12023 to 12221, 9399 to 9559, 3962 and s., 4198, 4501, 225 to 232 and 390 to 396 as well as the file "monitored clients regions classified with pilots.xls").</w:t>
      </w:r>
    </w:p>
    <w:p>
      <w:r>
        <w:t>114. A terminological difference exists between the notion of "pilot" and that of "central point." The former is theoretically attached to a monitored client and the latter to a geographical area, within which it covered cases concerning, on the one hand, unmonitored beam clients and, on the other hand, clients of other products. Nevertheless, the two notions sometimes designate the same function or are used interchangeably. The term "central point" is thus sometimes linked to a category of products or clients rather than to a territory. The reference to "product central points" is notably found in the 4th region: these central points were then responsible for flat products, concerning monitored flat product clients, within the framework of the system established from 2003 aimed at transposing the monitoring system of beams (references 20596 to 20640, 19, 14299, and 4792).</w:t>
      </w:r>
    </w:p>
    <w:p>
      <w:r>
        <w:t>The Functions of Pilots and Central Points</w:t>
      </w:r>
    </w:p>
    <w:p>
      <w:r>
        <w:t>115. Their functions are practically similar: they were notably responsible for gathering information on the various consultations within their scope or concerning the particular client they were monitoring and relaying it to the FNA. Mr. H... (Descours &amp; Cabaud) stated about them: "They also ensured the reporting of the volumes actually realized by the 'monitored clients,' via the commercial director of each company or the FNA union, so that it could be verified in commercial meetings that the tonnage distributions were respected." Regarding important monitored clients, a pilot was appointed to follow the proposed conditions and the delivered tonnages. This was generally a member (commercial or executive) of the main supplier of the concerned client. Their mission was to obtain information on the consultations and the results of the cases, but also, in certain regions and at certain times, to manage the distribution of cases or the establishment of rounds among traders. This category of information collected and then relayed to the FNA far exceeds the scope of the SESSI's approval concerning statistical feedback, which should only correspond to aggregated data and overall tonnages. The information collected by the pilots and central points was sensitive and served a very specific purpose: to ensure the monitoring of the commercial conditions set in consultation. However, the functions exercised by the pilots and central points could be much more significant (references 23402 to 23420, 978). Mr. H... (Descours &amp; Cabaud) stated in this regard: "The role of the 'central point' varied by region: either it had only a role of monitoring and recording cases, or its role could extend to deciding the fate of consultations from clients other than the 'monitored' clients."</w:t>
      </w:r>
    </w:p>
    <w:p>
      <w:r>
        <w:t>116. The document presented in paragraph 72 demonstrates that the term pilot initially referred to that of "leader," understood as the company taking the case while being potentially "covered" by others. This pilot set the price at which the order was taken: "The pilots" determine the price to be practiced to record the orders and will be "protected" by the "followers" who will submit price PILOT + 30 to 50 F/T. The "followers" call the "pilot" to know conditions and prices during each consultation." This is notably confirmed by a document titled "principle of operation of piloting" formulated as follows (references 13922, 13923, and 22385 to 22389):</w:t>
        <w:br/>
        <w:t>"1. Declaration of all store and semi-direct consultations, as soon as there is a beam item.</w:t>
        <w:br/>
        <w:t>2. Semi-directs do not require arbitration,</w:t>
        <w:br/>
        <w:t>3. Declaration of all recorded orders, including semi-directs which are counted in market shares.</w:t>
      </w:r>
    </w:p>
    <w:p>
      <w:r>
        <w:rPr>
          <w:b/>
        </w:rPr>
        <w:t>[Pages 43–45]</w:t>
      </w:r>
    </w:p>
    <w:p>
      <w:r>
        <w:t xml:space="preserve">4. The pilot is aware of each party's shares and commits to respecting them.  </w:t>
        <w:br/>
        <w:t xml:space="preserve">5. The target price to be achieved is that of the determined ranking.  </w:t>
        <w:br/>
        <w:t xml:space="preserve">6. The pilot must be aware of all stakeholders, notably recognized as suppliers (including regional independents) and external stakeholders.  </w:t>
        <w:br/>
        <w:t xml:space="preserve">7. The pilot organizes the response to external stakeholders if necessary.  </w:t>
        <w:br/>
        <w:t xml:space="preserve">8. If violation → repurchase of tons.  </w:t>
        <w:br/>
        <w:t xml:space="preserve">117. The pilots and central points could also be tasked with organizing responses to consultations. Mr. H... (Descours &amp; Cabaud) stated in this regard: "A system had been put in place among the large consumers of beams to freeze market shares. For these clients, compliance with the scales was initially paired with this distribution of market shares. In a consultation, and under the control of a 'pilot', a colleague was the 'leader' of the case, given the market shares achieved and his objective. The 'leader' validated the sale at the scale price. Other traders protected the 'leader' with cover offers above the scale price."  </w:t>
        <w:br/>
        <w:t xml:space="preserve">118. Traders were required to report to the central point the consultations they had received (references 12307, 14635, and 22048):  </w:t>
        <w:br/>
        <w:t xml:space="preserve">• either systematically for the pilots, as evidenced by the notes taken by Mr. 25... on November 4, 2003, in the section "pilot": "all cases must be reported – not leader = follow the file – claim your shares = rotations! (fight)! – inform well (precision) weekly point" and the statements of Mr. H... (Descours &amp; Cabaud): "In terms of beams, when the 'pilot' system was functioning effectively, all consultations and all orders for a piloted client were reported. One had to wait for the 'pilot's' authorization to finalize the case (which sometimes posed problems of availability and thus of timing). The choices made by the 'pilots' were made in strict compliance with the decided elements and the system. (...)";  </w:t>
        <w:br/>
        <w:t xml:space="preserve">• or beyond a certain threshold for the central points: the threshold appearing in most of the case documents is that of 2 tons. However, some documents refer to 3 or 5 tons. The 1st region set the reporting threshold at 5 tons. The 8th region is where the largest number of divergent documents regarding the exact reporting threshold was found. In the 3rd region, reports were daily for cases over 5 tons.  </w:t>
        <w:br/>
        <w:t xml:space="preserve">119. The central point then indicated the trader who was to win the case (the "leader") and the price level to be applied for a given client. Several meeting minutes indicate that exchanges took place regarding consultations between central points and reporters, these exchanges and the activity of the pilots and central points having both a prescriptive and monitoring function for lost cases and more generally for the concrete implementation of the system. The arbitrations were made based on the orders already taken by the trader (or his group) and the market share objectives, as evidenced by certain summary documents. They could also be made punctually considering previous cases and any incidents that occurred (for example, references 18167, 15488, 15897, 12166, 12167, 14287, 14517, 14521, 14531, 15008, 15179, 15600, 15812, 15842, 18657, 18862, 18929, 18944, 18949, 13309, 7372, and 7373).  </w:t>
        <w:br/>
        <w:t>43</w:t>
      </w:r>
    </w:p>
    <w:p>
      <w:r>
        <w:t xml:space="preserve">120. During these reports and the management of a consultation by a central point, the latter could decide to grant exemptions from the initially planned pricing and give authorizations for underpricing or "right of follow-up", notably in cases of "violation" observed, that is to say, non-compliance with the scales. Mr. H... (Descours &amp; Cabaud) stated in this regard: "Exceptionally, the 'leader' could have the authorization of the 'pilot' to sell below the scale price, in the case of underpricing by a member of the agreement in violation (not respecting the scale) or by a 'penetrator' (foreign competitor or competitor from another region not respecting the scales). This was called the 'right of follow-up' (for example, references 15008 and 14488). As a result, cases concluded at amounts different from those initially provided in the scales or in the maximum discount instructions actually resulted from a concertation, in the spirit of the system put in place, under the supervision of a central point. One of the objectives of this system, namely to limit the entry of foreign companies or those from other regions, is confirmed by Mr. B... (CODIP company, 8th region): "One of our concerns during these meetings was to protect our market against penetrators from the 9th region and from Italy" (reference 900).  </w:t>
        <w:br/>
        <w:t xml:space="preserve">The rotations and turnarounds of deltas  </w:t>
        <w:br/>
        <w:t xml:space="preserve">121. Systems aimed at circumventing the distrust of certain clients were also put in place, on a case-by-case basis or in a more organized manner. Traders made cover offers (from the "followers") or set up "turns", "rotations" or "turn overs" on certain clients. The "turn overs" are thus defined in a meeting report FNA 72 of June 16, 2003: "for cases in Turn Over (...), it is necessary that for these cases, the quotations are covered by a minimum of 3% or decline a significant item of demand." Documents from various regions demonstrating the establishment of a rotation, detailing the organization of the turns or allowing to situate, in time or in relation to the traders, the recorded orders, even requesting that a discrepancy be compensated (references 15341 and for example, references 15067, 15262, 15341, 15751, 18671, 18922, 16783, 16784, 16760, 4189, 4190, 21997, and 22013).  </w:t>
        <w:br/>
        <w:t xml:space="preserve">122. Furthermore, documents gathered in the file refer to the notion, close to that of rotation, of "delta rotations". Mr. 26... (Descours &amp; Cabaud) stated in this regard: "It was necessary to avoid clients receiving the same prices. The 'rotation of deltas' was imagined. For example: On 3 flagship products, for a certain client who was ranked, the 'consulted' traders applied a pre-agreed delta allowing them to offer different prices to the client. The central point then monitored the case that was to be taken by such or such" (references 22362 to 22368).  </w:t>
        <w:br/>
        <w:t xml:space="preserve">123. The following table presents the organization of such a system in 2002 for the 6th region (references 22802 to 22804):  </w:t>
        <w:br/>
        <w:t>44</w:t>
      </w:r>
    </w:p>
    <w:p>
      <w:r>
        <w:t xml:space="preserve">The regional beam commissions  </w:t>
        <w:br/>
        <w:t xml:space="preserve">124. In certain regions, the report on the activity of the pilots and central points (when the latter dealt with beam clients), when not made during regional, sub-regional, or departmental meetings, took place in meetings specifically dedicated to beams, beam commissions organized at the regional level. The elements of the file indeed show that, in regions with a significant number of monitored beam clients, meetings specifically dedicated to this product and these clients were held: they were considered the regional extension of the national beam club. The calendar for the end of 2002 for this type of meetings indicates that there were three different ones (one for the 4th and 5th regions, although in fact the clients mentioned in these meetings mainly concern the 4th region, one for the 6th and 7th regions, and one for the 9th region). Other elements in the file indicate that another was also held in the 11th region. The commissions met once or twice a month, in the presence of the "nationals" or Mr. D... (FNA). Representatives from PUM, PADF, KDI, Descours &amp; Cabaud, Maisonneuve, Morel, and Clisson Métal attended (for example, references 1361 to 1368, 1031, 14642, 19188, 22755 to 22760, 2430, 10267 to 10373, 13515 to 13517, 13466, and 13467).  </w:t>
        <w:br/>
        <w:t xml:space="preserve">125. These meetings were dedicated to beams and monitored clients but resembled in their principle and conduct the regional meetings described below. They shared the three main objectives (for example, references 4196, 3859, 10283, 8728, 14647 to 14649, 14654 to 14657, 14346 to 14350, 10271, 10272, 10366 to 10368, 8547, 3959, 4186, 4196, 4197, 4798, 4799, 4824, 4825, 6231, 6255, 6261, 6269, and 6270):  </w:t>
        <w:br/>
        <w:t xml:space="preserve">• disseminate and, where appropriate, complete the client rankings decided at the national level with rankings relating to smaller clients (clients B or clients C). These clients were then under the supervision of a pilot or, more often, left to that of the geographical central point. These rankings were discussed in regional meetings and then disseminated by the pilot or the regional president;  </w:t>
        <w:br/>
        <w:t>• disseminate, adapt, or complete the pricing conditions (scales and discounts) to be applied to these clients: monitored clients were generally important clients subjected</w:t>
      </w:r>
    </w:p>
    <w:p>
      <w:r>
        <w:rPr>
          <w:b/>
        </w:rPr>
        <w:t>[Pages 46–48]</w:t>
      </w:r>
    </w:p>
    <w:p>
      <w:r>
        <w:t>to the national scales (or at least to their highest brackets). For the regional classified clients, particularly clients C and B, the regional beam clubs decided, at least until September 2003, when the arrangement became more rigid, the maximum discounts that could be applied to them, as evidenced by certain reports mentioning passages such as: "1) Non-monitored regionals - 30 max 2) Cl. A list and unchanged discounts 3) Cl. B unchanged" and "list of discounts proposed on the scale of 01/05/03 for the 4th region. Other beam clients - 20T regional scale" business + 20T national scale - €10";</w:t>
      </w:r>
    </w:p>
    <w:p>
      <w:r>
        <w:t>• monitor compliance with instructions during business transactions and objectives: this monitoring was carried out on a daily basis by the pilots, or for the smaller beam clients, by central points. The regional beam clubs also precisely examined the situation of clients listed on these lists. These reports resemble those of the national beam clubs and those of the regional meetings; they contain information on the general evolution of the scales, on any changes in rankings, and then examine the situation of the various classified clients (tonnage, name of the trader, and amount of the transaction).</w:t>
      </w:r>
    </w:p>
    <w:p>
      <w:r>
        <w:t>126. The meetings were therefore a privileged discussion point for beam products. In regions without a beam club, information was disseminated during regional meetings or by the regional president. The following table lists the information in the file regarding the participants in the regional beam clubs (where applicable, the parentheses indicate the number of participations out of the number of reports in the file):</w:t>
      </w:r>
    </w:p>
    <w:p>
      <w:r>
        <w:t>Table No. 7: Companies Represented in the Regional Beam Clubs</w:t>
      </w:r>
    </w:p>
    <w:p>
      <w:r>
        <w:t>Meetings PUM/ Arcelor KDI D&amp;C Maisonneuve Morel FNA Others</w:t>
        <w:br/>
        <w:t>4th/5th Chaillous, X DIS, CMB, X X 1</w:t>
        <w:br/>
        <w:t>PADF, D'Huart, (8/8) MR, VAMA (5/8) (4/8)</w:t>
        <w:br/>
        <w:t>SLPM (8/8) (8/8)</w:t>
        <w:br/>
        <w:t>6th/7th PADF, D’Huart X Bernard Pagès X X 2</w:t>
        <w:br/>
        <w:t>PMSO, Mirouze,</w:t>
        <w:br/>
        <w:t>Arcelor Profil</w:t>
        <w:br/>
        <w:t>9th PUM, X D&amp;C RAA</w:t>
        <w:br/>
        <w:t>Savoie Metal</w:t>
        <w:br/>
        <w:t>11th D’Huart X SMETA X</w:t>
      </w:r>
    </w:p>
    <w:p>
      <w:r>
        <w:t>The Sponsors</w:t>
      </w:r>
    </w:p>
    <w:p>
      <w:r>
        <w:t>127. Some sales directors of national groups had been designated as "sponsors," whose role was to ensure that national consultation was extended to the regions. Regarding this term, Mr. H... (Descours &amp; Cabaud) stated: "The 'sponsors' were the sales directors of national groups who took charge, in addition to the regional president, of the most difficult regions to animate. They also took charge of animating the regions during difficult periods (for example, late 2002/2003). It was a form of assistance, to give a bit more weight to the regional meetings. I myself co-sponsored the 9th region (Rhône Alpes-Auvergne) with Mr. Hervé F... from KDI." Mr. Y... (KDI) stated: "At one point, a member of one of the commissions could be requested by a regional president as support for the work of his region." It emerges from the elements of the file that, in the same way as for Messrs. H... and F..., Mr. K... was a sponsor in the 6th and 7th regions, particularly concerning the beam club. Mr. D... also attended certain regional meetings. These "sponsorships" illustrate the dominance of large national groups over the entire consultation process and, in general, the momentum given by the national level to the entire consultation (references 22926 to 22939, 15143, 23123 to 23133, 2430 and 1027).</w:t>
      </w:r>
    </w:p>
    <w:p>
      <w:r>
        <w:t>2. THE ELEMENTS RECORDED AT THE REGIONAL LEVEL</w:t>
      </w:r>
    </w:p>
    <w:p>
      <w:r>
        <w:t>a) The General Organization of the Regions</w:t>
      </w:r>
    </w:p>
    <w:p>
      <w:r>
        <w:t>128. At the time of the events, France was, within the framework of the operation of the FNA, divided into 11 regions, each animated by one or more regional presidents. Changes in the presidency or geographical boundaries of these regions were recorded by the bureau and transmitted by its secretary general or even its president. A presentation titled "Role and Objectives of the FNA" is thus drafted: "The French territory is divided into 11 steel regions, some requiring a finer division into sub-regions. Each region or sub-region has, at its head, a President who represents the FNA in his region and whose mission is to convene, at their convenience and/or upon request, the members dependent on said region. The topics addressed during these meetings are merely the decentralized form of national meetings. Monthly, the Presidents meet in Paris and report to the members of the Board of Directors of the FNA on the results of their work. The Board of Directors, the Bureau, and the President of the FNA then synthesize this information. After consulting the various specialized Commissions or after surveys and studies, they are able to determine the main lines of action and their degree of urgency" (references 19364 and following).</w:t>
      </w:r>
    </w:p>
    <w:p>
      <w:r>
        <w:t>129. A document seized at a KDI agency describes the functioning of a region, as indicated by its president, Mr. 24... (8th region) (references 16770 to 16775):</w:t>
      </w:r>
    </w:p>
    <w:p>
      <w:r>
        <w:t>"PROJECT</w:t>
        <w:br/>
        <w:t>ORGANIZATION 8th region</w:t>
        <w:br/>
        <w:t>The 8th region is divided into 6 sub-regions which are:</w:t>
        <w:br/>
        <w:t>1- ALPES MARITIMES</w:t>
        <w:br/>
        <w:t>2- ALPES DE HTE PROVENCE - BOUCHES DU RHONE</w:t>
        <w:br/>
        <w:t>3- CORSE</w:t>
        <w:br/>
        <w:t>4- GARD</w:t>
        <w:br/>
        <w:t>5- HERAULT</w:t>
        <w:br/>
        <w:t>6- VAR</w:t>
        <w:br/>
        <w:t>7- VAUCLUSE</w:t>
        <w:br/>
        <w:t>Sub-regions 1 and 3 are excluded from the general organization due to their specificity and price level.</w:t>
        <w:br/>
        <w:t>For the other 5, regional managers have been appointed who are;</w:t>
        <w:br/>
        <w:t>-2 THIERRY 27...</w:t>
        <w:br/>
        <w:t>-4 ARMAND 28...</w:t>
        <w:br/>
        <w:t>-5 JEAN-RENE 29...</w:t>
        <w:br/>
        <w:t>-6 GEORGES 30...</w:t>
        <w:br/>
        <w:t>-7 DANIEL 31...</w:t>
        <w:br/>
        <w:t>Their role and powers:</w:t>
        <w:br/>
        <w:t>- Are under the authority of the Regional President.</w:t>
        <w:br/>
        <w:t>- Set and animate meetings 2 MINIMUM PER MONTH (dates are set in consultation with the other sub-regions).</w:t>
        <w:br/>
        <w:t>- Monitor business.</w:t>
        <w:br/>
        <w:t>- Handle contentious files.</w:t>
        <w:br/>
        <w:t>- Imperatively respond to requests from colleagues.</w:t>
        <w:br/>
        <w:t>- Update ranking lists.</w:t>
        <w:br/>
        <w:t>- Optionally give priorities or follow-up rights.</w:t>
        <w:br/>
        <w:t>- Determine the sanctions to be applied to the colleague found in violation.</w:t>
        <w:br/>
        <w:t>- Repurchase of the business (price to be determined).</w:t>
        <w:br/>
        <w:t>- Exclusion of the client for a determined period.</w:t>
        <w:br/>
        <w:t>- They request assistance from the president for;</w:t>
        <w:br/>
        <w:t>- Possible controls.</w:t>
        <w:br/>
        <w:t>- Interventions with general management.</w:t>
        <w:br/>
        <w:t>This 8th region is directed by a president appointed by the F.N.A. board; he is therefore under its authority.</w:t>
        <w:br/>
        <w:t>- He attends regional meetings.</w:t>
        <w:br/>
        <w:t>- He organizes a general meeting once a quarter in liaison with the regional managers, inviting external colleagues and a member of the F.N.A. board.</w:t>
        <w:br/>
        <w:t>- He ensures regional administrative logistics.</w:t>
        <w:br/>
        <w:t>- Represents the region at the F.N.A. and maintains relations at the level of General Management.</w:t>
        <w:br/>
        <w:t>- Intervenes whenever necessary, at the request of regional managers to resolve various disputes.</w:t>
        <w:br/>
        <w:t>- Ensures the coherence of behaviors of neighboring regions.</w:t>
        <w:br/>
        <w:t>- He is responsible for compliance with regional organization and must act with total impartiality.</w:t>
        <w:br/>
        <w:t>- He determines with his regional managers the proposals for modifications of scales to be presented to the national commission.</w:t>
        <w:br/>
        <w:t>This organization built around very professional and responsible individuals aims to optimize our results.</w:t>
        <w:br/>
        <w:t>It must be complemented by commitments from other actors who are:</w:t>
      </w:r>
    </w:p>
    <w:p>
      <w:r>
        <w:rPr>
          <w:b/>
        </w:rPr>
        <w:t>[Pages 49–51]</w:t>
      </w:r>
    </w:p>
    <w:p>
      <w:r>
        <w:t xml:space="preserve">CONFRERES 8th REGION  </w:t>
        <w:br/>
        <w:t xml:space="preserve">1) Their obligations:  </w:t>
        <w:br/>
        <w:t xml:space="preserve">- Compliance with the scales, rankings, and specific regional provisions.  </w:t>
        <w:br/>
        <w:t xml:space="preserve">- Confidentiality.  </w:t>
        <w:br/>
        <w:t xml:space="preserve">- Attendance at meetings.  </w:t>
        <w:br/>
        <w:t xml:space="preserve">- Communication among peers.  </w:t>
        <w:br/>
        <w:t xml:space="preserve">- DAILY POINT with regional managers.  </w:t>
        <w:br/>
        <w:t>- Mandatory responses to requests for information made by regional managers.</w:t>
      </w:r>
    </w:p>
    <w:p>
      <w:r>
        <w:t xml:space="preserve">2) Their expectations:  </w:t>
        <w:br/>
        <w:t xml:space="preserve">- Compliance with the scales and the arrangement by the entire profession.  </w:t>
        <w:br/>
        <w:t xml:space="preserve">- Improvement of gross margin.  </w:t>
        <w:br/>
        <w:t>- Respect by their peers for their market share and business base.</w:t>
      </w:r>
    </w:p>
    <w:p>
      <w:r>
        <w:t xml:space="preserve">CONFRERES OUTSIDE THE 8th REGION INCLUDING GROUP  </w:t>
        <w:br/>
        <w:t xml:space="preserve">1) Their obligations:  </w:t>
        <w:br/>
        <w:t xml:space="preserve">- Compliance with the conditions, scales, and rankings of the region.  </w:t>
        <w:br/>
        <w:t xml:space="preserve">- Declaration of consultations and orders to sub-regional managers, if a declaration system is in place.  </w:t>
        <w:br/>
        <w:t xml:space="preserve">- Commit not to create occasional resellers in the region that could disrupt the arrangement.  </w:t>
        <w:br/>
        <w:t>- Participate in quarterly meetings.</w:t>
      </w:r>
    </w:p>
    <w:p>
      <w:r>
        <w:t xml:space="preserve">2) Their expectations:  </w:t>
        <w:br/>
        <w:t xml:space="preserve">- Receive all regional scales as well as rankings in a timely manner.  </w:t>
        <w:br/>
        <w:t xml:space="preserve">- Be informed of all changes by the fastest means.  </w:t>
        <w:br/>
        <w:t>- Maintenance of their regional volumes.</w:t>
      </w:r>
    </w:p>
    <w:p>
      <w:r>
        <w:t xml:space="preserve">CLIENTS  </w:t>
        <w:br/>
        <w:t xml:space="preserve">1) Their obligations:  </w:t>
        <w:br/>
        <w:t xml:space="preserve">- Pay the fair price.  </w:t>
        <w:br/>
        <w:t>- Respect the payment terms.</w:t>
      </w:r>
    </w:p>
    <w:p>
      <w:r>
        <w:t xml:space="preserve">2) Their expectations:  </w:t>
        <w:br/>
        <w:t xml:space="preserve">- Quality of products.  </w:t>
        <w:br/>
        <w:t xml:space="preserve">- Adherence to deadlines.  </w:t>
        <w:br/>
        <w:t xml:space="preserve">- Availability of ranges.  </w:t>
        <w:br/>
        <w:t xml:space="preserve">- Stable and adapted scales (twice a year).  </w:t>
        <w:br/>
        <w:t xml:space="preserve">- Notice for any changes.  </w:t>
        <w:br/>
        <w:t>- Assurance of obtaining prices identical to their peers of similar importance.</w:t>
      </w:r>
    </w:p>
    <w:p>
      <w:r>
        <w:t xml:space="preserve">In addition to this arrangement, it seems essential to recall the main lines of commercial behavior.  </w:t>
        <w:br/>
        <w:t xml:space="preserve">Never use the words "AGREEMENT, UNDERSTANDING."  </w:t>
        <w:br/>
        <w:t xml:space="preserve">Never disclose information about our meetings.  </w:t>
        <w:br/>
        <w:t xml:space="preserve">Avoid providing our scales to clients in readings.  </w:t>
        <w:br/>
        <w:t xml:space="preserve">Avoid talking about peers.  </w:t>
        <w:br/>
        <w:t xml:space="preserve">Use management arguments to justify identical prices.  </w:t>
        <w:br/>
        <w:t xml:space="preserve">Do not deviate from the payment terms.  </w:t>
        <w:br/>
        <w:t>Do not use "disguised discounts."</w:t>
      </w:r>
    </w:p>
    <w:p>
      <w:r>
        <w:t>130. Given the differences in the economic realities of the regions (types of clientele, foreign competition, etc.) and in the personalities of the regional presidents, not all regions were organized in a strictly identical manner, but all relied on a similar functioning.</w:t>
      </w:r>
    </w:p>
    <w:p>
      <w:r>
        <w:t xml:space="preserve">b) Regional meetings and their content  </w:t>
        <w:br/>
        <w:t>131. The documents in the file attest to the holding of meetings in all FNA regions. The regional meetings had three main functions: they were first an opportunity for the regional president to convey the information gathered during the meeting of regional presidents held at the national level; they then allowed for decisions on consultation elements specific to the region, such as the adaptation and extension of national scales and rankings to smaller local clients, or to resolve delicate situations (release of a client, sanctions), etc.; finally, they were an opportunity to closely monitor recent cases, their outcomes, and the application of the arrangement in the responses made to consultations.</w:t>
      </w:r>
    </w:p>
    <w:p>
      <w:r>
        <w:t>132. In this regard, the file includes numerous recorded minutes (between 150 and 200 from different traders covering more than 100 different meetings). These show that traders came to the meetings with documents attesting to their compliance with the arrangement or denouncing the non-compliance of another trader. They all present a very similar structure and testify to the two different phases of discussions: the mention of scales and rankings on one hand and the monitoring of cases on the other. The following table lists the information available in the file on the meetings held at the regional and sub-regional levels (references 21940 to 22050, 13983 to 16032, 9937 to 10373, 22771 to 22776, 16752 et seq., 18656 to 18785, 18786 to 18897 and 18912 to 18967):</w:t>
      </w:r>
    </w:p>
    <w:p>
      <w:r>
        <w:t xml:space="preserve">Table No. 8: The different regional and departmental meetings  </w:t>
        <w:br/>
        <w:t xml:space="preserve">Region Meetings Frequency Records in the file  </w:t>
        <w:br/>
        <w:t xml:space="preserve">1st - Regional level Bi-monthly /  </w:t>
        <w:br/>
        <w:t xml:space="preserve">- Seine et Marne North/Aisne South/Oise West Monthly /  </w:t>
        <w:br/>
        <w:t xml:space="preserve">2nd  </w:t>
        <w:br/>
        <w:t xml:space="preserve">- Nord and Pas de Calais Monthly  </w:t>
        <w:br/>
        <w:t xml:space="preserve">- Regional level Weekly (2003) Monthly (2004)  </w:t>
        <w:br/>
        <w:t xml:space="preserve">3rd - Orne Monthly 03/2003 to 05/2004  </w:t>
        <w:br/>
        <w:t xml:space="preserve">- Manche Monthly 03/2003 to 04/2004  </w:t>
        <w:br/>
        <w:t xml:space="preserve">- Sub-region Océane Bi-monthly to monthly 10/2001 to 02/2004  </w:t>
        <w:br/>
        <w:t xml:space="preserve">- Loire Atlantique 10/2001 to 04/2004  </w:t>
        <w:br/>
        <w:t xml:space="preserve">- Maine et Loire 10/2001 to 03/2004  </w:t>
        <w:br/>
        <w:t xml:space="preserve">- Vendée 04/2003 to 03/2004  </w:t>
        <w:br/>
        <w:t xml:space="preserve">4th  </w:t>
        <w:br/>
        <w:t xml:space="preserve">- Sarthe 04/2003 to 05/2004  </w:t>
        <w:br/>
        <w:t xml:space="preserve">- Mayenne 04/2003 to 05/2004  </w:t>
        <w:br/>
        <w:t xml:space="preserve">- Ille-et-Vilaine 03/2003 to 10/2004  </w:t>
        <w:br/>
        <w:t xml:space="preserve">- Morbihan  </w:t>
        <w:br/>
        <w:t xml:space="preserve">- Deux Sèvres/Vienne Monthly /  </w:t>
        <w:br/>
        <w:t xml:space="preserve">5th  </w:t>
        <w:br/>
        <w:t xml:space="preserve">- Creuse/Cher/Indre Bi-monthly  </w:t>
        <w:br/>
        <w:t xml:space="preserve">- Gironde/Landes North/Dordogne South/ Weekly /  </w:t>
        <w:br/>
        <w:t xml:space="preserve">Lot et Garonne  </w:t>
        <w:br/>
        <w:t xml:space="preserve">- Hautes-Pyrénées Every 4 to 6 weeks /  </w:t>
        <w:br/>
        <w:t xml:space="preserve">6th - Charentes/Haute Vienne/Dordogne North Monthly 01/2003 to 04/2004  </w:t>
        <w:br/>
        <w:t xml:space="preserve">- Charente West/Deux-Sèvres Bi-monthly /  </w:t>
        <w:br/>
        <w:t xml:space="preserve">- Regional level Monthly Occasional  </w:t>
        <w:br/>
        <w:t xml:space="preserve">- Rotations Weekly  </w:t>
        <w:br/>
        <w:t xml:space="preserve">- Ariège/Aude/Haute Garonne (variable perimeter)  </w:t>
        <w:br/>
        <w:t xml:space="preserve">7th - Tarn  </w:t>
        <w:br/>
        <w:t xml:space="preserve">- Tarn et Garonne Bi-monthly  </w:t>
        <w:br/>
        <w:t xml:space="preserve">- Aveyron  </w:t>
        <w:br/>
        <w:t xml:space="preserve">- Lot Monthly  </w:t>
        <w:br/>
        <w:t xml:space="preserve">- Gard/Hérault Bi-monthly Occasional  </w:t>
        <w:br/>
        <w:t xml:space="preserve">8th  </w:t>
        <w:br/>
        <w:t xml:space="preserve">- Vaucluse/Bouches-du-Rhône Bi-monthly  </w:t>
        <w:br/>
        <w:t xml:space="preserve">- Rhône Monthly /  </w:t>
        <w:br/>
        <w:t xml:space="preserve">- Isère Every 4 to 6 weeks  </w:t>
        <w:br/>
        <w:t xml:space="preserve">9th - Loire Bi-monthly  </w:t>
        <w:br/>
        <w:t xml:space="preserve">- Savoie Monthly  </w:t>
        <w:br/>
        <w:t xml:space="preserve">- Puy de Dôme Monthly  </w:t>
        <w:br/>
        <w:t xml:space="preserve">- Regional level Quarterly /  </w:t>
        <w:br/>
        <w:t xml:space="preserve">- Yonne/Nièvre/Aube/Allier/Côte d’Or Monthly  </w:t>
        <w:br/>
        <w:t xml:space="preserve">10th  </w:t>
        <w:br/>
        <w:t xml:space="preserve">- Saône-et-Loire/Ain/Rhône Monthly  </w:t>
        <w:br/>
        <w:t xml:space="preserve">- Doubs/Haute-Saône Monthly  </w:t>
        <w:br/>
        <w:t xml:space="preserve">- Regional level Monthly /  </w:t>
        <w:br/>
        <w:t xml:space="preserve">11th - Metz Monthly  </w:t>
        <w:br/>
        <w:t>- Meuse/Haute-Marne Monthly</w:t>
      </w:r>
    </w:p>
    <w:p>
      <w:r>
        <w:t>133. The following table lists the information available in the file on the companies participating in the meetings in each region (where applicable, the parentheses indicate the number of participations out of the number of minutes in the file), as they result from meeting minutes or declarations obtained in the context of the administrative investigation or provided by the leniency applicant:</w:t>
      </w:r>
    </w:p>
    <w:p>
      <w:r>
        <w:rPr>
          <w:b/>
        </w:rPr>
        <w:t>[Pages 52–54]</w:t>
      </w:r>
    </w:p>
    <w:p>
      <w:r>
        <w:t>Table No. 9: Companies Represented at Regional and Departmental Meetings</w:t>
      </w:r>
    </w:p>
    <w:p>
      <w:r>
        <w:t>Region Meetings PUM/ Arcelor KDI D&amp;C Maison. Morel Liametho Clisson Metal CODIP Ferren Iron PUM</w:t>
        <w:br/>
        <w:t>1st Region X X X</w:t>
        <w:br/>
        <w:t>PADF</w:t>
        <w:br/>
        <w:t>2nd 2 sub-regions X X X</w:t>
        <w:br/>
        <w:t>Region X X X X</w:t>
        <w:br/>
        <w:t>X X X X</w:t>
        <w:br/>
        <w:t>Dept. 61</w:t>
        <w:br/>
        <w:t>3rd (10/14) (13/14) (14/14) (10/14)</w:t>
        <w:br/>
        <w:t>X X X X</w:t>
        <w:br/>
        <w:t>Dept. 50</w:t>
        <w:br/>
        <w:t>(8/13) (13/13) (13/13) (13/13)</w:t>
        <w:br/>
        <w:t>Océane X X X X X</w:t>
        <w:br/>
        <w:t>Celtic X (3/3) X (3/3) X (3/3) X (3/3)</w:t>
        <w:br/>
        <w:t>Dept. X X X X X</w:t>
        <w:br/>
        <w:t>(all) (80/96) (96/96) (89/96) (72/96) (59/96)</w:t>
        <w:br/>
        <w:t>X X X X X</w:t>
        <w:br/>
        <w:t>Dept. 44</w:t>
        <w:br/>
        <w:t>(14/15) (14/15) (15/15) (15/15) (13/15)</w:t>
        <w:br/>
        <w:t>X X X X X</w:t>
        <w:br/>
        <w:t>Dept. 49</w:t>
        <w:br/>
        <w:t>(19/23) (19/23) (23/23) (23/23) (21/23)</w:t>
        <w:br/>
        <w:t>4th</w:t>
        <w:br/>
        <w:t>X X X X X</w:t>
        <w:br/>
        <w:t>Dept. 85</w:t>
        <w:br/>
        <w:t>(12/13) (13/13) (12/13) (13/13) (13/13)</w:t>
        <w:br/>
        <w:t>X X X X</w:t>
        <w:br/>
        <w:t>Dept. 35</w:t>
        <w:br/>
        <w:t>(22/22) (19/22) (22/22) (22/22)</w:t>
        <w:br/>
        <w:t>X X X X</w:t>
        <w:br/>
        <w:t>Dept. 53</w:t>
        <w:br/>
        <w:t>(22/22) (17/22) (22/22) (22/22)</w:t>
        <w:br/>
        <w:t>X X X X</w:t>
        <w:br/>
        <w:t>Dept. 72</w:t>
        <w:br/>
        <w:t>(20/20) (19/20) (20/20) (20/20)</w:t>
        <w:br/>
        <w:t>Dept. 56 X (4/5) X (5/5) X (5/5) X (5/5)</w:t>
        <w:br/>
        <w:t>Dept. 79 and 86 X X X X X</w:t>
        <w:br/>
        <w:t>5th</w:t>
        <w:br/>
        <w:t>Dept. 23, 18 and 36 X X X</w:t>
        <w:br/>
        <w:t>PUM</w:t>
        <w:br/>
        <w:t>3 sub-regions PADF X X</w:t>
        <w:br/>
        <w:t>6th</w:t>
        <w:br/>
        <w:t>Metal Pyren.</w:t>
        <w:br/>
        <w:t>Charente West X X X X</w:t>
        <w:br/>
        <w:t>7th Rotations X X X X</w:t>
        <w:br/>
        <w:t>Dept. X X X X</w:t>
        <w:br/>
        <w:t>8th</w:t>
        <w:br/>
        <w:t>Dept. X X X X X</w:t>
        <w:br/>
        <w:t>PUM</w:t>
        <w:br/>
        <w:t>Dept. 69 X X X</w:t>
        <w:br/>
        <w:t>PADF</w:t>
        <w:br/>
        <w:t>Dept. 38 X X X X</w:t>
        <w:br/>
        <w:t>PUM</w:t>
        <w:br/>
        <w:t>9th Dept. 42 X X X</w:t>
        <w:br/>
        <w:t>PADF</w:t>
        <w:br/>
        <w:t>PUM</w:t>
        <w:br/>
        <w:t>Dept. 73 X X</w:t>
        <w:br/>
        <w:t>PADF</w:t>
        <w:br/>
        <w:t>Dept. 63 X X</w:t>
        <w:br/>
        <w:t>10 X X X</w:t>
        <w:br/>
        <w:t>10th 2 sub-regions X X X</w:t>
        <w:br/>
        <w:t>Dept. 70 and 25 X X X X</w:t>
        <w:br/>
        <w:t>PUM</w:t>
        <w:br/>
        <w:t>Region X X</w:t>
        <w:br/>
        <w:t>PADF</w:t>
        <w:br/>
        <w:t>11th Dept. X X X</w:t>
        <w:br/>
        <w:t>PADF</w:t>
        <w:br/>
        <w:t>Dept. X X X</w:t>
        <w:br/>
        <w:t>PUM</w:t>
      </w:r>
    </w:p>
    <w:p>
      <w:r>
        <w:t>The Mention of Scales</w:t>
        <w:br/>
        <w:t>134. The meeting reports in the file begin with the dissemination of information gathered during the meeting of regional presidents in Paris, notably an update on the scales. The products for which the scales have evolved are thus mentioned, and, where applicable, the effective date of the new scales (or modifications of the old scales). Below are three representative examples of these discussions (references 15284, 3960, and 18835):</w:t>
        <w:br/>
        <w:t>• the report of the FNA 72 meeting of January 26, 2004, begins as follows:</w:t>
        <w:br/>
        <w:t>“NEW SCALES AS OF 02/02/04</w:t>
        <w:br/>
        <w:t>-TUBES Region 05/01/04</w:t>
        <w:br/>
        <w:t>National 02/02/04</w:t>
        <w:br/>
        <w:t>- LAMINATES AND FLATS</w:t>
        <w:br/>
        <w:t>Region and Nat. as of 02/02/04”;</w:t>
        <w:br/>
        <w:t>• the report of a meeting on February 19, 2003, in the 7th region starts with:</w:t>
        <w:br/>
        <w:t>“Summary FNA Nal</w:t>
        <w:br/>
        <w:t>- Volume trend down → Margin Priority</w:t>
        <w:br/>
        <w:t>(...)</w:t>
        <w:br/>
        <w:t>- Reflection on FNA international (Border competition issue)</w:t>
        <w:br/>
        <w:t>(...)</w:t>
        <w:br/>
        <w:t>As of March 1</w:t>
        <w:br/>
        <w:t>+ 15/20 € Beam</w:t>
        <w:br/>
        <w:t>+ 15€ LM</w:t>
        <w:br/>
        <w:t>Scale overhaul (upward) Concrete products”;</w:t>
        <w:br/>
        <w:t>• the report of the meeting on December 19, 2002, in the 8th region mentions:</w:t>
        <w:br/>
        <w:t>“Regional scales =</w:t>
        <w:br/>
        <w:t>Beams + 15€/T</w:t>
        <w:br/>
        <w:t>Laminates unchanged</w:t>
        <w:br/>
        <w:t>Tubes + 2% as well as the PAF</w:t>
        <w:br/>
        <w:t>Sheet: + 20 €/T on the last two brackets</w:t>
        <w:br/>
        <w:t>" + 15€/T -- -- first brackets”.</w:t>
        <w:br/>
        <w:t>135. The reports refer to national scales and to regional scales, adapted in relation to national values, notably from the last column of the scales. Mr. 21... (KDI) stated in this regard: “NAT. FNA corresponds to the national FNA scale which we use to develop our regional scales.” Mr. 12... (KDI) stated: “It is from these scales and notably from letter B that we develop the regional scales.”</w:t>
      </w:r>
    </w:p>
    <w:p>
      <w:r>
        <w:t>The Mention of Rankings</w:t>
        <w:br/>
        <w:t>136. Reference is also made to the ranking of clients, whether decided at the national level for the most important ones or at the regional level for the smaller ones. On this point, Mr. 32... (Beauplet, group Descours &amp; Cabaud) stated: “At these meetings, we could determine a client ranking with floor price levels. These floor prices were decided among us. This minimum price level is somewhat historical; it does not reflect our own costs but was intended to maintain an acceptable margin level for our company.” It was sometimes indicated in meetings how the rankings would be transmitted (for example, “sent by mail,” reference 15232).</w:t>
        <w:br/>
        <w:t>137. Below are three representative examples from the beginning of these meeting passages (references 15289, 6226, and 15361):</w:t>
        <w:br/>
        <w:t>• the report of the FNA 72 meeting of January 12, 2004, begins as follows:</w:t>
        <w:br/>
        <w:t>“* New MAINE arrangement as of 12/01/04</w:t>
        <w:br/>
        <w:t>* Good implementation of the new rates as of 05/01/04</w:t>
        <w:br/>
        <w:t>RANKINGS TO REVIEW</w:t>
        <w:br/>
        <w:t>- SARTHEC Le Mans (FILLOUX)</w:t>
        <w:br/>
        <w:t>- ISEBERG La Mans (CHAILLOUS)</w:t>
        <w:br/>
        <w:t>- MONTREUIL Noyen (CHAILLOUS)</w:t>
        <w:br/>
        <w:t>Upon receipt of these new rankings, KDI Le Mans will send us the new ranking grid for Dept. 72”;</w:t>
        <w:br/>
        <w:t>• the report of a meeting in the 7th region mentions:</w:t>
        <w:br/>
        <w:t>“Ptr Cat L (Soreco)</w:t>
        <w:br/>
        <w:t>0/20T +20T +50T On scale 1/3</w:t>
        <w:br/>
        <w:t>Cat A 50T-50€ 50T-70€</w:t>
        <w:br/>
        <w:t>Cat B 50T-10€ 50T-30€ 50T-50€</w:t>
        <w:br/>
        <w:t>Cat C Regional 50T-10€</w:t>
        <w:br/>
        <w:t>A: Cabrol, Dejon Servière, DL, Enjalbert, Minamon, Serin, RCM</w:t>
        <w:br/>
        <w:t>B: Delpoux, Charpente SA, CISO, Massol</w:t>
        <w:br/>
        <w:t>C: Others</w:t>
        <w:br/>
        <w:t>Unclassified</w:t>
        <w:br/>
        <w:t>Forestier</w:t>
        <w:br/>
        <w:t>Soulié</w:t>
        <w:br/>
        <w:t>Viguier</w:t>
        <w:br/>
        <w:t>Maynodier</w:t>
        <w:br/>
        <w:t>Gileste</w:t>
        <w:br/>
        <w:t>Troisel</w:t>
        <w:br/>
        <w:t>Arnal</w:t>
      </w:r>
    </w:p>
    <w:p>
      <w:r>
        <w:rPr>
          <w:b/>
        </w:rPr>
        <w:t>[Pages 55–57]</w:t>
      </w:r>
    </w:p>
    <w:p>
      <w:r>
        <w:t xml:space="preserve">LM: Current scale (1/3) – maximum 15%  </w:t>
        <w:br/>
        <w:t xml:space="preserve">Tubes: Same scale (1/3)  </w:t>
        <w:br/>
        <w:t xml:space="preserve">Maximum discount: 20%  </w:t>
        <w:br/>
        <w:t xml:space="preserve">Sheets: Current scale 1/5 + 15€  </w:t>
        <w:br/>
        <w:t xml:space="preserve">0/20T 20T/100T +100T  </w:t>
        <w:br/>
        <w:t xml:space="preserve">A -70€ -90€ Free  </w:t>
        <w:br/>
        <w:t xml:space="preserve">B -50€ -70€ Free  </w:t>
        <w:br/>
        <w:t xml:space="preserve">C Regional -50€ Free;  </w:t>
        <w:br/>
        <w:t xml:space="preserve">• the minutes of the FNA 72 meeting of March 7, 2003, begins as follows:  </w:t>
        <w:br/>
        <w:t xml:space="preserve">"Application of new scales – rankings and conditions  </w:t>
        <w:br/>
        <w:t xml:space="preserve">NEW RANKINGS Beams  </w:t>
        <w:br/>
        <w:t xml:space="preserve">BRUNEAU CltC 50T-10€/T  </w:t>
        <w:br/>
        <w:t xml:space="preserve">BOBET Nat. B 50T - 50 €/T  </w:t>
        <w:br/>
        <w:t xml:space="preserve">COMEMA CltC 50T-10€/T  </w:t>
        <w:br/>
        <w:t xml:space="preserve">DORISON CltC 50T-10€/T  </w:t>
        <w:br/>
        <w:t xml:space="preserve">FOURNIGAULT CltC 50T-10€/T  </w:t>
        <w:br/>
        <w:t xml:space="preserve">GARCZYNSKI CltC 50T-10€/T  </w:t>
        <w:br/>
        <w:t xml:space="preserve">GUERRIER CltC 50T-10€/T  </w:t>
        <w:br/>
        <w:t xml:space="preserve">LORY CltC  </w:t>
        <w:br/>
        <w:t xml:space="preserve">LYRE CltC  </w:t>
        <w:br/>
        <w:t xml:space="preserve">METALAG CltC  </w:t>
        <w:br/>
        <w:t xml:space="preserve">MONTAMETAL CltC  </w:t>
        <w:br/>
        <w:t xml:space="preserve">SOCAREM CltC  </w:t>
        <w:br/>
        <w:t xml:space="preserve">SPP CltC  </w:t>
        <w:br/>
        <w:t xml:space="preserve">WEBER CltC  </w:t>
        <w:br/>
        <w:t xml:space="preserve">(See new rankings to come this week - Rect. List No. 4)."  </w:t>
        <w:br/>
        <w:t xml:space="preserve">138. After this first phase of discussion on pricing conditions, almost all reports mention an analysis of cases over the recent period.  </w:t>
        <w:br/>
        <w:t xml:space="preserve">Monitoring of recent cases and compliance with the arrangement  </w:t>
        <w:br/>
        <w:t xml:space="preserve">139. A follow-up of cases, client by client, largely occupied the time of regional meetings. This is evidenced by the numerous reports of meetings in the file, which include a fairly long section, frequently referred to as "The cases," "The cases of the fortnight," or "The cases from x/x to x/x," and possibly a section "problematic files." They contain indications on consultations and ongoing or past sales: they include references to clients, dates, prices, and the names of declaring traders and/or traders who took the case. Below are three representative examples of these parts of the meetings (references 15306 to 15309, 15298 to 15300, and 15229 to 15231):  </w:t>
        <w:br/>
        <w:t xml:space="preserve">55  </w:t>
        <w:br/>
        <w:t xml:space="preserve">• the minutes of the FNA 72 meeting of November 2, 2003, addresses consultations of 35 clients during the last fortnight, notably:  </w:t>
        <w:br/>
        <w:t xml:space="preserve">"*27/10/03 FICAD – ASNIERES S/VEGRE  </w:t>
        <w:br/>
        <w:t xml:space="preserve">Order taken by Mr. R. (-8% to compensate for pricing errors by CHAILLOUS and LANGUILLE on previous cases quoted below the stipulated conditions)";  </w:t>
        <w:br/>
        <w:t xml:space="preserve">• the minutes of the FNA 72 meeting of December 2, 2003, deals with consultations of 20 clients during the last fortnight, notably:  </w:t>
        <w:br/>
        <w:t xml:space="preserve">"*14/11/03 LORY - MULS ANNE  </w:t>
        <w:br/>
        <w:t xml:space="preserve">Order MN - Price Ok!  </w:t>
        <w:br/>
        <w:t xml:space="preserve">*25/11/03 Estimate under consultation + 9 tons Beams  </w:t>
        <w:br/>
        <w:t xml:space="preserve">*26/11/03 (R.20% on tubes instead of R.15%) - Improvement by PC";  </w:t>
        <w:br/>
        <w:t xml:space="preserve">• the minutes of the FNA 53 meeting of November 17, 2003, revisits consultations of 21 clients during the last fortnight, notably:  </w:t>
        <w:br/>
        <w:t xml:space="preserve">"*10/11/03 ESPO – OUEST – ST PIERRE LA COUR  </w:t>
        <w:br/>
        <w:t xml:space="preserve">Quotation BEAUPLET – Beams Nat. 20/50T – 25€/T  </w:t>
        <w:br/>
        <w:t xml:space="preserve">MN and KDI – Beams Nat. 20/50T net  </w:t>
        <w:br/>
        <w:t xml:space="preserve">CHAILLOUS – Beams Nat. 20/50T – 20€/T  </w:t>
        <w:br/>
        <w:t xml:space="preserve">Case in progress  </w:t>
        <w:br/>
        <w:t xml:space="preserve">(...)  </w:t>
        <w:br/>
        <w:t xml:space="preserve">*LEFORT – BONCHAMP LES LAVAL  </w:t>
        <w:br/>
        <w:t xml:space="preserve">*04/11/03 Order MN – 6 Sheets LAC 2000x6000x3 at 523€/T  </w:t>
        <w:br/>
        <w:t xml:space="preserve">*04/11/03 Order KDI Le Mans – Price Ok  </w:t>
        <w:br/>
        <w:t xml:space="preserve">Seen "good for agreement" from the client  </w:t>
        <w:br/>
        <w:t xml:space="preserve">*04/11/03 Cut beams + Tubes – Estimate in progress  </w:t>
        <w:br/>
        <w:t xml:space="preserve">*04/11/03 Order MN: 17 Tons (Nat. – 50€/T)  </w:t>
        <w:br/>
        <w:t xml:space="preserve">*13/11/03 Order BEAUPLET – Price Ok!."  </w:t>
        <w:br/>
        <w:t xml:space="preserve">140. This review initially aimed to know who had taken the concerned order (a trader participating in the meetings or an outsider) and at what price (in compliance with the arrangement or not). It complemented the daily monitoring carried out by the central points, already mentioned. Beyond that, discussions focused on the follow-up to unresolved files, on ways to sanction or correct a "violation," and on decisions to be made regarding difficult-to-manage clients or those suspecting the existence of a concertation.  </w:t>
        <w:br/>
        <w:t xml:space="preserve">141. The reports list, by date and by client, recent cases raising questions. Depending on the case, for each of these cases, all or part of the following data is specified: the volume under consultation, the possible ranking of the client and the corresponding quotation, the traders who made offers and the amount of those offers, the trader who won the order, the proposed rate, and if applicable, the price that should have normally been proposed. Comments on the context of the case are sometimes also recorded in the reports.  </w:t>
        <w:br/>
        <w:t xml:space="preserve">142. Comments also appear on the particular treatment to be applied to a client, given the difficulty in managing their consultations or errors, even "violations" noted in the proposals made. Three categories of situations provoke particular reactions (for example, references 18671, 18922, 16760, 16783, 16784, 15262, 15951, and 15483):  </w:t>
        <w:br/>
        <w:t xml:space="preserve">• when too many cases remain unresolved and it is difficult to manage a client, traders may decide, in rare cases, to "release" them: they then exit the arrangement;  </w:t>
        <w:br/>
        <w:t xml:space="preserve">• when clients are dissatisfied with the prices offered to them and express doubts about the existence of an agreement among traders, rounds (or rotating) or even "delta rotations" are sometimes set up in regional meetings, under the control of the central point. The follow-up done in the regional meeting focuses on verifying the balance of each party with the concerned client;  </w:t>
        <w:br/>
        <w:t xml:space="preserve">• when an external actor to the concertation or a participant in the union meetings makes an offer lower than the quotation that would have resulted from the arrangement, an alignment or "right of follow-up" may be authorized by the central point. This fact (or conversely, the fact that a trader has practiced a lower price without prior authorization from the central point) is then taken into account in the follow-up of cases. If an alignment is not possible on the concerned case, a re-framing or compensation during a next consultation may be discussed.  </w:t>
        <w:br/>
        <w:t xml:space="preserve">143. The meeting reports and declarations in the file also attest that traders attending the meetings had to, when cases concerning them were being discussed, provide compelling evidence to support their accusations and, if applicable, arguments in defense. Mr. 32... (Beauplet, group Descours &amp; Cabaud) stated: "We went to these meetings with price offers that supported our statements if we were wrongly accused of having made a price offer too low." The following elements are examples of meetings during which (references 602 to 606, 15832, 15787, 4424, 15352, 15052, 15042):  </w:t>
        <w:br/>
        <w:t xml:space="preserve">• documents were verified (meeting of June 12, 2003): "20/05/03 CUTTING ANJOU TECHNOLOGIES – AVRILLE: This case was taken by KDI Angers at 525€/T. We all could see the order form in proper form";  </w:t>
        <w:br/>
        <w:t xml:space="preserve">• documents not presented were demanded (meeting of June 12, 2003): "6 tons Sheets DKP-LAC-TPG taken by Mr. R. at the ranking while the client confirms having dealt at -13 and -10€/T. Mr. R. will have to bring us proof at the next meeting with the invoice," (meeting of March 28, 2004): "Mirouze requests that the following files be checked";  </w:t>
        <w:br/>
        <w:t xml:space="preserve">• a trader who came without documents was pointed out: "Bertand 33... attends this meeting without many files. It is imperative for these meetings that everyone comes with the documents (order forms – price offers – invoices, etc.) to prove and reassure the various participants... However, this is not the case!!!";  </w:t>
        <w:br/>
        <w:t xml:space="preserve">• more precise documents and information were requested (meeting of April 8, 2004): "each participant to provide the CA 2003 and the CA T1/2004 to better analyze client flows." The minutes of the following meeting show the figures requested during the discussion concerning the client in question.  </w:t>
        <w:br/>
        <w:t>57</w:t>
      </w:r>
    </w:p>
    <w:p>
      <w:r>
        <w:rPr>
          <w:b/>
        </w:rPr>
        <w:t>[Pages 58–60]</w:t>
      </w:r>
    </w:p>
    <w:p>
      <w:r>
        <w:t>144. In the various reports, the same expressions regularly appear concerning the monitoring of cases or decisions made regarding their management:</w:t>
      </w:r>
    </w:p>
    <w:p>
      <w:r>
        <w:t>Table No. 10: Recurring Expressions in Case Monitoring</w:t>
      </w:r>
    </w:p>
    <w:p>
      <w:r>
        <w:t>Expression Meaning References (examples)</w:t>
      </w:r>
    </w:p>
    <w:p>
      <w:r>
        <w:t>"?", "Who?" Unresolved case 15023</w:t>
      </w:r>
    </w:p>
    <w:p>
      <w:r>
        <w:t>"In progress" or "estimate" Consultation not completed 15054 or "pending" 15711</w:t>
      </w:r>
    </w:p>
    <w:p>
      <w:r>
        <w:t>"at price" or "ok" Case concluded in compliance with the arrangement 15703</w:t>
      </w:r>
    </w:p>
    <w:p>
      <w:r>
        <w:t>"rounded" Case taken by rounding down 15769</w:t>
      </w:r>
    </w:p>
    <w:p>
      <w:r>
        <w:t>"underpriced" Case taken at a price lower than the arrangement 10247</w:t>
      </w:r>
    </w:p>
    <w:p>
      <w:r>
        <w:t>"outside arrangement", "OA", Case taken in contradiction with the conditions defined by the 15017 "pricing error" or arrangement 14517 "violation"</w:t>
      </w:r>
    </w:p>
    <w:p>
      <w:r>
        <w:t>"instead of" Amount at which a case should have been taken 15807</w:t>
      </w:r>
    </w:p>
    <w:p>
      <w:r>
        <w:t>"PC approval" Case taken, possibly under conditions different from those of the 15843 (with or without) arrangement but with the authorization of the central point (or without) 15942 15953</w:t>
      </w:r>
    </w:p>
    <w:p>
      <w:r>
        <w:t>"follow-up right" or Case taken (or authorized to do so) at a level lower than that 15008 "alignment" of the arrangement considering another offer already lower than the arrangement 14223</w:t>
      </w:r>
    </w:p>
    <w:p>
      <w:r>
        <w:t>"released" Client placed outside the arrangement considering the difficulty in managing its 15428 consultations (rare) 15849</w:t>
      </w:r>
    </w:p>
    <w:p>
      <w:r>
        <w:t>"rounds", "rotating", Implementation of a supplier rotation system for 15751 "turn-over", "leader", dissatisfied clients or those suspecting an agreement. A "leader" prices 15341 "follower" at the level of the arrangement and the "followers" cover it by making higher or incomplete proposals.</w:t>
      </w:r>
    </w:p>
    <w:p>
      <w:r>
        <w:t>"seen", "price confirmed", Case for which documents have been presented or 15781 "invoice control", requested by a trader 4424, 3857 "invoice complaint" 2359, 2360 12126</w:t>
      </w:r>
    </w:p>
    <w:p>
      <w:r>
        <w:t>c) The dissemination of documents relating to the establishment of the arrangement</w:t>
      </w:r>
    </w:p>
    <w:p>
      <w:r>
        <w:t>145. Prior to, during, or following the meetings, information on the applicable pricing conditions was disseminated: scales, rankings, summary tables of arrangements, or specific instructions.</w:t>
      </w:r>
    </w:p>
    <w:p>
      <w:r>
        <w:t>The regional scales</w:t>
      </w:r>
    </w:p>
    <w:p>
      <w:r>
        <w:t>The content of the scales</w:t>
      </w:r>
    </w:p>
    <w:p>
      <w:r>
        <w:t>146. Numerous scales were seized or communicated during the investigation. A large number circulated in the regions, as national scales, regional scales, and internal scales of groups or companies coexisted, with correspondence to the scales of the profession being ensured.</w:t>
      </w:r>
    </w:p>
    <w:p>
      <w:r>
        <w:t>147. Mr. 15... (KDI) thus stated: "There are three types of scales: a factory scale communicated at the end of the FNA meetings in Paris; then each group develops its national reference scale and transmits it locally; there a regional reference scale specific to the profession is developed. Finally, there is a site-specific scale for the Toulouse site." Similarly, Mr. H... (Descours &amp; Cabaud) indicated: "At DESCOURS &amp; CABAUD, we have always had our own scales, which we made based on the national scales. To maintain an appearance of legality, there were always discrepancies between the national scales and the scales of DESCOURS &amp; CABAUD. My sales instructions specified the discounts to be made mandatorily in relation to our scales to align with the national scale. This did not pose a problem in relation to the other members of the agreement as comparisons were made based on the offers actually made to clients." This is confirmed by some of the internal sales instructions present in the file, which mention variations both in relation to the internal scale and the scale of the profession. A regional manager of the group also indicated: "We use the DESCOURS scale daily (it is our computer base). The group indicates correspondences to find the scales of the profession."</w:t>
      </w:r>
    </w:p>
    <w:p>
      <w:r>
        <w:t>148. The regional scales, developed based on the national scales, existed for all products and could be renewed very frequently over periods (notably in 2004). The coexistence between the national part of the scales, which corresponds to a column ("B", "DC" for "last column", "50T and +" or "national"), or even for beams to two or three columns ("B", "A" and "L") and the regional part is visually materialized in a number of the scales in the file (for example, references 14861 and following, 22435 to 22440, 22513 to 22719).</w:t>
      </w:r>
    </w:p>
    <w:p>
      <w:r>
        <w:t>The creation and dissemination of the scales</w:t>
      </w:r>
    </w:p>
    <w:p>
      <w:r>
        <w:t>149. Depending on the regions, the individuals responsible for developing the regional scales could vary, their role being more or less clearly defined. For example, in the 4th region, the statements of the regional president are vague: "The regional scales are developed regionally; there is only one. A company constructs it and then communicates it to others." In contrast, in the 7th region, the statements of the manager of a KDI agency are complete: "The updating of reference scales for the region, considering the frequent updates of the factory scales, was shared among the different companies based on product families. For example, Jean-Paul 34... (BAURES company) developed the beam scale; the PAGES company developed the rolled scale; the KDI company developed the tube scale; the PUM company developed the sheet scale. There was a concrete products scale. No company was specifically responsible for the concrete products scale." In some regions, there were also projects for specific scales, as is the case for the creation by CODIP and KDI of a round concrete scale in the 8th region.</w:t>
      </w:r>
    </w:p>
    <w:p>
      <w:r>
        <w:t>150. Generally, and as indicated above, it emerges from the documents and statements in the file that the regional (and national) scales were primarily disseminated by the regional presidents. Some scales explicitly refer to this distinction between national and regional levels or mention the different categories of clients.</w:t>
      </w:r>
    </w:p>
    <w:p>
      <w:r>
        <w:t>Table No. 11: Available Information on the Creation and Dissemination of Scales</w:t>
      </w:r>
    </w:p>
    <w:p>
      <w:r>
        <w:t>Regions Category Companies Recipient Companies</w:t>
      </w:r>
    </w:p>
    <w:p>
      <w:r>
        <w:t>1st Creation PTR: KDI "All participants in the first region in beams" PP: PUM including Maisonneuve</w:t>
      </w:r>
    </w:p>
    <w:p>
      <w:r>
        <w:t>Dissemination Mr. 9..., independent</w:t>
      </w:r>
    </w:p>
    <w:p>
      <w:r>
        <w:t>2nd Creation PTR: PUM No precise information</w:t>
      </w:r>
    </w:p>
    <w:p>
      <w:r>
        <w:t>PP: PUM LM: D’Halluin Tubes: Dubocage</w:t>
      </w:r>
    </w:p>
    <w:p>
      <w:r>
        <w:t>Dissemination No information</w:t>
      </w:r>
    </w:p>
    <w:p>
      <w:r>
        <w:t>3rd Creation PL: KDI No precise information</w:t>
      </w:r>
    </w:p>
    <w:p>
      <w:r>
        <w:t>PP: KDI and PUM</w:t>
      </w:r>
    </w:p>
    <w:p>
      <w:r>
        <w:t>Dissemination Mr. 10..., KDI and PUM</w:t>
      </w:r>
    </w:p>
    <w:p>
      <w:r>
        <w:t>4th Creation PTR: KDI Chaillous (PUM), Clisson Métal, CMB (D&amp;C), Maisonneuve, Edition: Clisson D’Huart (PUM), DIS (D&amp;C), Martin Rondeau (D&amp;C), PADF (PUM/ Arcelor Profil), SLPM (PUM), VAMA (D&amp;C), KDI,</w:t>
      </w:r>
    </w:p>
    <w:p>
      <w:r>
        <w:t>Dissemination Mr. 12..., KDI Arus (KDI), KDI CM and FNA</w:t>
      </w:r>
    </w:p>
    <w:p>
      <w:r>
        <w:t>5th Creation No information KDI, Guillot (PUM), Penicaut, Prometo, Clisson Métal, Maisonneuve, D&amp;C</w:t>
      </w:r>
    </w:p>
    <w:p>
      <w:r>
        <w:t>Dissemination Mr. 13..., KDI</w:t>
      </w:r>
    </w:p>
    <w:p>
      <w:r>
        <w:t>6th Creation PL: KDI No precise information</w:t>
      </w:r>
    </w:p>
    <w:p>
      <w:r>
        <w:t>PP and tubes: PUM</w:t>
      </w:r>
    </w:p>
    <w:p>
      <w:r>
        <w:t>Dissemination KDI and Guillot (PUM)</w:t>
      </w:r>
    </w:p>
    <w:p>
      <w:r>
        <w:t>7th Creation PTR: D&amp;C No precise information</w:t>
      </w:r>
    </w:p>
    <w:p>
      <w:r>
        <w:t>LM: D&amp;C Tubes: KDI PP: PUM</w:t>
      </w:r>
    </w:p>
    <w:p>
      <w:r>
        <w:t>Dissemination No information</w:t>
      </w:r>
    </w:p>
    <w:p>
      <w:r>
        <w:t>8th Creation PTR: KDI KDI, Morel, CODIP, PUM, D&amp;C, Ferren Fers (CODIP), LM: BS (PUM) Lopez SSA (PUM), Auxiliaire Metallurgique, Blanc, PADF (PUM/ Arcelor Profil), Balitrand, Berton (PUM), Sibille, Tubes: BS (PUM) Baures (D&amp;C), Chessa PP: BS (PUM) RB: CODIP/ KDI</w:t>
      </w:r>
    </w:p>
    <w:p>
      <w:r>
        <w:t>Dissemination Mr. 24..., BS (PUM) and KDI</w:t>
      </w:r>
    </w:p>
    <w:p>
      <w:r>
        <w:t>9th Creation No information D&amp;C, Arcelor Profil, KDI, Morel, CMF (D&amp;C), Savoie Métal (PUM), PUM, AGDG (D&amp;C), Lopez SA (PUM), Sibille</w:t>
      </w:r>
    </w:p>
    <w:p>
      <w:r>
        <w:t>Dissemination Mr. 17..., KDI 10th: Maringue Sagetat (D&amp;C), KDI 11th: PUM, D’Huart (PUM)</w:t>
      </w:r>
    </w:p>
    <w:p>
      <w:r>
        <w:t>10th Creation KDI in part No precise information</w:t>
      </w:r>
    </w:p>
    <w:p>
      <w:r>
        <w:t>Dissemination Regional president</w:t>
      </w:r>
    </w:p>
    <w:p>
      <w:r>
        <w:t>11th Creation No information No precise information</w:t>
      </w:r>
    </w:p>
    <w:p>
      <w:r>
        <w:t>Dissemination No information</w:t>
      </w:r>
    </w:p>
    <w:p>
      <w:r>
        <w:t>National Creation PTR: KDI Regional presidents, PUM, PADF, KDI, D&amp;C, D’Halluin, PP: PUM Maisonneuve, Dubocage, Morel, CODIP and Ferren Fers. Others: D&amp;C</w:t>
      </w:r>
    </w:p>
    <w:p>
      <w:r>
        <w:t>Dissemination FNA</w:t>
      </w:r>
    </w:p>
    <w:p>
      <w:r>
        <w:rPr>
          <w:b/>
        </w:rPr>
        <w:t>[Pages 61–63]</w:t>
      </w:r>
    </w:p>
    <w:p>
      <w:r>
        <w:t xml:space="preserve">L'utilisation des barèmes  </w:t>
        <w:br/>
        <w:t xml:space="preserve">151. The documents in the file allow us to conclude that these scales were intended to be applied and that they could be, directly or indirectly. The use of national or competitor scales is also confirmed by the statements of traders, of which the following quotes are representative examples (references 23071 to 23084, 23110 to 23122 and 897 to 904):  </w:t>
        <w:br/>
        <w:t xml:space="preserve">• Mr. A... (Maisonneuve) stated: "The arrangement is the orientation scales that are provided. They were defined with the aim of being applied strictly";  </w:t>
        <w:br/>
        <w:t xml:space="preserve">• Mr. 8... (Liametho) stated that "the benchmark scale could help us build our scale (but we also had the prices of our suppliers, even of our competitors to do the same)" and, in commenting on an internal client ranking, "at the time we did not have customer conditions on computer and we did not work in direct reading. The salespeople or the pricing service had this document. It describes the clients to whom we granted discounts. In the case of 'last column' (or the reference to another column, type 'T4' or '500kg/1T'), it refers, regardless of weight, to the last column (or to the relevant column). When there is a number, it is the discount compared to the last column. When it is empty, it is based on weight. The times when there is 'NAT' are the rare times when we referred to the benchmark scales, as they are or with a variation";  </w:t>
        <w:br/>
        <w:t xml:space="preserve">• Mr. B... (CODIP) stated, regarding a scale from Berton Sicard: "We decided for the sake of alignment to take this rate as a reference even if we apply our own discounts".  </w:t>
        <w:br/>
        <w:t xml:space="preserve">152. Furthermore, all the minutes of regional meetings recorded, which often include a first part dedicated to the applicable scales, refer, in the second part dedicated to monitoring recent cases, to national and regional scales when analyzing whether the cases were concluded at the correct rate. Similarly, the individual follow-ups of the arrangement made by traders, notably the company Maisonneuve, take national and regional scales as a reference to evaluate the legitimacy of the responses provided to client consultations and show that traders expect these scales to be respected. Thus, expressions can be found next to the cases studied, such as "large + 50", "NAT + 20%", etc. A large number of documents or statements, some of which are cited below, go in the same direction and confirm the status of national and regional scales. This is true when the scales are respected: "good maintenance of prices respecting union guidelines including by external participants", "today, thanks to FNA, the application of the traditional product sales scales is generally locked", "overall, the new scales are well applied on 03/03/03, by the entire profession on 13 and 84" or "prices are rising as well as margins, a consequence of the economic environment and respect for the scaling of the 8th region". It is also true when they are not: "too many cases go outside the scale for unjustified reasons" or "many cases outside the scales from peripherals" (references 15148 to 15172, 15191 to 15204, 13739, 13755 and 13781, 4720, 3139, 18167, 16946, 18166 and 4689).  </w:t>
        <w:br/>
        <w:t xml:space="preserve">Les listes de classements de clients  </w:t>
        <w:br/>
        <w:t xml:space="preserve">153. Client rankings have already been mentioned. A large number of ranking lists were found in the regions, notably mentioning the column to be used and the maximum discounts to be granted to clients, for a category of product or, more generally, for all products. These rankings were exchanged between traders (by mail, fax or electronic sending) and discussed during meetings (for example, references 22735 to 22754, 22813 to 22833, 19526 to 19528, 19529 and 19530, 15593 to 15595, 4187, 4200, 4817, 10258, 10246 and 10108).  </w:t>
        <w:br/>
        <w:t xml:space="preserve">Les classements par produit  </w:t>
        <w:br/>
        <w:t xml:space="preserve">154. Product rankings concern beams on one hand and flat products on the other (or even both at the same time). They complement the lists existing at the national level. These rankings focus on important clients and provide for each of them the reference scale (and if applicable the column) (NAT, R.10T,…) as well as the applicable discount. These rankings were presented as follows, as shown in an example concerning flat products (reference 10108):  </w:t>
        <w:br/>
        <w:t xml:space="preserve">"COATED LAC SHEETS  </w:t>
        <w:br/>
        <w:t xml:space="preserve">DKP-RELIEFS XC  </w:t>
        <w:br/>
        <w:t xml:space="preserve">ACM Nat. - 30 €/T Nat. - 30 €/T  </w:t>
        <w:br/>
        <w:t xml:space="preserve">ALDIGE Nat. - 30 €/T Nat. - 30 €/T  </w:t>
        <w:br/>
        <w:t xml:space="preserve">ATEP R.10T-160€/T R.10T-300€/T  </w:t>
        <w:br/>
        <w:t xml:space="preserve">…".  </w:t>
        <w:br/>
        <w:t xml:space="preserve">Les classements généraux  </w:t>
        <w:br/>
        <w:t xml:space="preserve">155. More general rankings were found in large numbers. These allowed knowing exactly which quotation to apply to a client regardless of the product. The fact that all products were listed allowed for a non-deviant response to a consultation concerning several products, which is common in the profession. This is expressed in a meeting report from the 4th region: "Definition of a ranking. But also on concrete rounds to prevent orders of rolled and tubes from going to the one who proposed the cheapest in concrete rounds" (reference 15502). It is indeed to respond to such situations that the consultation was applied to all products, but also to cutting and semi-direct sales.  </w:t>
        <w:br/>
        <w:t xml:space="preserve">156. These rankings were most often departmental. A large number were found for various departments, sometimes in similar versions among several traders and some dating back to 1999. They covered the main categories of products (beams, rolled products, wide flats, tubes, PAF, sheets and sometimes concrete rounds or drawn products). Their precision, as well as their formal aspect, varies considerably depending on the different examples found (for example, references 4946 to 4956, 22401 to 22416, 17376 to 17381, 17957 to 17962, 18972 to 18982, 18983 and 18984, 17966 and 17967, 10382 to 10435, 10467 to 10472 and 20156 to 20259).  </w:t>
        <w:br/>
        <w:t xml:space="preserve">157. For example, in the 4th region, a ranking list was recorded preceded by data on minimum general conditions (called "benchmarks"). Minimum prices and a reminder on the issue of "rounding" are also indicated (references 19523 and 10405 and following):  </w:t>
        <w:br/>
        <w:t xml:space="preserve">"RANKING 85  </w:t>
        <w:br/>
        <w:t xml:space="preserve">APPLICATION FOR ANY CASE FROM 06/05/04  </w:t>
        <w:br/>
        <w:t xml:space="preserve">Reminder of the 'Benchmark' conditions (excluding clients A &amp; L)  </w:t>
        <w:br/>
        <w:t xml:space="preserve">Rolled products R 10% on BN as of 03/05/04  </w:t>
        <w:br/>
        <w:t xml:space="preserve">Wide flats R 10% on BN as of 03/05/04  </w:t>
        <w:br/>
        <w:t xml:space="preserve">Tubes R 10% on BN as of 03/05/04  </w:t>
        <w:br/>
        <w:t xml:space="preserve">PAF N NET on BN as of 03/05/04  </w:t>
        <w:br/>
        <w:t xml:space="preserve">Sheets N NET on scale as of 03/05/04  </w:t>
        <w:br/>
        <w:t xml:space="preserve">Beams N 20/50 T NET on scale as of 03/05/04  </w:t>
        <w:br/>
        <w:t xml:space="preserve">General Arrangement  </w:t>
        <w:br/>
        <w:t xml:space="preserve">For all non-listed clients: respect for the following minimum prices: (call PC if difficulties in applying)  </w:t>
        <w:br/>
        <w:t xml:space="preserve">LM BEAM TUBES SHEETS PAF  </w:t>
        <w:br/>
        <w:t xml:space="preserve">-10% 1/3 T -15% 3/5 T 1/3 T  </w:t>
        <w:br/>
        <w:t xml:space="preserve">- 500 Kg + 500 Kg  </w:t>
        <w:br/>
        <w:t xml:space="preserve">DRAWN A37 990 € 940 €  </w:t>
        <w:br/>
        <w:t xml:space="preserve">DRAWN A60 1010€ 960 €  </w:t>
        <w:br/>
        <w:t xml:space="preserve">The tolerance on prices is always in addition, never in less. No rounding".  </w:t>
        <w:br/>
        <w:t xml:space="preserve">158. This document was followed by a table summarizing for a large number of clients either the column and the maximum amount of the possible reduction on the value of the column, or a maximum discount percentage. It also contains a column "observations" and a column PC (filled with an initial). It is presented as follows (excerpt):  </w:t>
        <w:br/>
        <w:t xml:space="preserve">NAMES LM BEAM TUBES SHEETS SHEETS SHEETS PAF Observations PC  </w:t>
        <w:br/>
        <w:t xml:space="preserve">LAC DKP MCR  </w:t>
        <w:br/>
        <w:t xml:space="preserve">Flag -10% 5/10T -35% 5/10T-15€ 5/10T-15€ 5/10T-30€ 1/3T F  </w:t>
        <w:br/>
        <w:t xml:space="preserve">ECMI -15% 3/5T -30% 3/5T-15€ 3/5T-15€ 3/5T-30€ 3Tet+ C  </w:t>
        <w:br/>
        <w:t xml:space="preserve">Etienne -45% N10/20T -55% TQ TQ TQ 3Tet+ Grids and MD: C  </w:t>
        <w:br/>
        <w:t xml:space="preserve">-5% 40et+  </w:t>
        <w:br/>
        <w:t xml:space="preserve">…  </w:t>
        <w:br/>
        <w:t xml:space="preserve">Les tableaux récapitulatifs et les instructions  </w:t>
        <w:br/>
        <w:t xml:space="preserve">159. Given the large number of pricing conditions applied to clients, summary documents were issued in certain regions and served as a reference for knowing how to quote a consultation. The file includes such documents, in various presentations, for dates ranging from June 3, 2002, to June 1, 2004, and concerning all or part of the 3rd, 4th, and 5th regions. These summaries present, for the main products and other products, the applicable scales, their latest variations, any minimum prices, and the specificities that may exist on certain products. Here is an example that was intended to apply on June 1, 2004 (references 22393 to 22395, 19436, 14839 to 14849, 14700 to 14707, 10300 to 10302):  </w:t>
        <w:br/>
        <w:t xml:space="preserve">"4th region OCEANE AS OF 01/06/2004  </w:t>
        <w:br/>
        <w:t xml:space="preserve">1) BEAMS  </w:t>
        <w:br/>
        <w:t xml:space="preserve">New national scale as of 01/06/04.  </w:t>
        <w:br/>
        <w:t>Regional scale as of 26/04/04 unchanged.</w:t>
      </w:r>
    </w:p>
    <w:p>
      <w:r>
        <w:rPr>
          <w:b/>
        </w:rPr>
        <w:t>[Pages 64–66]</w:t>
      </w:r>
    </w:p>
    <w:p>
      <w:r>
        <w:t xml:space="preserve">A note of new scales as of 01/07. National arrangement unchanged;  </w:t>
        <w:br/>
        <w:t xml:space="preserve">1- Clients L; Range 100 T and +  </w:t>
        <w:br/>
        <w:t xml:space="preserve">2- Clients A: Range 75 to 100 T  </w:t>
        <w:br/>
        <w:t xml:space="preserve">3- Clients B; Range 50 to 75 T  </w:t>
        <w:br/>
        <w:t xml:space="preserve">Other Regional clients: Application of the regional scale and departmental arrangements.  </w:t>
        <w:br/>
        <w:t xml:space="preserve">Table in the annex for floor conditions.  </w:t>
        <w:br/>
        <w:t xml:space="preserve">Cuts: application of the net scale without discount except for the 11 special cases.  </w:t>
        <w:br/>
        <w:t xml:space="preserve">Semi-direct Orders: Definition of semi-direct conditions unchanged  </w:t>
        <w:br/>
        <w:t xml:space="preserve">2) MERCHANT PLATES AND WIDE FLATS  </w:t>
        <w:br/>
        <w:t xml:space="preserve">National and regional scales as of 26/04/04  </w:t>
        <w:br/>
        <w:t xml:space="preserve">Table in the annex for floor conditions.  </w:t>
        <w:br/>
        <w:t xml:space="preserve">3) CONSTRUCTION TUBES - Tl - T2 - T3 - TIO:  </w:t>
        <w:br/>
        <w:t xml:space="preserve">New national scale as of 01/06/04.  </w:t>
        <w:br/>
        <w:t xml:space="preserve">Regional scale as of 26/04/04 unchanged.  </w:t>
        <w:br/>
        <w:t xml:space="preserve">Note: new scales as of 01/07.  </w:t>
        <w:br/>
        <w:t xml:space="preserve">Construction tubes; see table in the annex for floor conditions.  </w:t>
        <w:br/>
        <w:t xml:space="preserve">Welded canal tubes: maximum discount 25% on national scale.  </w:t>
        <w:br/>
        <w:t xml:space="preserve">Seamless canal tubes: national net scale without discount.  </w:t>
        <w:br/>
        <w:t xml:space="preserve">4) PAF  </w:t>
        <w:br/>
        <w:t xml:space="preserve">New national scale as of 01/06/04.  </w:t>
        <w:br/>
        <w:t xml:space="preserve">Regional scale as of 26/04/04 unchanged.  </w:t>
        <w:br/>
        <w:t xml:space="preserve">Note: new scales as of 01/07.  </w:t>
        <w:br/>
        <w:t xml:space="preserve">The range 20T and + constitutes the new threshold  </w:t>
        <w:br/>
        <w:t xml:space="preserve">5) FLAT PRODUCTS:  </w:t>
        <w:br/>
        <w:t xml:space="preserve">New national scale as of 01/06/04.  </w:t>
        <w:br/>
        <w:t xml:space="preserve">Regional scale as of 26/04/04 unchanged,  </w:t>
        <w:br/>
        <w:t xml:space="preserve">Note: new scales as of 01/07.  </w:t>
        <w:br/>
        <w:t xml:space="preserve">REMINDER: for all clients, lists are removed and the Spot scale is no longer applied as well as discounts on the 20 T, AND NO CUMULATION FLAT PRODUCTS / LONG PRODUCTS.  </w:t>
        <w:br/>
        <w:t xml:space="preserve">6) STRETCHES: New scale as of 01/05/04.  </w:t>
        <w:br/>
        <w:t xml:space="preserve">A37 A60  </w:t>
        <w:br/>
        <w:t xml:space="preserve">Minimum price: orders &lt; 500 kg: 990 €/T 1010€/T  </w:t>
        <w:br/>
        <w:t xml:space="preserve">Orders &gt; 500 kg: 940 €/T 960 €/T  </w:t>
        <w:br/>
        <w:t xml:space="preserve">7) PRICE THRESHOLDS FOR ORDERS &lt; 3 T on 44-85 and 49.  </w:t>
        <w:br/>
        <w:t xml:space="preserve">Rolled products 10 T -10%  </w:t>
        <w:br/>
        <w:t xml:space="preserve">Flat products 3/5 T NET  </w:t>
        <w:br/>
        <w:t xml:space="preserve">CM tubes 10 T -15%  </w:t>
        <w:br/>
        <w:t xml:space="preserve">Beams 1/3 T NET  </w:t>
        <w:br/>
        <w:t xml:space="preserve">PAF 1/3 T NET  </w:t>
        <w:br/>
        <w:t xml:space="preserve">Conditions applicable on the scales in force.  </w:t>
        <w:br/>
        <w:t xml:space="preserve">8) GALVANIZATION  </w:t>
        <w:br/>
        <w:t xml:space="preserve">Increase 830 €/T  </w:t>
        <w:br/>
        <w:t xml:space="preserve">9) WELDING MESH  </w:t>
        <w:br/>
        <w:t xml:space="preserve">Scale as of 01/02/04.  </w:t>
        <w:br/>
        <w:t xml:space="preserve">10) EXPANDED METAL  </w:t>
        <w:br/>
        <w:t xml:space="preserve">Scale as of 01/03/04  </w:t>
        <w:br/>
        <w:t xml:space="preserve">11) CONCRETE PRODUCTS  </w:t>
        <w:br/>
        <w:t xml:space="preserve">Round scale as of 22/03/04.  </w:t>
        <w:br/>
        <w:t xml:space="preserve">Welded mesh scale as of 21/04/04.  </w:t>
        <w:br/>
        <w:t xml:space="preserve">160. The annex table referred to is as follows (reference 10303):  </w:t>
        <w:br/>
        <w:t>161. These summaries were sent by the regional presidents, by fax or electronic mail. They are mentioned in a large number of reports of regional meetings. Summary documents also circulated within groups and companies. They disseminated the same information on the arrangements, except that, in some cases, the modifications were provided both based on the professional scale and that of the group (14140, 14141, 8723 to 8727, 8719 to 8722, 14389 to 14397, 15464, 15468, 15902, 15910, 15925, 7221, 14850 to 14854, 16042, 16043, 14383, 14398, 1936 to 1938, 19554 to 19556, 18190 to 18197, 18221 to 18227, 12492 to 12498, 11909, 11910, 11939, 11940, 11971 to 11973, 19982 to 19992 and 22396 to 22400).</w:t>
      </w:r>
    </w:p>
    <w:p>
      <w:r>
        <w:t xml:space="preserve">d) The implementation of coercive actions  </w:t>
        <w:br/>
        <w:t xml:space="preserve">162. When the conditions associated with the arrangements were not respected, coercive actions were implemented. The documents in the file reveal the mechanisms put in place in the different regions, regarding the members of the consultation or external actors, whether they were French traders not participating in the consultation or "penetrators," that is to say, foreign traders or those belonging to another FNA region.  </w:t>
        <w:br/>
        <w:t xml:space="preserve">The internal control and sanction systems  </w:t>
        <w:br/>
        <w:t xml:space="preserve">163. Mr. H... (Descours &amp; Cabaud) stated, regarding the sanctions applied in case of non-compliance with the agreed decisions: "The arrangement was put in place for a matter of survival. We had no choice: it had to work. Even if the risk of deviation existed, our interests were linked and if someone deviated, everyone fell and everyone risked 'losing feathers.' There was therefore a climate of trust, which was maintained, despite some periods of doubt. Thus, it was necessary to accept the rules of the game in their entirety: deviating meant not accepting it and putting the whole system at risk. Moreover, the arrangement was so constraining in its form that it did not necessarily require sanctions.  </w:t>
        <w:br/>
        <w:t xml:space="preserve">Nevertheless, to strengthen the effectiveness of the arrangement, we thought at the national level about control and sanction systems. The deviations, which existed, were occasional and were linked to a situation or a client (history, etc.). The monitoring of cases was done in meetings, based on possible price offers or sometimes invoices.  </w:t>
        <w:br/>
        <w:t xml:space="preserve">(...) Generally, points were made during the meetings of the Beam Club and the meetings of the sales directors of the national groups at the FNA, as well as between the Presidents of the national groups. It was on these occasions that the monitoring of cases was carried out and measures aimed at ensuring discipline were taken. The infringing company had a hard time. In this regard, in addition to allowing for the clarification of certain points or to formalize the rules and behaviors to follow, the lunches of the sales directors were also an opportunity to reset things in a smaller committee when violations had been observed.  </w:t>
        <w:br/>
        <w:t xml:space="preserve">Exclusion was obviously difficult. The offender could, however, sometimes be prohibited from taking orders from a client for a certain period. The buyback of tons (from the company that should have been the leader and which was not due to an infringement of underpricing compared to the scale or market share objectives) never materialized at the national level. However, it seems to me that this was the case in the 4th region. It is also possible that some regions organized controls and implemented sanctions."  </w:t>
        <w:br/>
        <w:t xml:space="preserve">The formalized system observed in the 7th region  </w:t>
        <w:br/>
        <w:t>164. The documents seized in the 7th region (a typed table of sanctions and the presentation on a "flip chart" of a sanction system) revealed the existence of a complete, gradual, and sophisticated system of sanctions for deviations prepared by the regional president, some of whose elements were indeed implemented, in this region but also in others. The mechanism envisages the types of possible deviations and provides for their sanctions, decided in meetings: these sanctions can increase depending on the consequences of the deviation and a possible recurrence. These different documents are reproduced below. PMMA, whose mention appears on the right of the typed table.</w:t>
      </w:r>
    </w:p>
    <w:p>
      <w:r>
        <w:rPr>
          <w:b/>
        </w:rPr>
        <w:t>[Pages 67–69]</w:t>
      </w:r>
    </w:p>
    <w:p>
      <w:r>
        <w:t>below, is a client from the 7th region whose name is mentioned in the notes taken by a KDI executive: "PMMA → Punishment Mirouze. (coverage 100T)", which indicates that the rules derived from the documents below have been used to address the sanctions discussed during the meetings or are inspired by them (references 4936, 3828 to 3830 and 3977).</w:t>
      </w:r>
    </w:p>
    <w:p>
      <w:r>
        <w:t>Typed table of sanctions</w:t>
      </w:r>
    </w:p>
    <w:p>
      <w:r>
        <w:t>First page of the flip chart (original and reproduction):</w:t>
        <w:br/>
        <w:t>Second page of the flip chart (original and reproduction):</w:t>
      </w:r>
    </w:p>
    <w:p>
      <w:r>
        <w:t>Third page of the flip chart (original and reproduction):</w:t>
        <w:br/>
        <w:t>165. Essentially, these documents present the different scenarios of "violation" of the arrangement and the graduated sanctions for these deviations, which can be of two types: exclusion, of variable duration, and the buyback of tons. The system provides for one month of exclusion even in the case of withdrawal of the offer made outside the arrangement. It emerges from the first document that an exclusion corresponds to the following definition: "no business," which deprives the trader of such business for 1, 2, or 3 months or for a duration corresponding to one to three times the disputed tonnage. The examples in the file also show cases of exclusion from meetings.</w:t>
      </w:r>
    </w:p>
    <w:p>
      <w:r>
        <w:t>Sanctions noted in the regions</w:t>
        <w:br/>
        <w:t>166. Sanctions similar to those mentioned above have been noted in the minutes of regional meetings. The conflicts primarily concerned the occasional deviations of the active participants in the consultation, those who were also monitoring the proper application of the arrangement by others. In these cases, the meeting minutes mainly highlight corrections and compensations, so that the overall balance is respected and remains as stable as possible. These initial situations resemble both the normal management of the consultation and sanctions. The modalities of corrections, graduated, are as follows (references 15026, 15312, 15790, 15307, 15771, 15252, 15313, 15337, 18929, 4213, 3977 and 4198):</w:t>
        <w:br/>
        <w:t>• immediate correction, by the withdrawal of the illegitimate offer (after intervention from the central point or discussion in the meeting), as indicated by, for example, the following excerpts from meetings: "We returned the order following a pricing error" and "Price OK for this case, COMET had not priced in the arrangement, but it withdrew its offer to avoid taking the case."</w:t>
      </w:r>
    </w:p>
    <w:p>
      <w:r>
        <w:rPr>
          <w:b/>
        </w:rPr>
        <w:t>[Pages 70–72]</w:t>
      </w:r>
    </w:p>
    <w:p>
      <w:r>
        <w:t>• granting by the central point of a "right of follow-up" allowing to quote below the arrangement to win the subsequent consultations following a deviation by another trader, as indicated by the following meeting excerpts: "for this case of cut beams, PC 49 authorized CM to do €10/T better to penalize KDI which has not been correct on this file since early 2003" and "Order taken by MR (-8% to compensate for the pricing errors of CHAILLOUS and LANGUILLE on the previous cases treated quoted below the stipulated conditions";</w:t>
      </w:r>
    </w:p>
    <w:p>
      <w:r>
        <w:t>• compensation for an error during a subsequent consultation by "covering" the legitimate trader, according to the arrangement, to take the case (the expression "return a case" is sometimes found) and by temporarily not taking any business with the client in question, as indicated by the following meeting excerpts: "order taken by MR who did not quote according to the defined method (...) MR will fully cover the next case", "we took 20 tons (...) by following below the prices of GUILLOT defined with the PC while we had not declared this case (...). We will cover the next cases", "Case covered by LANGUILLE outside the arrangement on the last case", "Price followed without agreement from the PC. They will have to withdraw for the next case", "SCOMAP → DC? (DC 1 month withdraws)", "10 T taken by Mirouze to return to KDI", "Mirouze over-quotes for 1 month" and "PMMA → Punishment Mirouze (coverage 100T)".</w:t>
      </w:r>
    </w:p>
    <w:p>
      <w:r>
        <w:t>167. It appears in certain reports that previous deviations were sometimes used in defense as justification. This type of explanation was sometimes accepted, as indicated by the following meeting excerpt: "outside the arrangement (in retaliation for previous cases including that of 08/07/03 taken by Beauplet – outside the arrangement. Refreshing memory)" (reference 15495).</w:t>
      </w:r>
    </w:p>
    <w:p>
      <w:r>
        <w:t>168. More serious sanctions have been taken or requested, such as temporary exclusions from meetings, as indicated by the following meeting excerpts: "Maisonneuve is excluded", "The situation is more difficult in Haute Normandie where Descours is excluded from the arrangement", "3rd: Descours Rouen excluded on Monday collegially", "Apart from Descours, still on the blacklist, no problem, the climate remains good despite the relative underactivity. Everyone knows the interest of the arrangement to avoid degrading margins", "have Sieuzac Agen excluded", "Fourcade → Métal Pyrénées (-10%) Next to exclude" and "→ excluded 4 times on the next ones" (references 15495, 8506, 7319, 8971, 7346, 3966, 3990 and 3958).</w:t>
      </w:r>
    </w:p>
    <w:p>
      <w:r>
        <w:t>169. Finally, in some cases, the file documents report the aggressiveness of traders towards another dissident member: "a meeting is planned to 'bring the troublemaker into line'. Let us hope he aligns with the path of wisdom. Otherwise, the FNA and yourself will hear about it" (reference 4736).</w:t>
      </w:r>
    </w:p>
    <w:p>
      <w:r>
        <w:t>The mechanisms of pressure and coercion against external actors</w:t>
      </w:r>
    </w:p>
    <w:p>
      <w:r>
        <w:t>170. Various practices have been implemented to counter the initiatives of traders not part of the consultation. Mr. B... (CODIP) notably stated: "One of our concerns during these meetings was to protect our market against the penetrators from the 9th region and from Italy." Mr. 21... (KDI) stated: "I can say that there is a kind of regional solidarity among traders from the same region aimed at protecting themselves from the establishment of a number of competitors outside the region" (references 900 and 390 to 396).</w:t>
      </w:r>
    </w:p>
    <w:p>
      <w:r>
        <w:t>171. The recurring process, in this case, consists of an agreement ("We meet again Soprométal as a troublemaker and we will jointly try to push him back"), to break prices and make very aggressive competition against the external party involved. The concerned clients are monitored more closely, through a ranking ("We need to set up a new ranking to counter SoproMétal probably") or by resorting to the central point ("we decided to counter Albert by systematically calling the PC when we are consulted"). Statements are thus systematized and various measures are implemented (references 7307, 7308, 15472, 8193, 439 to 443, 14287 and 4937):</w:t>
      </w:r>
    </w:p>
    <w:p>
      <w:r>
        <w:t>• "rights of follow-up": in this case, the central point allows traders to follow quotations below the arrangement because they are made by an outsider who would win the case in the absence of reaction;</w:t>
      </w:r>
    </w:p>
    <w:p>
      <w:r>
        <w:t>• "turns", as illustrated by the following statements: "At the meeting, it was decided to designate a central point to prevent Albert from taking other cases. IDC is a client; the participants at the meeting must have wanted to decide to rotate the business for the client IDC. The same attitude is adopted towards Albert in the 44" and "As soon as an independent trader did not want to respect the arrangement established in common (such as the companies GERMOND or SUARD-BELLEMON), 'turns' at 'cost price' were organized for each consultation so that these traders would not win the order: each member of the agreement proposed, in turn, very low prices in response to consultations so that the companies that did not want to be part of the arrangement would not win the order." The logic here is inverted compared to traditional rotations: it is no longer about quoting according to the arrangement and making cover offers to deceive the client but about rotating the trader who will break the prices (and thus go below the arrangement) to take the business from the external company;</w:t>
      </w:r>
    </w:p>
    <w:p>
      <w:r>
        <w:t>• blocking supplies: those outside the consultation are often "room sellers" (i.e., without stock) who act as intermediaries between clients and producers or small resellers who source steel products from the traders themselves. In this case, blocking supplies is a solution quickly considered, as indicated by the following meeting excerpts: "KDI Nantes and MR Angers intervened with PAD and D'Huart to block Albert's supply on this file", "We need to consider, unless improvement, to solve the problem upstream by controlling supplies and significantly raising prices (Morel seems to be the most present)" and "I decided not to assist him anymore."</w:t>
      </w:r>
    </w:p>
    <w:p>
      <w:r>
        <w:t>3. THE EXCHANGED INFORMATION</w:t>
      </w:r>
    </w:p>
    <w:p>
      <w:r>
        <w:t>172. The development and monitoring of the different links in the arrangement as well as the activity of the commissions and other union bodies required a large number of exchanges of information between competing companies or within each of them. The means of exchange were varied and fed both national and regional arrangements. They complemented the elements feeding the consultation.</w:t>
      </w:r>
    </w:p>
    <w:p>
      <w:r>
        <w:t>173. The concrete and daily application of the consultation taking place in the regions, numerous pieces of information had to be reported to the general management of the large groups in order to prepare the meetings taking place at the national level. Regular reporting of information, expressly requested by the general management, has thus been observed within each of the three large groups.</w:t>
      </w:r>
    </w:p>
    <w:p>
      <w:r>
        <w:t>174. The same type of monitoring was implemented in the Maisonneuve company for similar reasons. Mr. A... stated in this regard: "The reports of departmental meetings of the FNA found in seals 3, 4, and 5 were mostly written by Philippe 40… for my attention to keep me informed of what was happening. Thus, in national meetings, I could best defend my company's position."</w:t>
      </w:r>
    </w:p>
    <w:p>
      <w:r>
        <w:t>175. Before national meetings, very detailed series of tonnage figures were also reported to the FNA. Before regional meetings, contacts could take place to decide which clients would be approached. During meetings, very detailed exchanges of information were made on recent or ongoing cases, on the state of demand, and on the scales to be used in the near future. After meetings, the dissemination of decisions from national commissions and regional meetings or summary documents was carried out in various ways by the regional presidents, but also by the FNA and the large groups to the members of the FNA and the regions.</w:t>
      </w:r>
    </w:p>
    <w:p>
      <w:r>
        <w:t>176. All information exchanged during the consultation is confidential and strategic information. They relate to the commercial strategy of traders, their customer base, and thus the fundamental elements of their commercial activity. This information is partly exchanged within the framework of the union activity of the FNA. The latter holds an approval from the SESSI to ensure a statistical survey concerning aggregated annual data, allowing only to target the origin of the steel purchased and the outlets, to avoid double counting of tonnages. The most precise monetary values recorded concern the tax-excluded billings of the outputs of the year. The data that the FNA is responsible for gathering are therefore, in substance, only aggregated annual volumes by categories. They do not explain or justify the observed exchanges, the information requested by the FNA from traders, the information transmitted by traders to the FNA, the information debated within the framework of FNA meetings as well as documents, emanating from the FNA, transmitted to traders and incorporating precise data relating to prices, clients, and market shares.</w:t>
      </w:r>
    </w:p>
    <w:p>
      <w:r>
        <w:t>F. NOTIFIED GRIEVANCES</w:t>
      </w:r>
    </w:p>
    <w:p>
      <w:r>
        <w:t>177. Based on the preceding elements, the following was notified on March 5, 2008:</w:t>
      </w:r>
    </w:p>
    <w:p>
      <w:r>
        <w:t>"- To the company PUM Service Acier, for its behavior and that of its subsidiaries Arcelor Négoce Distribution, PUM Paris Normandie, PorfilArbed Distribution France, D'Huart, Arcelor Profil, Mirouze Novacier, Chaillous, SLPM, PMSO, Berton Sicard, Lille Aciers, Lopez, Guille, Guillot, Fermatec, Prometo, SIME, Savoie Metal, CML, CIMA and Baechler with which it formed an economic unit at the time of the facts;</w:t>
      </w:r>
    </w:p>
    <w:p>
      <w:r>
        <w:t>- To the company Arcelor Profil, succeeding the company ProfilArbed Distribution France which it absorbed;</w:t>
      </w:r>
    </w:p>
    <w:p>
      <w:r>
        <w:t>- To the company AMD Sud/Ouest, succeeding the company Métal Pyrénées which it absorbed;</w:t>
      </w:r>
    </w:p>
    <w:p>
      <w:r>
        <w:t>- To the company KDI;</w:t>
      </w:r>
    </w:p>
    <w:p>
      <w:r>
        <w:t>- To the company Descours &amp; Cabaud SA, for its behavior and that of its subsidiaries Descours &amp; Cabaud Sogedesca, Descours &amp; Cabaud Ile de France, Descours &amp; Cabaud."</w:t>
      </w:r>
    </w:p>
    <w:p>
      <w:r>
        <w:rPr>
          <w:b/>
        </w:rPr>
        <w:t>[Pages 73–75]</w:t>
      </w:r>
    </w:p>
    <w:p>
      <w:r>
        <w:t>Normandy, Descours &amp; Cabaud PACA, Descours &amp; Cabaud Rhône Alpes Auvergne, Descours &amp; Cabaud Savoie, Dock Généraux/ Dock Industries Services/ David, Beauplet, Martin Rondeau, Lecoufle, Bernard Pagès, Soferac, VAMA/ Comptoir Métallurgique Vendéen, AGDG, Baudoux, Baures, Bossu Cuvelier, Beaurain, Burdin Bossert, CACC, CMB, CMF, Languille, Cattiaux Rochettes, Guermont Weber, Mailland, Maringue Sagetat, Prevot Smeta, Servet Duchemin / Commaille, Epac Expansion (SMEPAC), SMG and Schmerber with which it formed an economic unit at the time of the facts;</w:t>
      </w:r>
    </w:p>
    <w:p>
      <w:r>
        <w:t>- To the company Maisonneuve;</w:t>
      </w:r>
    </w:p>
    <w:p>
      <w:r>
        <w:t>- To the company Etablissements Marc Morel et Fils, for its behavior and that of its subsidiary Duferco Morel Produits Plats, with which it formed an economic unit at the time of the facts;</w:t>
      </w:r>
    </w:p>
    <w:p>
      <w:r>
        <w:t>- To the company Clisson Métal;</w:t>
      </w:r>
    </w:p>
    <w:p>
      <w:r>
        <w:t>- To the company Liametho;</w:t>
      </w:r>
    </w:p>
    <w:p>
      <w:r>
        <w:t>- To the company CODIP, forming at the time of the facts an economic unit with the company Ferren Fers;</w:t>
      </w:r>
    </w:p>
    <w:p>
      <w:r>
        <w:t>- To the company Ferren Fers, forming at the time of the facts an economic unit with the company CODIP;</w:t>
      </w:r>
    </w:p>
    <w:p>
      <w:r>
        <w:t>- To France Négoce Aciers</w:t>
      </w:r>
    </w:p>
    <w:p>
      <w:r>
        <w:t>the grievance</w:t>
      </w:r>
    </w:p>
    <w:p>
      <w:r>
        <w:t>"of having participated in a complex and ongoing agreement in the French market for the trading of steel products consisting of a consultation on scales and other pricing conditions, on clients, on market shares and in a regular exchange of strategic information. These practices, which aimed to impose on the French market for the trading of steel products a mode of organization substituting for the free play of competition a generalized collusion among traders and with the effect of restricting the free setting of prices and the commercial freedom of operators in the market, are prohibited by Article L. 420-1 of the Commercial Code and by Article 81 of the EC Treaty. They were implemented at least from 1999 to 2004 and are retained for this period against all the companies and organizations concerned, with the exception of the companies Maisonneuve, CODIP and Ferren Fers, whose participation is retained only for the period from 2001 to 2004 and the companies Liametho and Clisson Métal, whose participation is retained only for the period from 2002 to 2004."</w:t>
      </w:r>
    </w:p>
    <w:p>
      <w:r>
        <w:t>G. IMPLEMENTATION OF III OF ARTICLE L. 464-2 OF THE COMMERCIAL CODE</w:t>
      </w:r>
    </w:p>
    <w:p>
      <w:r>
        <w:t>178. Following the notification of the grievances, the companies PUM Service Acier/ Arcelor Profil/ AMD Sud Ouest and KDI, as well as the FFDM, coming to the rights of FNA, requested the benefit of the provisions III of Article L. 464-2 of the Commercial Code, according to which: "when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w:t>
      </w:r>
    </w:p>
    <w:p>
      <w:r>
        <w:t>1. COMMITMENTS UNDERTAKEN BY THE COMPANIES OF THE PUM/ARCELOR GROUP</w:t>
      </w:r>
    </w:p>
    <w:p>
      <w:r>
        <w:t>179. For the implementation of III of Article L. 464-2 of the Commercial Code, PUM Service Acier, Arcelor Profil and AMD Sud Ouest undertook by minutes of April 11, 2008 the following commitments:</w:t>
      </w:r>
    </w:p>
    <w:p>
      <w:r>
        <w:t>"1. Awareness and training program for the concerned personnel</w:t>
      </w:r>
    </w:p>
    <w:p>
      <w:r>
        <w:t>1.1 Code of ethics and guidelines on competition</w:t>
      </w:r>
    </w:p>
    <w:p>
      <w:r>
        <w:t>Following the merger between Arcelor and Mittal Steel, the compliance program already in place at Mittal Steel was adapted and extended to the entire Group. Thus, a Code of ethics was disseminated on the intranet site starting in January 2007. This document, which covers a significant number of themes and contains in particular provisions relating to competition law, is distributed to all employees of the Group. It is also provided to all newly hired individuals. The deployment of this code of ethics within PUM is ongoing and will be completed by September 30, 2008 at the latest. Furthermore, competition law has been the subject of specific guidelines (the "Antitrust Guidelines"), disseminated to the members of the Management Committee of the Group's distribution activity during 2007. Within three months following the decision of the Competition Council concluding the ongoing procedure and making these commitments mandatory (the "Decision"), these Antitrust Guidelines will be distributed to all the following categories of personnel:</w:t>
      </w:r>
    </w:p>
    <w:p>
      <w:r>
        <w:t>- Sector heads and subsidiary managers – 13 people;</w:t>
      </w:r>
    </w:p>
    <w:p>
      <w:r>
        <w:t>- Agency managers acting under the authority of sector heads – approximately 80 people in total;</w:t>
      </w:r>
    </w:p>
    <w:p>
      <w:r>
        <w:t>- Managers of long products and flat products and sales managers within the various agencies – approximately 150 people in total;</w:t>
      </w:r>
    </w:p>
    <w:p>
      <w:r>
        <w:t>All of these managers will be referred to hereinafter as the "Commercial Managers."</w:t>
      </w:r>
    </w:p>
    <w:p>
      <w:r>
        <w:t>In parallel, numerous information and explanation sessions will be organized starting from April 15 at PUM's headquarters in Reims and will then be declined into different sessions. On the occasion of the annual convention on June 5, gathering approximately 200 PUM executives, specialized lawyers will intervene to present the code of ethics and in particular the rules of competition law. By September 30, 2008, all commercial managers will have attended such sessions.</w:t>
      </w:r>
    </w:p>
    <w:p>
      <w:r>
        <w:t>1.2 Specific training on competition law, "hotline" and e-learning on competition</w:t>
      </w:r>
    </w:p>
    <w:p>
      <w:r>
        <w:t>Specific training modules dedicated to competition law have been organized since April 2007 for the leaders of the Group's branch to which PUM belongs. In the year following the decision, such specific training sessions on competition law will be organized for all commercial managers. These sessions will be adapted to the concrete situations encountered by the commercial managers: they will thus be supplemented by pedagogical illustrations related to the steel products distribution sector. Such sessions will be repeated every three years and organized as often as necessary for individuals assuming commercial manager functions for the first time (these individuals will also be provided with the Antitrust Guidelines upon taking office). Attendance records corresponding to these training sessions will be kept for five years by the human resources management within PUM. Generally, PUM employees will have access to a "hotline" (by mail, email, and phone) intended to answer any questions or doubts regarding the application of competition law. This hotline will be more specifically presented to commercial managers during the competition law training sessions and its existence will be recalled in the Antitrust Guidelines that will be distributed to them. It will be managed by internal lawyers specialized in competition law and having sufficient knowledge of the characteristics of the steel products distribution sector. Within twelve months following the decision, PUM will implement e-learning tools on competition with examples adapted to the steel products distribution business. Each commercial manager will be required to complete, at least once every two years, an e-learning module dedicated to competition law, with an electronic signature attesting that the module has been completed. These training tools will also be accessible to all PUM personnel.</w:t>
      </w:r>
    </w:p>
    <w:p>
      <w:r>
        <w:t>1.3 Regulation of contacts with other distributors of steel products</w:t>
      </w:r>
    </w:p>
    <w:p>
      <w:r>
        <w:t>PUM will also take measures to more strictly regulate any potential contacts with other competing steel product distributors: within three months following the decision, specific guidelines will be disseminated to the commercial managers reminding them of the principle prohibition of contacts with other competing steel product distributors. Except for fairs and exhibitions and commercial purchasing-selling relationships, in cases where such contacts could take place (for example, if clients wish to organize technical meetings), prior express authorization, by email or by mail, from the sector head will be required. In the absence of an express response, the planned contact will not take place, except in exceptional circumstances to be justified in writing within the week following the contact. Moreover, in all cases, contacts with other competing steel product distributors must result in the retention of any exchanges (emails, agendas, minutes) with the relevant sector head, for a period of three years. This prior authorization and data retention procedure will be subject to review after the fifth year of its implementation.</w:t>
      </w:r>
    </w:p>
    <w:p>
      <w:r>
        <w:t>1.4 Internal communication following the decision</w:t>
      </w:r>
    </w:p>
    <w:p>
      <w:r>
        <w:t>Finally, once the decision is rendered, a specific communication will be established, internal to PUM, emphasizing the seriousness of the practices identified, the necessity of absolute compliance with competition law, and the variety of tools and training implemented. This communication will be addressed to all PUM personnel.</w:t>
      </w:r>
    </w:p>
    <w:p>
      <w:r>
        <w:rPr>
          <w:b/>
        </w:rPr>
        <w:t>[Pages 76–78]</w:t>
      </w:r>
    </w:p>
    <w:p>
      <w:r>
        <w:t>L'ensemble de ces dispositions atteste que PUM a pris la mesure des considérations du Conseil de la concurrence, dans un contexte proche de l’espèce, selon lesquelles « seules une formation et une sensibilisation sérieuses aux exigences des règles de concurrence impliquant une responsabilisation personnelle peuvent donner un maximum de chances que les comportements anticoncurrentiels soient bannis au sein d’un (…) groupe » défini comme « décentralisé, dont les responsables, en particulier au niveau local, ont une marge de manœuvre importante et dont l’activité est notamment évaluée au regard de leurs résultats commerciaux et financiers) ».</w:t>
      </w:r>
    </w:p>
    <w:p>
      <w:r>
        <w:t>Dans le cadre de la présente procédure, PUM souhaite aller au-delà de ces aspects de formation et de sensibilisation en présentant ci-après d’autres engagements destinés à assurer le respect du droit de la concurrence.</w:t>
      </w:r>
    </w:p>
    <w:p>
      <w:r>
        <w:t>2. Professional Alert System</w:t>
      </w:r>
    </w:p>
    <w:p>
      <w:r>
        <w:t>A professional alert system, more specifically focused on potential irregularities in the fields of accounting, auditing, or acts of corruption, was established at the Group level in 2007.</w:t>
      </w:r>
    </w:p>
    <w:p>
      <w:r>
        <w:t>In order to specifically include violations of competition law in this professional alert system, PUM commits, within three months following the decision, to send an internal note to all its employees explicitly stating that this system includes violations of competition law and therefore clearly providing for the possibility for PUM employees to issue alerts in case of observations relating to practices likely to infringe competition law.</w:t>
      </w:r>
    </w:p>
    <w:p>
      <w:r>
        <w:t>Through the professional alert system, PUM employees will be able to contact directly, confidentially, the Group's Audit Committee, by mail or through the Group's internet portal where a section is dedicated to these professional alerts. Thus, all PUM employees will be able to use this site to issue alerts on any incident or fact relating to violations of competition law, available 24 hours a day, 7 days a week, 365 days a year.</w:t>
      </w:r>
    </w:p>
    <w:p>
      <w:r>
        <w:t>Professional alerts will be received by the President of the Audit Committee and the Secretary General of the Group who may be assisted, regarding alerts related to competition law issued by PUM staff, by lawyers specialized in the field and having sufficient knowledge of the steel distribution sector.</w:t>
      </w:r>
    </w:p>
    <w:p>
      <w:r>
        <w:t>Alerts will be processed within a reasonable time frame, taking into account the complexity and nature of the alert. The President of the Audit Committee may either request the Director of the "Internal Assurance" department to conduct an investigation or request a written report from the relevant subsidiary of PUM. All alerts communicated via the professional alert system will be recorded on a list presented at the next meeting of the Audit Committee. The Committee will decide on the next steps to be taken and may decide to conduct further investigations (possibly supported by lawyers and/or experts specialized in competition law and having sufficient knowledge of the characteristics of the steel distribution sector). If necessary, recommendations to the Board of Directors regarding actions to be taken will be proposed by the Audit Committee.</w:t>
      </w:r>
    </w:p>
    <w:p>
      <w:r>
        <w:t>The Secretary of the Audit Committee will keep a copy of all alerts, from the receipt of the alert until the resolution of the issue raised. Statistical information and data relating to the types of alerts will be kept for a period of five years from the closure of the investigation.</w:t>
      </w:r>
    </w:p>
    <w:p>
      <w:r>
        <w:t>In compliance with current legislation, this commitment is subject to the Competition Council, subject to, on the one hand, if necessary, the agreement of the CNIL and, on the other hand, if necessary, the consultation of the employee representative bodies. PUM commits to completing the necessary formalities in this regard within six months from the decision.</w:t>
      </w:r>
    </w:p>
    <w:p>
      <w:r>
        <w:t>PUM also wishes to go beyond a simple extension of its compliance program (training, awareness, and professional alert) by also proposing structural commitments, allowing full and complete compliance with competition law.</w:t>
      </w:r>
    </w:p>
    <w:p>
      <w:r>
        <w:t>3. Reform of the Role of the Professional Union</w:t>
      </w:r>
    </w:p>
    <w:p>
      <w:r>
        <w:t>PUM commits to making its best efforts to propose and implement a profound reform of the professional union France Négoce Aciers (the "FNA", located at 65 avenue Victor Hugo in Paris) and, more broadly, of the role of the professional union of steel product distributors.</w:t>
      </w:r>
    </w:p>
    <w:p>
      <w:r>
        <w:t>Upon noticing the practices highlighted in the notification of grievances, PUM expressed its determination to evolve the FNA and substantially reduced its participation in the bodies of this union. Notably at its initiative, the FNA approached three other unions to form, in 2008, the French Federation of Metal Distribution ("FFDM").</w:t>
      </w:r>
    </w:p>
    <w:p>
      <w:r>
        <w:t>The management of the FFDM is currently ensured by three bodies (general assembly, board of directors, and executive committee) as well as by several commissions.</w:t>
      </w:r>
    </w:p>
    <w:p>
      <w:r>
        <w:t>PUM will make its best efforts to ensure that the FFDM follows various reform axes aimed at limiting discussions and contacts taking place within it to purely technical and professional exchanges:</w:t>
        <w:br/>
        <w:t>PUM will require that the FFDM operates at a strictly national level:</w:t>
        <w:br/>
        <w:t>• regional meetings and other "Friendly Associations of Iron Merchants" managed at the local level will be completely abolished;</w:t>
        <w:br/>
        <w:t>• meetings of the FFDM will strictly adhere to the statutes limiting the purpose of the FFDM to "the defense of the common interests of its members and the promotion of the trades and personnel of metal distribution" notably through "the promotion of the use of metals across all economic sectors";</w:t>
      </w:r>
    </w:p>
    <w:p>
      <w:r>
        <w:t>PUM will require that a list of prohibited discussion topics be defined and that this list be annexed to the minutes of all meetings of the board of directors and the executive committee of the FFDM, and signed by the participants who will thus attest that they have not addressed any of these prohibited subjects. Such a list could notably include the following topics:</w:t>
        <w:br/>
        <w:t>• exchanges concerning current and/or anticipated prices of products and certain commercial conditions (notably exchanges relating to discounts, margins, or pricing developments);</w:t>
        <w:br/>
        <w:t>• exchanges of detailed individual strategic data;</w:t>
        <w:br/>
        <w:t>• orientations and recommendations concerning pricing and commercial conditions for various services including transport costs and payment terms (except for the joint preparation of a request for an exemption decree under Article L.420-4 II of the Commercial Code);</w:t>
        <w:br/>
        <w:t>• communication of individualized and recent numerical data (i.e., less than one year old) on supply costs and other intermediate costs;</w:t>
        <w:br/>
        <w:t>• communication of precise and individualized data concerning clients.</w:t>
      </w:r>
    </w:p>
    <w:p>
      <w:r>
        <w:t>PUM will require that detailed minutes be drafted for all meetings (general assemblies, board of directors, executive committee, and commissions) and that these minutes be kept for five years at the headquarters of the FFDM;</w:t>
      </w:r>
    </w:p>
    <w:p>
      <w:r>
        <w:t>PUM will require the presence, at each meeting of the board of directors and the executive committee, of a lawyer specialized in competition law, and the signature on the minutes of this lawyer, in order to attest to the regularity of the discussions.</w:t>
      </w:r>
    </w:p>
    <w:p>
      <w:r>
        <w:t>Depending on the position of the other members of the FFDM, these commitments could begin to be implemented as soon as the decision is made.</w:t>
      </w:r>
    </w:p>
    <w:p>
      <w:r>
        <w:t>If the essential elements of these proposals are not implemented within six months after the decision, PUM will cease to participate in the meetings of the various bodies of the FFDM. If implementation does not occur within one year after the decision, PUM will leave the FFDM.</w:t>
      </w:r>
    </w:p>
    <w:p>
      <w:r>
        <w:t>4. Overhaul of the Pricing System</w:t>
      </w:r>
    </w:p>
    <w:p>
      <w:r>
        <w:t>In light of the role of pricing schedules in the description of practices presented in the notification of grievances, PUM commits to abandoning the current system of column pricing and to implement, within six months after the decision, a radically new pricing system.</w:t>
      </w:r>
    </w:p>
    <w:p>
      <w:r>
        <w:t>This new pricing would operate according to the principles described in the attached annex (confidential with respect to the other parties to the proceedings).</w:t>
      </w:r>
    </w:p>
    <w:p>
      <w:r>
        <w:t>These commitments correspond to the current characteristics of the steel product distribution sector as well as to current legislation and jurisprudence. They should therefore be reconsidered in the event of a significant evolution in the sector or the legislative and regulatory framework or the decision-making practice and jurisprudence of competition authorities. PUM will keep the general rapporteur informed, for a period of five years, of any decision made not to apply the commitments as subscribed to date due to such an evolution.</w:t>
      </w:r>
    </w:p>
    <w:p>
      <w:r>
        <w:t>2. COMMITMENTS UNDERTAKEN BY THE COMPANY KDI</w:t>
      </w:r>
    </w:p>
    <w:p>
      <w:r>
        <w:t>180. For the implementation of III of Article L. 464-2 of the Commercial Code, the company KDI has undertaken, by minutes of April 14, 2008, amended by a letter of September 25, 2008, the following commitments:</w:t>
        <w:br/>
        <w:t>"1. Establishment of a compliance program with competition law and training</w:t>
        <w:br/>
        <w:t>1.1. The Management Committee of KDI, represented by its president Mr. Philippe Y..., will disseminate a general instruction to all KDI employees recalling the terms of the decision of the Competition Council concerning the company and the</w:t>
      </w:r>
    </w:p>
    <w:p>
      <w:r>
        <w:rPr>
          <w:b/>
        </w:rPr>
        <w:t>[Pages 79–81]</w:t>
      </w:r>
    </w:p>
    <w:p>
      <w:r>
        <w:t>1.1. The Management Committee of KDI, represented by its president Mr. Philippe Y..., will disseminate a general instruction to all employees of KDI reminding them of the terms of the decision of the Competition Council concerning the company and the commitments made by the company. A copy of this instruction will be sent to the Competition Council as soon as it is disseminated.</w:t>
      </w:r>
    </w:p>
    <w:p>
      <w:r>
        <w:t>1.2. KDI will establish a document titled "Charter of Respect for Competition Law." This charter will recall the principles of competition law and, more specifically, the rules that must be respected by KDI employees in the context of responding to client consultation requests, their relationship with competing companies, or their participation in a professional organization. The consequences of violating these rules by an employee, which may lead to dismissal, will be recalled, in compliance with social regulations. This Charter will be made available online on the company's Intranet site. A copy of this Charter will be sent to the Competition Council.</w:t>
      </w:r>
    </w:p>
    <w:p>
      <w:r>
        <w:t>1.3. The "Charter of Respect for Competition Law" will be annexed to the Internal Regulations of KDI, thus making its application a legal obligation for all employees of the company. This modification of the Internal Regulations will be subject to consultation with the competent bodies in compliance with social regulations.</w:t>
      </w:r>
    </w:p>
    <w:p>
      <w:r>
        <w:t>1.4. A copy of the "Charter of Respect for Competition Law" will be signed by the Management Committee of KDI as well as by the employees responsible for commercial activities and therefore likely to be in contact with competitors and participate in meetings of professional organizations, namely: the general network managing director, the specialist network managing director, the general regional directors, the specialist brand directors (KDI CM, KDI CSPI, KDI TNP, KDI KMS AERO, KDI MECA SERVICE), the site directors, and the sales managers (approximately one hundred people). A copy of this signed document will be notified in writing to each of the signatories.</w:t>
      </w:r>
    </w:p>
    <w:p>
      <w:r>
        <w:t>1.5. The employment contract of newly hired or promoted individuals to one of the positions listed in point 1.2 of these commitments will include a specific clause regarding compliance with competition law, reminding that any violation of these rules may constitute a serious fault that can be sanctioned as such, in compliance with social regulations.</w:t>
      </w:r>
    </w:p>
    <w:p>
      <w:r>
        <w:t>1.6. The individuals signing the Charter will receive training on competition law, and more specifically on the rules to be respected in the context of relationships with competitors and participation in professional organizations, provided by lawyers.</w:t>
      </w:r>
    </w:p>
    <w:p>
      <w:r>
        <w:t>1.7. KDI regularly organizes legal training attended by newly hired or promoted individuals to the positions listed in paragraph 1.3. This training, provided by lawyers, will be supplemented by a section on competition law, focusing more specifically on the rules to be respected in the context of relationships with competitors and participation in professional organizations.</w:t>
      </w:r>
    </w:p>
    <w:p>
      <w:r>
        <w:t>1.8. The materials used and the attendance sheets certifying participation in these trainings will be kept for a period of five years by the Human Resources Department.</w:t>
      </w:r>
    </w:p>
    <w:p>
      <w:r>
        <w:t>1.9. An "e-learning" module on competition law will be established on the Intranet site and updated annually if necessary. The individuals signing the Charter will be required to access it at least once a year. The Human Resources Department will send a reminder to anyone failing to meet this obligation.</w:t>
      </w:r>
    </w:p>
    <w:p>
      <w:r>
        <w:t>2. Establishment of Internal Control</w:t>
      </w:r>
    </w:p>
    <w:p>
      <w:r>
        <w:t>2.1. KDI will designate a "Compliance Officer" and a "Deputy Compliance Officer." The designated individuals will be involved in the daily activities of the company and have regular contact with the employees of the company. By virtue of their function, they will also provide a guarantee of objectivity in assessing the functioning of the company. The scope of competence of the Compliance Officer and their Deputy will include monitoring compliance with competition law according to paragraph 5 of the "Compliance Directive" of the Klöckner group, specified and supplemented by the Charter of Respect for Competition Law; the Compliance Officer and their Deputy will receive specific training for this purpose on the provisions of the Charter.</w:t>
      </w:r>
    </w:p>
    <w:p>
      <w:r>
        <w:t>2.2. They can be contacted by any employee of KDI to answer their questions regarding the application of the "Charter of Respect for Competition Law" or, more generally, competition law.</w:t>
      </w:r>
    </w:p>
    <w:p>
      <w:r>
        <w:t>2.3. Any employee will have the opportunity, under the conditions specified in the internal regulations, to contact the Compliance Officer or their Deputy, confidentially, to inform them of potentially anti-competitive practices implemented by a KDI employee. If the reported facts justify it, the Compliance Officer or their Deputy will immediately inform the president of the KDI Management Committee and the Human Resources Director. The follow-up to this information will be duly recorded by the Compliance Officer or their Deputy in a register documenting their activity, in compliance with social regulations and regulations regarding the processing of personal data.</w:t>
      </w:r>
    </w:p>
    <w:p>
      <w:r>
        <w:t>2.4. The data entered in this register will be kept for a period of five years from their entry, in compliance with regulations regarding the processing of personal data.</w:t>
      </w:r>
    </w:p>
    <w:p>
      <w:r>
        <w:t>2.5. This alert system will be integrated into the Internal Regulations, and this modification will be subject to consultation with the competent bodies in compliance with social regulations.</w:t>
      </w:r>
    </w:p>
    <w:p>
      <w:r>
        <w:t>3. Participation of KDI in the French Federation of Metal Distribution (formerly FNA)</w:t>
      </w:r>
    </w:p>
    <w:p>
      <w:r>
        <w:t>3.1. KDI will strive, to the extent of its means as a member, to have the Charter of the FFDM amended to include a list of topics that cannot be addressed in the context of the work carried out by the Federation. KDI will strive, to the extent of its means as a member, to have the FFDM adopt a resolution providing for:</w:t>
        <w:br/>
        <w:t>- the obligation for the FFDM to establish an agenda prior to each meeting;</w:t>
        <w:br/>
        <w:t>- the obligation to draft a detailed and comprehensive minutes, submitted for approval at the next meeting;</w:t>
        <w:br/>
        <w:t>- the obligation to keep these documents for a period of 5 years;</w:t>
      </w:r>
    </w:p>
    <w:p>
      <w:r>
        <w:t>3.2. If, within a period of 6 months from the signing of the minutes of the implementation of III of Article L.464-2 of the Commercial Code, the modifications requested by KDI and listed in points 3.1 and 3.2 of this document have not been implemented by the FFDM, KDI commits to no longer participate in the work of the FFDM and to leave the Federation.</w:t>
      </w:r>
    </w:p>
    <w:p>
      <w:r>
        <w:t>3.3. KDI will no longer participate in the regional meetings of the FFDM or any other potential meetings organized by any other regional professional association of iron merchants.</w:t>
      </w:r>
    </w:p>
    <w:p>
      <w:r>
        <w:t>3.4. Any person representing KDI attending a meeting organized by the FFDM will be accompanied by a lawyer, for one year from the decision of the Competition Council. If during a meeting organized by the FFDM prohibited topics by the Charter are addressed or if, in general, the meeting leads to practices contrary to competition law (notably exchanges of strategic information and coordination on the commercial policy of the present companies), the representative(s) of KDI will immediately leave the meeting, requesting that this incident be recorded in the minutes of the meeting. This incident will also be communicated to the Compliance Officer or their Deputy.</w:t>
      </w:r>
    </w:p>
    <w:p>
      <w:r>
        <w:t>3. THE COMMITMENTS UNDERTAKEN BY THE FFDM</w:t>
      </w:r>
    </w:p>
    <w:p>
      <w:r>
        <w:t>181. For the implementation of III of Article L. 464-2 of the Commercial Code, the French Federation of Metal Distribution (FFDM) has undertaken, by minutes of April 25, 2008, the following commitments:</w:t>
        <w:br/>
        <w:t>"1. FFDM will disseminate an information letter to all its members summarizing the terms of the decision of the Competition Council and the commitments made.</w:t>
        <w:br/>
        <w:t>2. An exceptional meeting of the federation will be organized to recall its content, as well as the principles of competition law, particularly those relating to the functioning of professional organizations.</w:t>
        <w:br/>
        <w:t>3. The statutes of FFDM, as well as the Charter of FFDM are annexed hereto, and any modification or clarification of the statutes that may be requested will be submitted to its members in the context of an extraordinary Assembly.</w:t>
        <w:br/>
        <w:t>4. FFDM will continue to implement the necessary means to ensure that no illicit subject will be addressed in the context of the work carried out within it and that the debates will be limited to the object of FFDM as strictly defined in its statutes and in its Charter.</w:t>
        <w:br/>
        <w:t>5. FFDM will implement the following rules:</w:t>
        <w:br/>
        <w:t>• the obligation to establish an agenda prior to each meeting;</w:t>
        <w:br/>
        <w:t>• the obligation to draft minutes or a detailed and comprehensive report, submitted for approval at the next meeting;</w:t>
        <w:br/>
        <w:t>• the obligation to keep these documents for a period of 5 years;</w:t>
        <w:br/>
        <w:t>• FFDM will also implement a sound recording system for meetings so that the minutes can be made as accurately as possible.</w:t>
      </w:r>
    </w:p>
    <w:p>
      <w:r>
        <w:rPr>
          <w:b/>
        </w:rPr>
        <w:t>[Pages 82–84]</w:t>
      </w:r>
    </w:p>
    <w:p>
      <w:r>
        <w:t xml:space="preserve">• These recordings will be kept within the federation for a period of 5 years and will not be disseminated. They will only be referred to in the event of a dispute.  </w:t>
        <w:br/>
        <w:t xml:space="preserve">6. FFDM will operate at a strictly national level for each of the families of products represented by this federation (Carbon steels, Special steels, Stainless steels, Aluminum, enameled wires, etc.).  </w:t>
        <w:br/>
        <w:t xml:space="preserve">The regional meetings as described in the notification of grievances have already been abolished, and no meeting or other form of organization of FFDM will be established at a regional level.  </w:t>
        <w:br/>
        <w:t xml:space="preserve">However, as part of its intervention across the entire French territory, FFDM will ensure non-regular seminars allowing it to present to its members and for all the families of products gathered, in each of the 5 "regions" defined to group its members, the communication and dissemination of information on:  </w:t>
        <w:br/>
        <w:t xml:space="preserve">• upstream steelmaking,  </w:t>
        <w:br/>
        <w:t xml:space="preserve">• the evolution of major sectors of activity (automotive, construction, public works, industry),  </w:t>
        <w:br/>
        <w:t xml:space="preserve">• cross-cutting issues in the distribution professions,  </w:t>
        <w:br/>
        <w:t xml:space="preserve">• the promotion of distribution professions,  </w:t>
        <w:br/>
        <w:t xml:space="preserve">• the promotion of products.  </w:t>
        <w:br/>
        <w:t xml:space="preserve">These seminars will be exclusively intended to ensure the dissemination of information to all members, particularly those who cannot participate in national meetings.  </w:t>
        <w:br/>
        <w:t xml:space="preserve">Each seminar and its purpose must be proposed and defined in advance on the agenda of an Executive Committee of FFDM, and their validations will be recorded in the minutes of the Executive Committee, established under the conditions mentioned above in § 5.  </w:t>
        <w:br/>
        <w:t xml:space="preserve">A report of each seminar containing the topics discussed, the list of members and guests present, as well as the questions raised will be prepared. Participants will be asked to send any questions in writing and, if possible, prior to the seminar.  </w:t>
        <w:br/>
        <w:t xml:space="preserve">These seminars will be subject to audio recording under the conditions mentioned above in § 5.  </w:t>
        <w:br/>
        <w:t xml:space="preserve">Subject to exceptional circumstances, identified and considered as such by the Executive Committee of FFDM, the number of seminars shall not exceed four per region per year.  </w:t>
        <w:br/>
        <w:t xml:space="preserve">7. A lawyer will be present at each Board of Directors and Executive Committee meeting of FFDM and will sign the minutes of this meeting to attest to the regularity of the discussions.  </w:t>
        <w:br/>
        <w:t>8. FFDM will implement these commitments as soon as possible and no later than 6 months after the decision of the Competition Council.</w:t>
      </w:r>
    </w:p>
    <w:p>
      <w:r>
        <w:t xml:space="preserve">II. Discussion  </w:t>
        <w:br/>
        <w:t xml:space="preserve">182. The following will be discussed in response to the arguments of the parties contesting the grievance that has been notified to them:  </w:t>
        <w:br/>
        <w:t xml:space="preserve">• the regularity of the procedure,  </w:t>
        <w:br/>
        <w:t xml:space="preserve">• the applicable law,  </w:t>
        <w:br/>
        <w:t xml:space="preserve">• the merits of the grievances.  </w:t>
        <w:br/>
        <w:t xml:space="preserve">A. ON THE PROCEDURE  </w:t>
        <w:br/>
        <w:t xml:space="preserve">1. ON THE ADMISSIBILITY OF ELEMENTS ARISING FROM THE LENIENCY PROCEDURE  </w:t>
        <w:br/>
        <w:t xml:space="preserve">183. The companies Morel, Clisson Métal, and Liametho contest in principle the use of the statements and documents provided by the Descours &amp; Cabaud group within the framework of the leniency procedure.  </w:t>
        <w:br/>
        <w:t xml:space="preserve">184. The decision of the Council No. 06-D-09 of April 11, 2006, confirmed by the judgment of the Paris Court of Appeal of April 24, 2007, specifies that it follows from "the very wording of the provisions of IV of Article L. 464-2 of the Commercial Code (...) that the company requesting the benefit of leniency must provide the Competition Council with all elements of information, without specifying the form and nature, allowing it to establish the denounced practice and identify its authors. These elements of information may consist of documentary evidence (internal company documents, meeting minutes, ...) that the company can supplement with explanations synthesized in one or more memoranda submitted in support of its request, or oral statements." The decision No. 03-D-12 of March 2, 2003, confirmed on this point by the judgment of the Paris Court of Appeal of November 25, 2003, further states, in response to a plea that the spontaneous statements of a third party at the origin of the case should be dismissed on the grounds that they would have been motivated by a spirit of vengeance or a desire to destabilize the sector, "that the reasons for this approach have no impact on the validity of the procedure and that the plausibility of the contested statements, which constitute only an indication among others, has been reinforced by numerous documents collected during the investigation."  </w:t>
        <w:br/>
        <w:t xml:space="preserve">185. The Descours &amp; Cabaud group has provided documents and statements under the conditions set forth in IV of Article L. 464-2 of the Commercial Code. They are admissible without the need to investigate the motivation of the company providing them: it is only necessary to assess their plausibility by comparing them with other documents in the file. The examination of the evidentiary value of the statements, distinct from that of their admissibility, will be conducted during the analysis of the merits of the notified grievances.  </w:t>
        <w:br/>
        <w:t xml:space="preserve">2. ON THE ALLEGED INFRINGEMENT OF DEFENSE RIGHTS  </w:t>
        <w:br/>
        <w:t xml:space="preserve">186. The company Morel argues that the time allotted to respond to the notification of grievances – two months – was insufficient for it to prepare its defense. It further indicates that it had difficulties opening the DVD-Rom that was provided to it and emphasizes that the minutes of non-contestation of the grievances signed respectively by the companies of the PUM/Arcelor group, by KDI, and by FFDM on April 11, 14, and 25, 2008, were only transmitted to it less than a week before the expiration of this deadline.  </w:t>
        <w:br/>
        <w:t xml:space="preserve">187. However, Article L. 463-2 of the Commercial Code states that "the general rapporteur notifies the grievances to the interested parties as well as to the Government Commissioner, who may consult the file subject to the provisions of Article L. 463-4 and present their observations within a period of two months" (first paragraph), that, concerning the report, "the parties have a period of two months to present a response memorandum which may be consulted in the fifteen days preceding the session" (third paragraph), and that "when exceptional circumstances justify it, the president of the Council may, by a decision not subject to appeal, grant an additional period of one month for the consultation of the file and the submission of the parties' observations" (fourth paragraph). The Competition Council frequently recalls that "the realization and sending of a CD Rom at the stage of the notification of grievances is merely an additional convenience offered to companies that retain the possibility of coming to consult the file at the Council" (decision No. 06-D-04 of March 13, 2006).  </w:t>
        <w:br/>
        <w:t xml:space="preserve">188. The entirety of the documents in the file at the date of the notification of grievances was sent in electronic format to the parties to facilitate their use. A DVD-Rom was also transmitted to make it easier to consult the documents. In addition to these IT facilities, the company Morel had the opportunity to come and consult the file under the conditions set forth in Article L. 463-2 of the Commercial Code.  </w:t>
        <w:br/>
        <w:t xml:space="preserve">189. Furthermore, no provision requires that a minutes of non-contestation of grievances, which only binds the company that signs it, be sent to the other parties before the report. Finally, it should be noted that no request for an extension of deadlines was made to the president of the Competition Council.  </w:t>
        <w:br/>
        <w:t xml:space="preserve">190. Under these conditions, it is appropriate to dismiss the various arguments raised regarding an infringement of defense rights.  </w:t>
        <w:br/>
        <w:t xml:space="preserve">3. ON THE ALLEGED UNFAIRNESS OF THE INQUIRY  </w:t>
        <w:br/>
        <w:t xml:space="preserve">191. The companies Morel, CODIP, Ferren Fers, Clisson Métal, and Liametho denounce the inquiry as being biased against independent traders, accusing it of not relying on documents that would exonerate them.  </w:t>
        <w:br/>
        <w:t xml:space="preserve">192. However, it follows from consistent case law, notably confirmed by the judgment of the Paris Court of Appeal of January 24, 2006 (Order of Lawyers at the Bar of Marseille), that the rapporteur bases the notification of grievances on the facts that appear to him to be of a nature to establish their merits and that the fact that the notification of grievances does not cite all the facts and indications that have not been retained as indications of anti-competitive practices cannot be prejudicial to the companies, as long as they have had access to the entire procedure. In this case, the parties had access to all the documents in the file and had full latitude to provide the elements they deemed useful for their defense.  </w:t>
        <w:br/>
        <w:t>193. It is therefore appropriate to dismiss this argument.</w:t>
      </w:r>
    </w:p>
    <w:p>
      <w:r>
        <w:rPr>
          <w:b/>
        </w:rPr>
        <w:t>[Pages 85–87]</w:t>
      </w:r>
    </w:p>
    <w:p>
      <w:r>
        <w:t xml:space="preserve">B. ON THE APPLICABLE LAW  </w:t>
        <w:br/>
        <w:t xml:space="preserve">1. THE LEGAL CONTEXT OF THE STEEL SECTOR  </w:t>
        <w:br/>
        <w:t xml:space="preserve">194. Until July 2002, the legal regime established by the ECSC Treaty granted the European Commission the authority to prohibit agreements implemented in the coal and steel sectors. In accordance with its Article 97, this treaty expired on July 23, 2002. Since that date, the sectors that previously fell under the ECSC Treaty are now subject to the provisions of the EC Treaty. The rules of jurisdiction and procedure regarding practices that may be implemented in these sectors therefore fall under the common competition law provisions, whether in the Community order or in the national order.  </w:t>
        <w:br/>
        <w:t xml:space="preserve">2. THE APPLICABILITY OF COMMUNITY LAW  </w:t>
        <w:br/>
        <w:t xml:space="preserve">195. According to the European Commission's guidelines regarding the concept of affecting trade as set out in Articles 81 and 82 of the Treaty, "Articles 81 and 82 of the Treaty apply to horizontal and vertical agreements and to abusive practices of companies that are 'capable of affecting trade between Member States'." For this effect to be taken into account, it must be capable of being significant.  </w:t>
        <w:br/>
        <w:t xml:space="preserve">196. The question of the effect on intra-Community trade is a distinct and preliminary question to that of analyzing the restriction of competition. It is independent of the definition of the relevant geographic markets because trade between Member States can be affected even in cases where the market is national or subnational. It is the agreement in question or the overall strategy examined that must be capable of affecting trade between Member States, regardless of whether the different parts of the agreement are capable of doing so individually.  </w:t>
        <w:br/>
        <w:t xml:space="preserve">197. Regarding agreements covering a single Member State, the guidelines specify that "horizontal agreements covering the entirety of a Member State are normally capable of affecting trade between Member States. Moreover, Community courts often consider that an agreement extending across the entire territory of a Member State has, by its very nature, the effect of consolidating national barriers, thereby hindering the economic interpenetration intended by the Treaty. The ability of these agreements to partition the internal market is due to the fact that, normally, companies participating in agreements in a single Member State must protect themselves against competitors from other Member States (...). In principle, these agreements can also, by their very nature, significantly affect trade between Member States, given the market coverage required to ensure the effectiveness of these agreements." The Competition Council considered in its decision No. 05-D-38 of July 5, 2005, that: "national cartels are by definition capable of affecting intra-Community trade as long as the cartel covers the entire national territory and is implemented by companies of international scope."  </w:t>
        <w:br/>
        <w:t xml:space="preserve">198. In this case, the practices examined are horizontal practices concluded at the national and regional level, applied throughout the entire French territory. They aim to fix prices, freeze market shares, and thereby consolidate national barriers. They also aim to prohibit operators from other Member States from accessing the national market, as expressed by a leader from the 8th region: "One of our concerns during these meetings was to protect our market from entrants from the 9th region and Italy" (reference 900). Such practices are, by their very nature, capable of affecting intra-Community trade. They involve nearly all French traders for a concerned turnover exceeding 40 million euros. Therefore, the negative presumption of non-significant effect on intra-Community trade provided for in point 52 of the guidelines is not applicable. On the contrary, regarding agreements that are inherently capable of affecting intra-Community trade, the positive presumption of significant effect provided for in point 53 of the guidelines is applicable.  </w:t>
        <w:br/>
        <w:t xml:space="preserve">199. It follows that trade between Member States is likely to be significantly affected by the practices examined. These can therefore be qualified under Article 81 of the EC Treaty, which the parties do not contest.  </w:t>
        <w:br/>
        <w:t xml:space="preserve">C. ON THE MERITS OF THE COMPLAINTS  </w:t>
        <w:br/>
        <w:t xml:space="preserve">1. ON THE RELEVANT MARKET  </w:t>
        <w:br/>
        <w:t xml:space="preserve">200. The steel products sector is generally divided, in Community decision-making practice, according to products: carbon steels, special steels, and stainless steels, and among carbon steels, flat products and long products, with finer segmentations sometimes being made. The European Commission has indicated several times that "the trading activities of steel products [constitute] a distinct market from those of production and direct sales and [cover] a wide range of products. The distribution of steel products is indeed differentiated from production and direct sales by the diversity of its customers, by the lower amount of its orders, by its ability to respond quickly to customer needs (the delivery times of steel mills are generally counted in weeks or even months, while traders-stockists work in hours or days), by the local nature of the activity, and by the significant number of companies present in the sector. Even though many steel producers fully or partially control the distribution structures, there exists, in most Member States, an independent sector composed of many companies of varying size and financial standing, ranging from small family businesses equipped with a single small depot to the subsidiary of a large industrial group." It also distinguished the different trades that distribution encompasses, the activities of steel service centers, oxy-cutting centers, and trading, describing the latter as follows: "Traders have warehouses that allow them to offer a wide variety of steel products (flat, long, tubes). They offer these products without further transformation to small and medium-sized customers. They thus respond to orders that are not sufficiently large to be fulfilled directly by the steel mills" (Commission decision of February 4, 1999, case M. 1329 Usinor/Cockerill, referenced by the Minister of Economy in his letter of November 29, 2006, regarding the acquisition by Arcelor SA via PUM Service Acier of the Alliance Metal group). From a geographical perspective, the constant practice is to consider that trading markets are of national dimension.  </w:t>
        <w:br/>
        <w:t xml:space="preserve">201. The practices examined concern the trading activity of steel products and cover all carbon steels, that is to say, flat products (sheets, plates, etc.) and long products, that is to say, beams but also rolled products, tubes, concrete products, PAF, drawn products, etc., as well as ancillary services to sales (cutting, etc.). There is no reason in this case to challenge the market delineations established by the previously cited decisions. It does not appear necessary to define as many product markets as there are steel products concerned. The practices apply indiscriminately to all steel products distributed by trading and involve players representing a predominant part of the market regardless of the product concerned. The very operation of the consultation encompasses all of these products, and the competitive analysis is identical regardless of the defined relevant market.  </w:t>
        <w:br/>
        <w:t xml:space="preserve">202. In any case, the precise delineation of the relevant markets is not essential in this case. Generally speaking, regarding collusion practices, "It is (...)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 (see for example decisions No. 05-D-27 of June 15, 2005, and No. 07-D-41 of November 28, 2007).  </w:t>
        <w:br/>
        <w:t xml:space="preserve">203. From a geographical perspective, the organization of the market and the profession of trading steel products, the origin of the companies concerned, and the very operation of the consultation confirm in this case the traditional jurisprudence according to which trading markets are national markets.  </w:t>
        <w:br/>
        <w:t xml:space="preserve">204. The relevant market in this case is therefore the French market for trading carbon steel products.  </w:t>
        <w:br/>
        <w:t xml:space="preserve">2. ON THE COMPLAINT OF COMPLEX AND CONTINUOUS COLLUSION  </w:t>
        <w:br/>
        <w:t xml:space="preserve">a) On the notion of complex and continuous practice  </w:t>
        <w:br/>
        <w:t xml:space="preserve">205. The Court of First Instance of the European Communities recently defined the notion of complex and continuous practice in its BASF judgment of December 12, 2007: "The qualification of certain unlawful acts constituting a single and the same offense or a plurality of offenses affects, in principle, the sanction that may be imposed, since the finding of a plurality of offenses may lead to the imposition of several distinct fines (...). The notion of a single offense may relate to the legal qualification of anti-competitive behavior consisting of agreements, concerted practices, and decisions of business associations (...). It has been held that a case of violation of Article 81(1) EC could result from a series of acts or a continuous behavior that fell within an 'overall plan' due to their identical object distorting the play of competition within the common market" (CFI, December 12, 2007, BASF/UCB, Joined Cases T-101/05 and T-111/05, paragraphs 158 to 161). To fall under such a practice, the different elements of the offense must present a sufficient link of complementarity "in the sense that each of them [is] intended to address one or more consequences of the normal play of competition, and [contribute], through interaction, to the realization of all the anti-competitive effects intended by their authors, within the framework of a global plan aimed at a single objective" (paragraph 179).  </w:t>
        <w:br/>
        <w:t>206. In this case, the practices are all related to the same anti-competitive plan adopted by the companies in the steel trading sector. The objective of this plan was unique:</w:t>
      </w:r>
    </w:p>
    <w:p>
      <w:r>
        <w:rPr>
          <w:b/>
        </w:rPr>
        <w:t>[Pages 88–90]</w:t>
      </w:r>
    </w:p>
    <w:p>
      <w:r>
        <w:t>be extended to contacts entre entreprises qui, sans constituer une entente formelle, visent à établir une coordination dans leurs comportements sur le marché.</w:t>
      </w:r>
    </w:p>
    <w:p>
      <w:r>
        <w:t>222. En ce qui concerne la preuve de l'accord de volonté, la jurisprudence a établi que la preuve d'une entente peut être apportée par des éléments de preuve indirects, tels que des comportements concordants sur le marché, des échanges d'informations entre entreprises, ou encore des réunions entre concurrents. Ces éléments doivent être analysés dans leur ensemble pour établir l'existence d'une volonté commune de nuire à la concurrence.</w:t>
      </w:r>
    </w:p>
    <w:p>
      <w:r>
        <w:t>223. Il est également important de noter que la simple participation à des réunions entre concurrents ne suffit pas à établir la preuve d'une entente. Il faut démontrer que ces réunions avaient pour but de coordonner les comportements sur le marché et que les participants étaient conscients de cet objectif.</w:t>
      </w:r>
    </w:p>
    <w:p>
      <w:r>
        <w:t>224. En conclusion, le standard de preuve pour établir la participation à une entente horizontale complexe et continue repose sur l'existence d'une volonté commune de nuire à la concurrence, qui peut être prouvée par des éléments de preuve indirects et des comportements concordants sur le marché.</w:t>
      </w:r>
    </w:p>
    <w:p>
      <w:r>
        <w:rPr>
          <w:b/>
        </w:rPr>
        <w:t>[Pages 91–93]</w:t>
      </w:r>
    </w:p>
    <w:p>
      <w:r>
        <w:t xml:space="preserve">s'appliquer à une forme de coordination et à des prises de contacts entre les entreprises, supposant en cela un accord de volonté pour mener ensemble une telle concertation.  </w:t>
        <w:br/>
        <w:t xml:space="preserve">222. In the aforementioned Anic judgment in paragraph 218, the Court of Justice of the European Communities deduces that: "as is evident from the very terms of Article 85 [now Article 81], paragraph 1, of the Treaty, the notion of concerted practice implies, in addition to the consultation between companies, a behavior on the market following this consultation and a causal link between these two elements.  </w:t>
        <w:br/>
        <w:t xml:space="preserve">(...) On the one hand, it must be presumed, subject to contrary evidence which it is incumbent upon the interested operators to provide, that the companies participating in the consultation and remaining active in the market take into account the information exchanged with their competitors to determine their behavior in this market. This will be even more so when the consultation takes place on a regular basis over a long period (...)  </w:t>
        <w:br/>
        <w:t xml:space="preserve">On the other hand, a concerted practice as defined above falls under Article 85, paragraph 1, of the Treaty, even in the absence of anti-competitive effects on the market. First, it follows from the very text of the said provision that, as in the case of agreements between companies and decisions of associations of companies, concerted practices are prohibited, regardless of any effect, when they have an anti-competitive object.  </w:t>
        <w:br/>
        <w:t xml:space="preserve">Furthermore, while the very notion of concerted practice presupposes a behavior of the participating companies in the market, it does not necessarily imply that this behavior produces the concrete effect of restricting, preventing, or distorting competition."  </w:t>
        <w:br/>
        <w:t xml:space="preserve">223. The Court of Justice continued this analysis in the Sarrio judgment of November 16, 2000 (case C-291/98), specifying the elements capable of overturning the presumption of the agreement of will: "the fact that a company does not follow up on the results of the meetings is not sufficient to exclude its liability for its participation in the agreement unless it has publicly distanced itself from its content." The Court confirmed its position in a judgment of June 28, 2005, (Dansk Industrie v. Commission (C-189/02 P and others)): "For the purposes of applying Article 85, paragraph 1, of the Treaty (now Article 81, paragraph 1, EC), it is sufficient that an agreement has the object of restricting, preventing, or distorting the competition, regardless of its concrete effects. Consequently, in the case of agreements manifesting during meetings of competing companies, an infringement of this provision is constituted when these meetings have such an object and thus aim to artificially organize the functioning of the market. In such a case, the liability of a specific company for the infringement is validly retained when it has participated in these meetings with knowledge of their object, even if it has not subsequently implemented any of the measures agreed upon during them. The circumstance of participation in the agreement of dominant or particularly powerful companies, capable of taking retaliatory measures against other participants, significantly less powerful, in the event that they publicly distance themselves from the content of the meetings with an anti-competitive object, the more or less regular attendance of the company at these meetings as well as the more or less complete implementation of the agreed measures have consequences not on the existence of its liability, but on the extent of it and thus on the level of the sanction (see, judgment of October 15, 2002, Limburgse Vinyl Maatschappij and others v. Commission, C-238/99 P, C-244/99 P, C-245/99 P, C-247/99 P, C-250/99 P to C-252/99 P and C-254/99 P, Rec. p. I-8375, paragraphs 508 to 510).  </w:t>
        <w:br/>
        <w:t xml:space="preserve">It follows that the circumstance (...) that [the accused company] did not implement and could not, moreover, implement the agreed boycott measure during the meeting of March 24, 1995, is not sufficient to exclude its liability for its participation in this measure, unless it has publicly distanced itself from its content, which the said [company] has not alleged."  </w:t>
        <w:br/>
        <w:t xml:space="preserve">224. It is this same reasoning that the Court of Justice recalled in a more recent case: "Once it has been established that a company participated in meetings between companies with a manifestly anti-competitive nature, it is incumbent upon this company to provide evidence capable of establishing that its participation in these meetings was devoid of any anti-competitive spirit by demonstrating that it indicated to its competitors that it participated with a different perspective from theirs. In the absence of such evidence of distancing, the fact that this company does not comply with the results of these meetings is not sufficient to deprive it of its full liability for its participation in the agreement" (see in this sense, CJEU joined cases C-403/04 P C-405/04 P of January 25, 2007, Sumitomo Metal Industries Ltd and Nippon Steel Corp.).  </w:t>
        <w:br/>
        <w:t xml:space="preserve">225. In Community law, the agreement of will of a company is thus demonstrated by its participation in one or more meetings having an anti-competitive object, unless it has publicly distanced itself from it, without the need to establish the effective implementation of the decisions made. The absence of implementation is an element to be taken into account, not to qualify the infringement but to establish the amount of the sanction.  </w:t>
        <w:br/>
        <w:t xml:space="preserve">On the standard of proof of the agreement of will to a horizontal agreement in national law  </w:t>
        <w:br/>
        <w:t xml:space="preserve">226. As recalled by the Competition Council in its decisions No. 06-D-03 of March 9, 2006, concerning practices implemented in the heating, sanitary, plumbing, and air conditioning sector (paragraphs 683 and following) and No. 07-D-48 concerning practices implemented in the national and international moving sector (paragraphs 178 and following), the decision-making practice of the national competition authority distinguishes two situations:  </w:t>
        <w:br/>
        <w:t xml:space="preserve">- that in which the anti-competitive consultation takes place during meetings held within the statutory framework of a professional organization;  </w:t>
        <w:br/>
        <w:t xml:space="preserve">- that in which the agreement is developed during informal meetings, most often hidden or secret in nature, in which competing companies participate of their own initiative.  </w:t>
        <w:br/>
        <w:t xml:space="preserve">227. In the first case, the standard of proof is more demanding. The mere fact of having participated in a meeting held within the statutory framework of a professional organization - ordinary general assembly of a departmental professional federation in the case of bakeries (see decision No. 04-D-07 of March 11, 2004, concerning practices identified in the bakery sector in the Marne department), national meetings, board of directors, economic commission, or bureau of a national federation in the case of the trade of sanitary or heating appliances (see decision No. 06-D-03 already cited) - whose agenda would have in fact evolved towards an anti-competitive object - is not sufficient to characterize the companies' adherence to the agreement. Indeed, in such a case, the regularly summoned company is not in a position to know the anti-competitive object of this meeting. In this context, the Council considered, in these two cases, that the agreement of will was demonstrated when the company, having participated or not in this meeting, adhered to the agreement by proof of its agreement to the price agreement, the dissemination of the instructions established during this meeting, or by the implementation of the concrete measures decided by this meeting or when the company participated in a subsequent meeting with the same anti-competitive object.  </w:t>
        <w:br/>
        <w:t xml:space="preserve">228. In the second case, the standard of proof is the same as that recalled in paragraphs 221 to 224. As the Community judge recalls in the already cited Suiker Unie UA judgment, a company must rigorously refrain from participating in contacts, direct or indirect, with its competitors with a view to exchanging on commercial policies and notably the prices of goods or services it offers on the market. This type of informal meeting, generally secret and moreover sheltered behind code names ("the Club", the "meeting of colleagues") which attempts to conceal the true purpose for which the executives or commercial managers of competing companies are invited at the initiative of one of them, calls for only one response from the companies: to refuse to participate or, if the good faith of the participant is compromised, to distance themselves without delay and publicly from the anti-competitive mechanism of which the meeting is the support. Participation in just one of these meetings - even if passive - is indeed sufficient to reinforce the mechanism of the agreement: on the one hand, it informs about the commercial behavior that the other actors have decided to adopt in the market, whereas the autonomy required by competition between companies assumes that these remain in uncertainty about the strategy of their competitors; on the other hand, it allows the more active participants to expect that the absence of opposition from the company will not disrupt the collusive game.  </w:t>
        <w:br/>
        <w:t xml:space="preserve">On the standard of proof applicable to the present case  </w:t>
        <w:br/>
        <w:t xml:space="preserve">229. The case submitted to the Council falls within the second of the two hypotheses presented in paragraph 226. Indeed, although some of them took place under the cover of a trade union, France Négoce Aciers, the meetings in question cannot be considered as "meetings held within the statutory framework of a professional organization" and "whose agenda would have in fact evolved towards an anti-competitive object," as required by the first hypothesis.  </w:t>
        <w:br/>
        <w:t xml:space="preserve">230. With the exception of the bureau, none of the meetings in question, both national ("Beam Club", "flat products commissions", "presidents' regional meetings", "commercial directors' lunches", "presidents' dinners", ...) and regional (local meetings, regional beam commissions, ...) are provided for in the statutes of the union or fall under the union activity of France Négoce Aciers.  </w:t>
        <w:br/>
        <w:t xml:space="preserve">231. The union has in fact served as a meeting place as well as logistical support for the consultation, in which its representatives played an active role. It has been used to conceal under an apparent legality the true purpose for which the executives or commercial managers of competing companies were invited, with full knowledge of the facts.  </w:t>
        <w:br/>
        <w:t xml:space="preserve">232. Furthermore, it should be noted that the practices examined are not limited to meetings that took place under the cover or with the participation of the union but also include exchanges and contacts between competitors that took place outside of it.  </w:t>
        <w:br/>
        <w:t>233. Several of the accused companies contest the anti-competitive object of both the various meetings they may have attended and the general framework in which they participated. They also argue that they did not adhere to the agreement, lacking the unification of their will with that of the other participants to join the overall anti-competitive plan. It is necessary to respond to these two types of arguments.</w:t>
      </w:r>
    </w:p>
    <w:p>
      <w:r>
        <w:rPr>
          <w:b/>
        </w:rPr>
        <w:t>[Pages 94–96]</w:t>
      </w:r>
    </w:p>
    <w:p>
      <w:r>
        <w:t>On the anti-competitive nature of the practices</w:t>
      </w:r>
    </w:p>
    <w:p>
      <w:r>
        <w:t>234. The company Morel contests the anti-competitive nature of the national meetings organized by the FNA, and in particular the national product commissions. Similarly, the companies Clisson Métal and Liametho argue that it has not been established that the meetings they attended had such an objective. They further assert that exchanges of information between competitors are not necessarily prohibited by competition law.</w:t>
      </w:r>
    </w:p>
    <w:p>
      <w:r>
        <w:t>On the anti-competitive nature of national and regional meetings</w:t>
      </w:r>
    </w:p>
    <w:p>
      <w:r>
        <w:t>235. The file described in paragraphs 45 to 176 presents a set of serious, precise, and consistent indications demonstrating the purpose of the product commissions (§ 57 et seq.), other national meetings (§ 95 et seq.), regional beam commissions (§ 124 et seq.), and various regional meetings (§ 134 et seq.). This set of indications consists of statements from various participants in the consultation, members of national, regional trading companies, or the professional union, material evidence from the operation of the arrangement (emails, tables, etc.), and a very large number of handwritten or typed minutes from national or regional meetings. The file thus contains between 150 and 200 minutes covering just over 100 meetings, mainly regional. Some of these minutes specifically and explicitly mention the presence of the companies Morel, Clisson Métal, or Liametho, a point that will be revisited at the stage of analyzing the individual participation of these companies in the practices.</w:t>
      </w:r>
    </w:p>
    <w:p>
      <w:r>
        <w:t>236. The meetings, both national and regional, allowed competing trading companies to engage in a consultation systematically concerning prices (tariffs and discounts) and their joint determination, as well as concerning clients, their potential, and their ranking. These meetings also addressed, depending on the case, market shares, offers made during recent or ongoing consultations, the distribution of these offers or their outcome, the monitoring of arrangements, and/or compensations, sanctions, or coercive measures to be implemented.</w:t>
      </w:r>
    </w:p>
    <w:p>
      <w:r>
        <w:t>237. The ongoing collusion among the actors aimed, first of all, to control prices and their evolution as much as possible, through the concerted fixing of the general level of tariffs, the determination of pricing conditions to be applied to clients or categories of clients, by ranking clients, and through consultation on the details of offers. It also aimed to allocate the market, through overall control of market shares concerning the most important clients and control of the details of consultations and their allocation. Finally, it sought to exclude competitors outside the consultation (French or foreign), in order to maintain control over market shares and price levels.</w:t>
      </w:r>
    </w:p>
    <w:p>
      <w:r>
        <w:t>238. Thus, from the comparison of the indications in the file, it follows that the very purpose of the national and regional meetings, which was part of the overall plan described above, was to establish in the French market for trading steel products a mode of organization that substituted practical cooperation among operators for the free play of competition and its risks. This common purpose contravenes the provisions of Article L. 420-1 of the Commercial Code and those of Article 81 § 1 of the Treaty.</w:t>
      </w:r>
    </w:p>
    <w:p>
      <w:r>
        <w:t>On the anti-competitive nature of information exchanges</w:t>
      </w:r>
    </w:p>
    <w:p>
      <w:r>
        <w:t>239. The judgments "fuel on highways" (judgment of the Paris Court of Appeal of March 31, 2003) and "mobile telephony" (judgment of the Court of Cassation of June 29, 2007) to which the companies Morel, CODIP, and Ferren Fers refer in their writings relate to exchanges of information examined independently under competition rules. However, this is not the case when, as in the present case, the exchange of information finds its place within a broader complex practice of price fixing, customer allocation, and market shares: it then constitutes a mechanism facilitating the implementation of the anti-competitive agreement and the monitoring of its compliance. In such a case, the exchange of information cannot be subject to a distinct qualification from that retained for the agreement of which it is a support.</w:t>
      </w:r>
    </w:p>
    <w:p>
      <w:r>
        <w:t>240. Like the meetings, the exchanges noted in the file contravene the principle of autonomy that companies must demonstrate when they are in competition in a market, as recalled in paragraph 221, and the resulting prohibition of participating in contacts, direct or indirect, with competitors with a view to exchanging on commercial policies and notably on the prices of goods or services offered on the market.</w:t>
      </w:r>
    </w:p>
    <w:p>
      <w:r>
        <w:t>241. The anti-competitive nature of the consultation arising from the meetings and exchanges of information can be even less contested by the parties to the agreement since they were aware of the anti-competitive nature of the practices in which they were engaged. This is evidenced by various seized documents, such as an organization project mentioning "In addition to this arrangement, it seems essential to recall the main lines of commercial behavior. -Never use the words 'AGREEMENT, UNDERSTANDING.' -Never disclose information about our meetings. -Avoid showing our tariffs to clients. -Avoid talking about colleagues. -Use the arguments of Management to justify identical prices," notes from a regional meeting specifying "controls of predictable prices," "destroy all documents," "destroy ranking lists!!" and "Threat in 4th, 9th," or elements indicating that traders were deliberately and regularly destroying documents (references 16770 to 16775, 18771, 18772, 19632, 19633, 6352, and 6269). The traders also implemented a series of measures to conceal from clients the existence of the ongoing consultation in the market. Systems of rounds (§ 121 et seq.), leading to the presentation of cover offers, were thus established when clients began to complain about price proposals that were too close (references 15341 and, for example, references 15067, 15262, 15341, 15751, 18671, 18922, 16783, 16784, 16760, 4189, 4190, 21997, 22013, 22362 to 22368, and 22802 to 22804). Internal tariffs within the groups were similarly issued to make the identification of the consultation more difficult (references 20665 and 21926 to 21939).</w:t>
      </w:r>
    </w:p>
    <w:p>
      <w:r>
        <w:t>On the common arguments of several companies contesting the grievances</w:t>
      </w:r>
    </w:p>
    <w:p>
      <w:r>
        <w:t>On the allegedly partial, passive, or forced participation</w:t>
      </w:r>
    </w:p>
    <w:p>
      <w:r>
        <w:t>242. The companies Morel, CODIP, Ferren Fers, Liametho, and Clisson Métal note that their importance in the market is modest compared to the three major trading groups that directed the consultation and that they only participated in a small number of the elements constituting the complex infringement, and notably not in the most determining ones, which would deny adherence to the consultation. Clisson Métal and Liametho add, in the same vein, that no facts are attributed to them during the entire duration of the notified practice and that the decision-making power in the regions was limited or even non-existent (first point).</w:t>
      </w:r>
    </w:p>
    <w:p>
      <w:r>
        <w:t>243. The companies Morel, CODIP, Ferren Fers, Clisson Métal, Liametho, and Maisonneuve argue that their participation was solely "passive" and "forced," given their lack of interest in the arrangement and the role of the groups in its implementation (second point).</w:t>
      </w:r>
    </w:p>
    <w:p>
      <w:r>
        <w:t>244. The same companies claim that this participation was only apparent, to avoid facing retaliatory measures from the more powerful companies (third point).</w:t>
      </w:r>
    </w:p>
    <w:p>
      <w:r>
        <w:t>245. However, in general, and as described in paragraph 223, the responsibility arising from participation in all or part of the components of a complex infringement cannot be dismissed in the absence of public distancing, that is to say, the demonstration by a company that it explicitly indicated to its competitors that it participated in these meetings with a different perspective from theirs and that it intended to behave independently in the market from the content of the meetings, such distancing needing to be clear. The Court of First Instance of the European Communities indicated in the Adriatica di Navigazione judgment of December 11, 2003, that "the doctrine of public distancing falls under a jurisprudential principle according to which when a company has participated in meetings with illegal content, its exemption from liability can only arise from proof that it formally distanced itself from the content of these meetings (judgment of the Court of April 6, 1995, Tréfileurope/Commission, T-141/89, Rec. p. II-791; judgments Sarrió/Commission, and PVC II, cited above), distancing that it is incumbent upon the company in question to establish by providing evidence that its participation in the meetings was devoid of any anti-competitive purpose and by demonstrating that it indicated to its competitors that it participated in these meetings with a perspective different from theirs (judgment of the Court of March 10, 1992, Chemie Linz/Commission, T-15/89, Rec. p. II-1275, point 135). It follows that the notion of public distancing as an element of exemption from liability must be interpreted restrictively" (CFE, December 11, 2003, Adriatica di Navigazione, case T-61/99, point 138).</w:t>
      </w:r>
    </w:p>
    <w:p>
      <w:r>
        <w:t>246. On the first point, the Competition Council recalled in its decision No. 06-D-03 of March 9, 2006 (§ 688) that the fact of not having participated in all the elements constituting a complex infringement, not having been regular in meetings, or not having implemented the agreed provisions did not exclude the identity of purpose of the practices and did not prevent a company from being prosecuted when a meeting of wills is characterized. The Court of First Instance of the European Communities indicated in the aforementioned BASF judgment in paragraph 205 that "the Commission is entitled to attribute responsibility for these actions based on participation in the infringement considered as a whole (judgment Aalborg Portland e.a./Commission, point 66 above, point 258), even if it is established that the company concerned only directly participated in one or several of the elements constituting the infringement (judgment PVC II, point 159 above, point 773). Similarly, the fact that different companies played different roles in pursuing a common objective does not eliminate the identity of anti-competitive purpose and, consequently, of infringement, provided that each company contributed, at its own level, to the pursuit of the common objective (judgments Cement, point 157 above, point 4123, and JFE Engineering e.a./Commission, point 139 above, point 370)" (point 161).</w:t>
      </w:r>
    </w:p>
    <w:p>
      <w:r>
        <w:t>247. Partial participation in the different components of the infringement alleged in the notified grievance, as well as the small market shares held by the companies in question, do not eliminate the anti-competitive nature of the practices attributed to them. These elements only influence the determinants of the sanction. The degree of a company's involvement in the infringement, as well as the duration of its participation, modulates its individual responsibility, which will be assessed to determine the sanction.</w:t>
      </w:r>
    </w:p>
    <w:p>
      <w:r>
        <w:rPr>
          <w:b/>
        </w:rPr>
        <w:t>[Pages 97–99]</w:t>
      </w:r>
    </w:p>
    <w:p>
      <w:r>
        <w:t>248. On the second point, case law considers that "the tacit approval of an unlawful initiative, without publicly distancing oneself from its content or denouncing it to the administrative entities, has the effect of encouraging the continuation of the infringement and compromises its discovery. This complicity constitutes a passive mode of participation in the infringement that is therefore likely to engage the company's liability" (General Court of the European Union, December 5, 2006, Westfalen Gassen Nederland BV, case T-303/02, paragraph 124). Participation in the meetings indeed reinforces the existing balance in proportion to the importance of each of the companies, even if they are small, compared to a situation in which they would not have participated in the consultation. Furthermore, "the mere fact of having received information regarding competitors during these meetings, information that an independent operator keeps as trade secrets, is sufficient to demonstrate the existence of an anti-competitive mindset within it (...). Regardless of any other reason for participating in these meetings, there was at least one reason which was to eliminate beforehand the uncertainty regarding the future behavior of competitors. Moreover, thanks to mere participation in the said meetings, each participant necessarily took into account, directly or indirectly, the information obtained during these meetings to determine the policy it intended to follow in the market" (General Court, July 12, 2001, Tate &amp; Lyle, case T-202/98, paragraphs 66 and 67). The alleged passivity of independent traders at the meetings therefore has no impact on the qualification of the practices.</w:t>
      </w:r>
    </w:p>
    <w:p>
      <w:r>
        <w:t>249. Finally, on the third point, the Court of Justice of the European Communities noted in the aforementioned Dansk Industries judgment of June 28, 2005, in paragraph 223, that "the circumstance of participation in the agreement of dominant or particularly powerful companies, capable of taking retaliatory measures against other participants, significantly less powerful, in the event that they publicly distanced themselves from the content of the meetings which have an anti-competitive object (...) has consequences not on the existence of their liability, but on the extent of it and thus on the level of the sanction." The existence of pressures may potentially aggravate the sanction for those who implement them, and, under certain conditions, mitigate that of others, but does not impact the qualification of the practices. Moreover, none of the companies raising this argument provide evidence of the existence of pressures that would have been exerted against them and that would have had an irresistible character, the only circumstance that could exempt them from liability. On the contrary, the various retaliatory measures referred to by the parties were discussed and decided in the consultation meetings attended by all the companies involved. In addition, thorough checks on compliance with the arrangement were carried out by independent traders, as evidenced by the numerous documents attesting to the monitoring of compliance with the arrangement seized in the premises of the company Maisonneuve (§ 111). The latter also stated that it "slammed the door of the union when the dysfunctions were too significant." When questioned in session about the meaning of this statement, the representative of the company Maisonneuve indicated that he reproached the agreement for not functioning in a sufficiently solidary manner.</w:t>
      </w:r>
    </w:p>
    <w:p>
      <w:r>
        <w:t>250. It follows from all of the above that the general arguments wrongly invoked by the companies concerned to minimize their contribution to the agreement have no impact on the characterization of their participation in the anti-competitive practice.</w:t>
      </w:r>
    </w:p>
    <w:p>
      <w:r>
        <w:t>On the alleged absence of adherence to the implementation of the agreement</w:t>
      </w:r>
    </w:p>
    <w:p>
      <w:r>
        <w:t>251. The companies Morel, CODIP, Ferren Fers, Liametho, and SA Clisson Métal claim that they did not apply the agreed scales and conditions, as these did not correspond to their activity or interests, and that they maintained their own independent and autonomous commercial policy. The companies Morel and CODIP further argue that they transmitted deliberately erroneous prices or data, thereby indicating their public distancing from the practices. The companies Clisson Métal and Liametho finally emphasize that the activity indicators differed from one trader to another.</w:t>
      </w:r>
    </w:p>
    <w:p>
      <w:r>
        <w:t>252. However, first of all, as the Court of Justice recalled in the Sarrio judgment of November 16, 2000, mentioned in paragraph 223, "the fact that a company does not comply with results that have a manifestly anti-competitive object does not deprive it of its full responsibility for its participation in the agreement, as long as it has not publicly distanced itself from the content of the meetings" (paragraph 118).</w:t>
      </w:r>
    </w:p>
    <w:p>
      <w:r>
        <w:t>253. Furthermore, the fact that companies consult to define scales and other pricing conditions does not necessarily mean that all prices proposed on the market align exactly with the established conditions, nor that their financial indicators converge around identical values. This is all the more true when the practice also aims, as in this case, to identify potential dysfunctions and incorporates mechanisms to compensate for or sanction them in a concerted manner.</w:t>
      </w:r>
    </w:p>
    <w:p>
      <w:r>
        <w:t>254. In such a context, the "suspicions" that Morel claims to have raised were not peculiar to large groups in relation to it or to independents. The parties involved have indeed almost all noted reports or statements mentioning an "infringement" of the arrangement on their part or designating them as "disruptors." However, on this point, as the European Commission stated in a decision of December 17, 2002, rivalries between companies do not prevent the characterization of a practice prohibited by Article 81 § 1 of the Treaty: "Even if the agreement is a joint undertaking, each participant can play a role that is its own. One or more of them may take on the dominant role of 'leader' or 'pioneer.' There may be conflicts and internal rivalries. Some members may even go so far as to cheat. However, none of these elements prevent this arrangement from constituting an agreement/a concerted practice for the purposes of Article 81, paragraph 1, of the treaty, when the parties agree with a view to a single, common, and permanent objective."</w:t>
      </w:r>
    </w:p>
    <w:p>
      <w:r>
        <w:t>255. In this regard, the arguments of Morel and CODIP based on the claim that these companies communicated inaccurate information, assuming this to be verified, far from revealing a public distancing from the agreement, clearly show the awareness that these operators had of the situation and their willingness to derive maximum advantage from it. The Tribunal, in the Adriatica di Navigazione judgment mentioned in paragraph 245, adopted the following reasoning on such a question: "the applicant's intention not to comply with the agreement, expressed in the internal document, not having been externalized, it is permissible to consider that such an attitude constituted an attempt to deceive the other members of the agreement in the expectation that it would be respected, which, as the Commission points out, would confirm the participation, even unfaithful, of the company in the agreement itself" (paragraph 137).</w:t>
      </w:r>
    </w:p>
    <w:p>
      <w:r>
        <w:t>256. It follows from all of the above that the arguments based on the alleged non-application of the agreed conditions have no impact on the characterization of participation in the anti-competitive practice.</w:t>
      </w:r>
    </w:p>
    <w:p>
      <w:r>
        <w:t>On the participation of Morel and its duration</w:t>
      </w:r>
    </w:p>
    <w:p>
      <w:r>
        <w:t>257. The company Morel, which cannot use the circumstance that it was not subject to visits and seizures to contest the evidential value of the documents gathered during the investigation, challenges both the principle of its participation and its duration.</w:t>
      </w:r>
    </w:p>
    <w:p>
      <w:r>
        <w:t>258. On the first point, the documents in the file, of various natures and origins, including lists of commission members, meeting minutes, invitations to meetings, correspondence transmitting information or calendars, attendance lists, telephone call logs, summary tables and monitoring of the consultation across the national territory mentioning Morel in several regions, emails, statements from Descours &amp; Cabaud (during the administrative investigation and in the context of the leniency procedure), as well as the statements of Morel in its observations, are all indications that, taken together, establish that it indeed participated in the anti-competitive practice examined, both at the national level and at the level of certain regions. It was thus a member of the long products and flat products commissions (§ 49 and 54), whose elements in the file show that they had an anti-competitive object (§ 235 to 241), participated in a number of these national commissions (§ 50 and 51) or in other regional meetings related to the agreement established (§ 133 and for example file "_dc436.doc"), and notably in regional beam commissions (§124 and 126). It had telephone contacts with KDI (§ 105), played a leading role (§ 113) through Mr. 35... (for example reference 13926), Mr. 36... (for example reference 22763) or Mr. 37... (for example reference 19981), received scales, conditions, and pricing arrangements from competitors or from the union (§ 108), participated in the activities of the beam commission and notably in the national market share distribution system for beams and itself transmitted a number of strategic pieces of information to its competitors regarding its sales and turnover (§71, 79 to 82, 84 and 85 and for client rankings reference 22894).</w:t>
      </w:r>
    </w:p>
    <w:p>
      <w:r>
        <w:t>259. On the second point, the company Morel first relies on a report from Mr. H... (Descours &amp; Cabaud SA) to argue that the practices described by the leniency applicant only began in April 2001. However, the notified grievance is based on all the documents in the file and not solely on the statements of the leniency applicant. Moreover, the company Descours &amp; Cabaud SA itself specified that it did not date the agreement to 2001 but that its starting point was earlier.</w:t>
      </w:r>
    </w:p>
    <w:p>
      <w:r>
        <w:t>260. A material element in the file dates back to 1997: it is the expense report of a lunch between sales directors of competing traders. From August 1999, a set of indications attests to the reality of meetings between competitors and exchanges on commercial conditions and clientele (notably a letter dated August 27, 1999, regarding the organization of a beam club, a lunch of sales directors on August 26, 1999, and ranking lists from October 1999). Similar elements are maintained for 2000. From March and April 2001, there is abundant evidence of more sophisticated practices than those previously in place.</w:t>
      </w:r>
    </w:p>
    <w:p>
      <w:r>
        <w:t>261. These elements indicate that the agreement, taken as a whole, began at least in 1999. The confirmation of a "Club P," a non-statutory meeting, on September 2, 1999, by a letter dated August 27, 1999, is notably addressed to a representative of Morel (reference 19157) and its wording indicates that such meetings are not rare ("as usual"). A letter dated August 31, 1999, lists the attendees at this meeting (reference 19158) and at least attests that the company Morel had responded favorably to the invitation. The elements in the file indicate that the anti-competitive object of the agreement is...</w:t>
      </w:r>
    </w:p>
    <w:p>
      <w:r>
        <w:rPr>
          <w:b/>
        </w:rPr>
        <w:t>[Pages 100–102]</w:t>
      </w:r>
    </w:p>
    <w:p>
      <w:r>
        <w:t>commissions products of the FNA is old and constant (§ 234 and following). The presence of representatives of the Morel company at the "Club P" in 1999 thus confirms the statements of the leniency applicant (§ 51) and demonstrates that this company participated in the agreement from that time, the continuity of which is demonstrated throughout the period.</w:t>
      </w:r>
    </w:p>
    <w:p>
      <w:r>
        <w:t>262. It follows from the above that the participation of the company Etablissements Marc Morel et Fils and its wholly-owned subsidiary, Duferco Morel Produits Plats, with which it shared at that time the same premises, the same management, and with which it formed a single economic unit, in the agreement referred to by the complaint is established for the entire incriminated period, namely between August 1999 and May 2004.</w:t>
      </w:r>
    </w:p>
    <w:p>
      <w:r>
        <w:t>On the participation of Maisonneuve</w:t>
      </w:r>
    </w:p>
    <w:p>
      <w:r>
        <w:t>263. The company Maisonneuve indicated in its observations and its response memorandum that the notification of the complaints "concerns facts and documents that are not factually contested by the company Maisonneuve, which does not dispute that an organization was set up via the Syndicat France Négoce Aciers during the relevant period, nor that it participated within the limits resulting from this report." However, it contests the conditions under which it was associated with this agreement and first points out that public authorities established an organization requiring the publication of price schedules, which forced distributors to align their prices and to focus on quality rather than price. It further specifies that its clients are all professionals with experienced buyers who know and negotiate prices. It also denies being qualified as a regional manager and emphasizes that Mr. A... was never president of the region. Finally, it believes that it took no initiative to promote the agreement or ensure its implementation. On this point, it specified in its response memorandum and during the session that it was legitimate for it to remind the "three big ones" to respect the rules they imposed on the "smaller ones."</w:t>
      </w:r>
    </w:p>
    <w:p>
      <w:r>
        <w:t>264. However, first of all, the anti-crisis regime established by the European Commission in the 1980s ended in 1990 and cannot, in any case, justify practices that exceeded in time, scope, and nature the scope of what was provided for by the crisis regulation. Likewise, assuming that clients could minimize the effects of the consultation through their experience, this situation cannot remove the anti-competitive nature of the practices. Thus, the possible existence of market power that could be exercised by the clients victimized by the practices cannot justify the practice of collusion. The Council has already ruled on this point in decision No. 02-D-57 of September 19, 2002, concerning practices implemented in the ball bearings sector and similar: "(...) even if it were proven, the purchasing power of distributors cannot justify manufacturers colluding to align their price increases."</w:t>
      </w:r>
    </w:p>
    <w:p>
      <w:r>
        <w:t>265. Next, several identical or consistent documents seized during the investigation list the regional presidents, showing, for certain regions, sub-regional presidents. Regarding the 4th region, these documents mention Mr. A... as president of the sub-region Maine (for example, reference 8882). Mr. A... also indicated during his hearings that he attended meetings of regional presidents.</w:t>
      </w:r>
    </w:p>
    <w:p>
      <w:r>
        <w:t>266. Finally, the supervisory role played by the company Maisonneuve is established by a set of indicators seized in the premises of the company Maisonneuve, consisting of dozens of tracking tables for the "malfunctions" of the system, by region and by trader, by letters addressed to the regional president, the general secretary of the union, or competitors requesting explanations on lost cases (§ 111), by an intervention in 2003 denouncing malfunctions based on these records (reference 15175), and by the voluntary step taken by the company Maisonneuve to exit the consultation when the results of the system did not suit it (reference 23083).</w:t>
      </w:r>
    </w:p>
    <w:p>
      <w:r>
        <w:t>267. It follows from the above that the participation of the company Maisonneuve in the agreement referred to by the complaint is established for the period from May 2001 to May 2004.</w:t>
      </w:r>
    </w:p>
    <w:p>
      <w:r>
        <w:t>On the participation of Liametho</w:t>
      </w:r>
    </w:p>
    <w:p>
      <w:r>
        <w:t>268. The company Liametho emphasizes in its defense the specificities of the market, such as its historical tradition of consultation and pricing, its transparency, and the dominance of the three big players. It argues that its participation in the FNA office was justified by the presidency of the steel department of the purchasing group SOCODA, solely for the purpose of obtaining information. It further notes that the regions had limited decision-making power, that the large groups were very influential there, and that it is not established that the only meetings attended by a representative of the company had an anti-competitive purpose. Finally, it believes that the duration of its participation, 26 months, confirms the company's limited involvement in the agreement.</w:t>
      </w:r>
    </w:p>
    <w:p>
      <w:r>
        <w:t>269. The argument based on the historical tradition or regulatory context of the sector has already been addressed. Regarding the argument based on price transparency, the fact that market prices and conditions may be known by clients does not detract from the anti-competitive nature of the exchange of information, especially when, as in this case, they constitute the basis for another anti-competitive mechanism, namely a price agreement (see in this sense the judgment of the CJEU of January 7, 2004, in the joined cases Aalborg Portland A/S et al.: "Even if the information exchanged is in the public domain or relates to historical and purely statistical prices, their exchange infringes Article 85, paragraph 1, of the Treaty when it constitutes the basis for another anti-competitive mechanism").</w:t>
      </w:r>
    </w:p>
    <w:p>
      <w:r>
        <w:t>270. Contrary to what is claimed, the elements seized in the premises of the FNA regarding the composition of the FNA office indicate that both Mr. 8... (Liametho) and Mr. 7... (SA Clisson Métal) were members in 2002 and 2004 and do not mention their presence as representatives of SOCODA for either one (references 16123, 16154, 19493, and 19494). In any case, the information obtained was also de facto for the account of Liametho.</w:t>
      </w:r>
    </w:p>
    <w:p>
      <w:r>
        <w:t>271. Regarding the anti-competitive purpose of the meetings attended by Liametho, it should first be noted that, contrary to what is claimed, it emerges from the elements described in paragraphs 95 to 97 that the activity of the FNA office, and notably the surveys on the costs of the various traders conducted by Mr. 8..., exceeded the legitimate scope of a union and had an anti-competitive purpose. Furthermore, the minutes of regional meetings seized during the administrative investigation indicate that Liametho attended 10 of the 14 meetings of the Orne department between March 2003 and May 2004 and attest that these meetings concerned the examination of price schedules, recent or ongoing cases, and measures to be taken. They are thus completely similar to almost all the minutes of meetings present in the file, the anti-competitive purpose of which has been highlighted in paragraphs 235 and following (references 15460 to 15531 and 15954). The presence of Liametho at meetings with an anti-competitive purpose, established based on the documents from the administrative investigation, is confirmed by the leniency applicant (references 15006 to 150018 and 15268 to 15363).</w:t>
      </w:r>
    </w:p>
    <w:p>
      <w:r>
        <w:t>272. Finally, regarding the duration of Liametho's participation in the practice, it is only circumscribed by the evidence available in the file and does not call into question the company's liability during the infringement, but only specifies its extent in the context of determining sanctions. Moreover, participation in a consultation for more than two years cannot, contrary to what Liametho argues, be considered as reflecting a "lack of involvement."</w:t>
      </w:r>
    </w:p>
    <w:p>
      <w:r>
        <w:t>273. It follows from the above that the participation of the company Liametho in the agreement referred to by the complaint is established for the period from April 2002 to May 2004.</w:t>
      </w:r>
    </w:p>
    <w:p>
      <w:r>
        <w:t>On the participation of Clisson Métal</w:t>
      </w:r>
    </w:p>
    <w:p>
      <w:r>
        <w:t>274. In response to the arguments raised, which are the same as those put forward by the company Liametho, it should be noted that the minutes of regional meetings seized during the administrative investigation at Maisonneuve indicate that Clisson Métal attended 13 of the 15 meetings of the Loire Atlantique department between October 2001 and February 2004, 21 of the 23 meetings of the Orne department between October 2001 and April 2004, and all 13 meetings of the Vendée department between October 2001 and March 2004, and attest that these meetings concerned the examination of price schedules, recent or ongoing cases, and measures to be taken. They are thus completely similar to almost all the minutes of meetings present in the file, the anti-competitive purpose of which has been studied in paragraphs 235 and following (references 15537 to 15615, 15715 to 15859, 15039 to 15071, and 15617 to 15691). Minutes seized at KDI confirm these elements and mention the presence of a representative of Clisson Métal at 59 of the 96 meetings (across all departments of the 4th region) for which notes were taken between October 2001 and September 2003 (references 9937 to 10242 and 10267 to 10373). The presence of Clisson Métal at meetings with an anti-competitive purpose, established based on the documents from the investigation, is confirmed by Descours &amp; Cabaud (during the administrative investigation and in the context of the leniency procedure). The elements in the file also demonstrate that representatives of Clisson Métal held central roles (for example, references 394, 10384, and 10574 and following), participated in beam commissions of the 4/5th region (reference 364), that the Clisson company was integrated into the delta rotation schemes of the 6th region (§ 123), and that it disseminated and received documents (§ 108 and 150).</w:t>
      </w:r>
    </w:p>
    <w:p>
      <w:r>
        <w:t>275. It follows from the above that the participation of the company Clisson Métal in the agreement referred to by the complaint is established for the period from April 2002 to May 2004.</w:t>
      </w:r>
    </w:p>
    <w:p>
      <w:r>
        <w:t>On the participation of CODIP</w:t>
      </w:r>
    </w:p>
    <w:p>
      <w:r>
        <w:t>276. The company CODIP argues that it has nothing to do with the activity concerned by this case, the trading of steel products, as it is merely a reseller. It contends that, since the individualization of behaviors is necessary, it is not possible to reproach CODIP for all the observed behaviors, as it did not participate in the essential meetings for the agreement, did not follow up on them, and had no other means to oppose or distance itself from them. It argues that it did not adopt the price schedules – which would only have been transmitted to it because it was a member of the FNA, which would not be reprehensible – that it treated them only as ceiling prices, as "a basis on which [it] could work and calculate its own rates and discounts," thus respecting the concept of competition, an argument it also uses regarding rankings. It further emphasizes that part of the price schedules obtained was or could be obtained because it is itself a client of other traders, that clients knew them, and that they were not confidential. Finally, the company CODIP argues that the "reinforced concrete" price schedule referred to in the documents of the file was not a strict schedule but indications allowing traders to set their prices freely.</w:t>
      </w:r>
    </w:p>
    <w:p>
      <w:r>
        <w:rPr>
          <w:b/>
        </w:rPr>
        <w:t>[Pages 103–105]</w:t>
      </w:r>
    </w:p>
    <w:p>
      <w:r>
        <w:t>277. However, such an argument does not withstand the jurisprudential precedents cited in paragraphs 269 and 251 and following. Firstly, it is not the role of a union to disseminate price lists or other pricing conditions to its members. The statements from CODIP further attest that, far from being without effect on the defined tariffs, the incriminated exchanges served as a "basis" for the construction of its commercial policy "in the form of a comparison of competitors' prices with its own." Such a mechanism is clearly contrary to the normal functioning of a market, as the comparison is established based on prices and rankings set in common to guide future commercial strategies.</w:t>
      </w:r>
    </w:p>
    <w:p>
      <w:r>
        <w:t>278. Furthermore, the documents in the file, notably the meeting notes seized at the premises of CODIP and KDI, show that CODIP participated in a large number of local meetings in the 8th region, the content of which concerned the examination of price lists, notably national ones, business matters, and the implementation of compensation or sanction measures. They are thus completely similar to other regional meetings whose anti-competitive purpose has been demonstrated in paragraphs 235 and following (references 18656 to 18897, 18912 to 18967, and 16752 to 16766). The anti-competitive purpose of these meetings is reinforced by the awareness that the traders had of the anti-competitive nature of these meetings, as evidenced by notes taken by CODIP during a meeting indicating "predictable price controls," "destroy all documents," "destroy ranking lists!!" and "Threat in 4th, 9th" and the statement from the representative of CODIP that: "One of our concerns during these meetings was to protect our market against the entrants from the 9th region and from Italy" (reference 900). The company CODIP also participated in bilateral exchanges with KDI, which it does not contest, with a view to establishing a "reinforced concrete" price list (§ 106) and also received regional and national price lists, ranking lists, and summary devices from competitors or from the FNA union (§ 108).</w:t>
      </w:r>
    </w:p>
    <w:p>
      <w:r>
        <w:t>279. On this last point, the electronic communications from Mr. 24... (Berton Sicard, PUM/Arcelor group) containing the regional price lists did not fall within a supplier-client relationship but rather within the framework of a regional president coordinating the activities of competing companies. The concerned messages are indeed addressed to a whole series of traders, and not just to CODIP. Furthermore, it should be noted that, although active only in one region, CODIP was informed, during meetings and through the sending of emails, of the conditions decided at the national level. These elements attest to its participation in the complex practice in question, of which the exchange of information was one of the supports.</w:t>
      </w:r>
    </w:p>
    <w:p>
      <w:r>
        <w:t>280. It follows from the above that the participation of the company CODIP in the agreement referred to by the complaint is established for the period from February 2001 to May 2004.</w:t>
      </w:r>
    </w:p>
    <w:p>
      <w:r>
        <w:t>On the participation of Ferren Fers</w:t>
      </w:r>
    </w:p>
    <w:p>
      <w:r>
        <w:t>281. The company Ferren Fers contests its involvement in the proceedings, which it claims results solely from the qualification of an economic unit that it forms with the company CODIP. It challenges the existence of such an economic unit, arguing that its holding by the same parent company as CODIP and the presence of Mr. B... at the head of both companies cannot suffice in the absence of common behavior. It further argues that no fact is intrinsically attributed to the company Ferren Fers, as the meetings involving its implication or their anti-competitive nature have not been demonstrated.</w:t>
      </w:r>
    </w:p>
    <w:p>
      <w:r>
        <w:t>282. However, first of all, grievances have been notified and addressed separately to the companies Ferren Fers and CODIP. Therefore, the company Ferren Fers is prosecuted for practices that are personally attributed to it, due to its own behavior, regardless of the existence or not of an economic unit constituted between this company and the company CODIP.</w:t>
      </w:r>
    </w:p>
    <w:p>
      <w:r>
        <w:t>283. Now, on this point, it emerges from converging statements from CODIP and other traders that Ferren Fers participated in the same meetings among traders as those of CODIP:</w:t>
        <w:br/>
        <w:t>• Mr. 38... (Descours &amp; Cabaud SA) thus indicated: "We met at Les Ombrages in Avignon. At these meetings, KDI, CODIP, ROZIER SIBILLE, BLANC, RICHARDSON, BERTON, FERREN FERS, CHESSA, VILAIN, ABRAM were present... To my knowledge, there were no other meetings among colleagues."</w:t>
        <w:br/>
        <w:t>• Mr. 27... (KDI) stated: "We met in Carpentras because CODIP had just acquired (or was in the process of acquiring) FERREN FERS. But generally, the meetings took place in Avignon at the restaurant 'Les Ombrages' every month."</w:t>
        <w:br/>
        <w:t>• Mr. B... (CODIP) noted: "On 28/07/2003, there was a meeting with colleagues. These meetings took place once or twice a month, especially at Les Ombrages, a restaurant near AVIGNON. Sometimes they were held at FERREN because some participants came from Drôme. We met to discuss the business; on this occasion, we received information from the FNA. At the end of 2003 and the beginning of 2004, we needed to meet quite often because the steel market was very disturbed with significant price fluctuations."</w:t>
      </w:r>
    </w:p>
    <w:p>
      <w:r>
        <w:t>284. The participation of Ferren Fers in the same meetings as CODIP is also confirmed by a document from the president of the 8th region transmitting the calendar of meetings for June and July 2002 and addressed to Ferren Fers, which also hosted some of these meetings (references 16779 to 16781) and by notes from Mr. B... from some of these meetings that mention Ferren Fers (or "FF") (for example, references 18938 to 18947). However, as indicated in paragraph 278, these meetings had an anti-competitive purpose.</w:t>
      </w:r>
    </w:p>
    <w:p>
      <w:r>
        <w:t>285. Ferren Fers also received regional and national price lists, ranking lists, and summary devices from competitors or from the FNA union (§ 108).</w:t>
      </w:r>
    </w:p>
    <w:p>
      <w:r>
        <w:t>286. It follows from the above that the participation of the company Ferren Fers in the agreement referred to by the complaint is established for the period from February 2001 to May 2004.</w:t>
      </w:r>
    </w:p>
    <w:p>
      <w:r>
        <w:t>On the effects of the practices</w:t>
      </w:r>
    </w:p>
    <w:p>
      <w:r>
        <w:t>287. The companies Morel, Maisonneuve, CODIP, Ferren Fers, Clisson Métal SA, and Liametho minimize the effect of their participation in the agreement by emphasizing their limited role in the market, the absence of evidence of a price increase to the detriment of customers, and the fact that they would not have, in reality, derived any benefit from the consultation which did not operate in their interest.</w:t>
      </w:r>
    </w:p>
    <w:p>
      <w:r>
        <w:t>288. The decision-making practice of the Competition Council and the controlling jurisdictions as well as that of the European Commission and the Community jurisdictions consistently remind that it follows respectively from the terms of Article L. 420-1 of the Commercial Code and Article 81 of the EC Treaty that an anti-competitive practice is prohibited as soon as it has an anti-competitive object, the possible weakness of the effects actually observed or their possibly insensitivity being, where applicable, only a mitigating factor for the sanction. The Court of Justice of the European Communities notably indicated in the Anic judgment of July 8, 1999, cited in paragraph 218, that "it follows from a constant jurisprudence that, for the purposes of applying Article 85§1 of the Treaty, consideration of the concrete effects of an agreement is superfluous, as soon as it appears that it has the object of restricting, preventing, or distorting competition" and that "as in the case of agreements between companies and decisions of associations of companies, concerted practices are prohibited, regardless of any effect, when they have an anti-competitive object" (points 99 and 123). Furthermore, the Competition Council indicated in its decision No. 07-D-48 of December 18, 2007, that "the mere fact of communicating one's prices to a competitor knowing that they intend to align upwards is anti-competitive."</w:t>
      </w:r>
    </w:p>
    <w:p>
      <w:r>
        <w:t>289. An agreement necessarily produces anti-competitive effects when it consists of a consultation and exchanges on prices, customers, or market shares. It alters competition by influencing the decision-making of the actors, regardless of compliance with the agreed conditions. The Court of First Instance of the European Communities notably considered in the Archer Daniels Midland judgment of July 9, 2003, that "(...) the setting of a price, even simply indicative, affects the functioning of competition by allowing all participants in the agreement to predict with a reasonable degree of certainty what the pricing policy pursued by their competitors will be" (case T-224/00, point 120) and in the Thyssen Stahl AG judgment of March 11, 1999, "that the information received by companies within the framework of the disputed systems was capable of influencing their behavior significantly, both because each company knew it was closely monitored by its competitors and because it could, where applicable, react to their behavior based on elements that were clearly more recent and more precise than those available by other means" (case T-141/94, point 403). In a decision of December 17, 2002, the European Commission further specified that "given that the parties had replaced the uncertainty of a situation of free competition with a continuous collusive behavior, prices were necessarily set at a level different from that which would have prevailed in a competitive market" (see decision No. 2004/206/EC).</w:t>
      </w:r>
    </w:p>
    <w:p>
      <w:r>
        <w:t>290. By their participation in the consultation, the traders, far from determining their pricing policy autonomously, in the uncertainty of their competitors' behavior, necessarily took into account, directly or indirectly, the information obtained from them during the disputed meetings (see for example, the reasoning followed by the GC in the Limburgse Vinyl Maatschappij and others judgments of April 20, 1999, cases T-305/94 to T-307/94, T-313/94 to T-316/94, T-318/94, T-325/94, T-328/94, T-329/94, and T-335/94 regarding the limitation of the degree of negotiation of prices with customers), which reduced competitive intensity. The fact that the price lists were designed as floor price levels, defined not based on the costs specific to each company but with the aim of maintaining an "acceptable" margin level for all cartel members, could only reinforce this harm to competition.</w:t>
      </w:r>
    </w:p>
    <w:p>
      <w:r>
        <w:t>291. Finally, all the documents gathered in the file demonstrate that the very sophisticated organization of the system was precisely designed to produce effects on the market, which were evaluated by participants in the agreement. Mr. H... (Descours &amp; Cabaud) confirms this by stating: "The time devoted to implementing the system was indeed very significant. It was not only about the meetings but also their preparation in advance (information gathering, for example) and the dissemination of instructions downstream. If we were willing to spend so much time on it, it was because the system produced results. Historically, the system was set up in 2001, when volumes, and with them, profitability, were declining. The objective was to raise prices and margins to a more satisfactory level, balance volumes, and freeze respective market shares. The results were felt immediately. Generally, the</w:t>
      </w:r>
    </w:p>
    <w:p>
      <w:r>
        <w:rPr>
          <w:b/>
        </w:rPr>
        <w:t>[Pages 106–108]</w:t>
      </w:r>
    </w:p>
    <w:p>
      <w:r>
        <w:t>2001, while volumes, and with them, profitability, were declining. The objective was to raise prices and margins to a more satisfactory level, to balance volumes, and to stabilize the respective market shares. The results were felt immediately. Generally speaking, the objectives were achieved and the desired effect, to restore the market, was obtained, although, depending on the periods, it could have been more or less significant and the arrangement more or less effective. It quickly became apparent that it was a "good decision" to implement the arrangement. In moments of relaxation, instructions were given for a resumption of control (...) The arrangement was profitable firstly because it produced results from its implementation and secondly because it was useful even when it did not work perfectly. There were times when the arrangement became disorganized or was on the verge of exploding, given the difficulties in making it work. But, each time, rather than abandoning it, it was decided to restart it and ensure compliance with the instructions.</w:t>
      </w:r>
    </w:p>
    <w:p>
      <w:r>
        <w:t>292. It should be recalled in this regard that, according to a consistent case law of the Community courts, the actual behavior that a company claims to have adopted is irrelevant for the purpose of assessing the impact of an agreement on the market; only the effects resulting from the infringement as a whole should be taken into account (see the Anic judgment of July 8, 1999 cited in paragraph 218, point 152). Therefore, the arguments of the parties based on non-compliance with the instructions or their minor importance in terms of distributed products or market shares are irrelevant to their liability regarding the effects of the practices, as the de minimis rule cannot apply given the nature of the practices concerned.</w:t>
      </w:r>
    </w:p>
    <w:p>
      <w:r>
        <w:t>293. The elements in the file, particularly those described in paragraphs 58, 60, 68 to 72, 151, 152, and 163 to 169, show that the agreed conditions were intended to be applied, that they were indeed applied, directly or indirectly, and that a control of this application was implemented. From this perspective, if certain documents do indeed mention "criticisms" regarding the arrangement or "malfunctions," which were compensated within the framework of the consultation, a large number of meeting minutes or internal documents attest to the application of the pricing arrangement, either fully or partially (and in the latter case possibly cyclically).</w:t>
      </w:r>
    </w:p>
    <w:p>
      <w:r>
        <w:t>294. The following excerpts are representative examples of complete compliance with the arrangement (references 4720, 3139, 18167, 16946, 18181, and 7346):</w:t>
        <w:br/>
        <w:t>• "good maintenance of prices, compliance with union instructions including by external participants";</w:t>
        <w:br/>
        <w:t>• "today, thanks to FNA, the application of the traditional product pricing scales is generally locked in";</w:t>
        <w:br/>
        <w:t>• "overall, the new pricing scales are well applied as of 03/03/03, by the entire profession in 13 and 84";</w:t>
        <w:br/>
        <w:t>• "prices are rising as well as margins, a consequence of the economic environment and compliance with the pricing arrangement in the 8th region";</w:t>
        <w:br/>
        <w:t>• "The application of the pricing scales poses no problem for small and medium customers, which drives our margins and our turnover upwards: +11.62% turnover in PM and +8.18% in BB between January 2002 and 2003";</w:t>
        <w:br/>
        <w:t>• "Everyone knows the importance of the arrangement to avoid degrading margins".</w:t>
      </w:r>
    </w:p>
    <w:p>
      <w:r>
        <w:t>295. The following excerpts are representative examples of partial or cyclical compliance with the arrangement (references 18166, 18175, 18176, and 7928):</w:t>
        <w:br/>
        <w:t>• "Selling prices seem to be better respected again by all actors/ But still too many cases go outside the scales for unjustified reasons";</w:t>
        <w:br/>
        <w:t>• "The arrangement, which has been generally respected in 13, is weakening day by day";</w:t>
        <w:br/>
        <w:t>• "the prices obtained by BSI on average cases suggest that the arrangement is not respected 100% (...) for other traditional products, demand is low but prices remain correct due to the arrangement".</w:t>
      </w:r>
    </w:p>
    <w:p>
      <w:r>
        <w:t>296. The market situation logically changed after the visits and seizures of May 2004 and the exit of Descours &amp; Cabaud from the consultation. This resulted in greater freedom for companies in setting prices and/or stronger price competition (references 26486, 23369, 23366, 23367, 23260 to 23274, 23071 to 23084):</w:t>
        <w:br/>
        <w:t>• the company Descours &amp; Cabaud stated: "as soon as the practices ceased (at the end of the first half of 2004), DESCORS &amp; CABAUD regained its freedom in pricing. This resulted in a significant and immediate drop in its margins";</w:t>
        <w:br/>
        <w:t>• the remarks of Mr. Y... (KDI) during the FNA executive committee on March 15, 2005 were reported as follows: "DESCORS &amp; CABAUD has made a real dent in the market for several months and through the indicated prices, a drop of €40/T, has caused about 100 million euros in losses to the profession to bring in 1 or 1.5 more to its shareholders". The minutes of this committee thus relate this intervention: "a member expresses his strong dissatisfaction with a colleague whose behavior in the field creates extremely degraded exploitation situations and a misunderstanding from customers, paradoxically informed of stable or even rising prices";</w:t>
        <w:br/>
        <w:t>• Mr. B... (CODIP) stated regarding the state of the market after May 2004: "The functioning of the market has changed: there was immediately a very strong fight triggered by the iron merchants (the groups especially), especially Descours &amp; Cabaud which significantly lowered prices and began to reclaim market shares, particularly in beams (they retained market shares especially with large clients). Others responded equally strongly (groups and also independents). In my trading area, two independents did not survive".</w:t>
      </w:r>
    </w:p>
    <w:p>
      <w:r>
        <w:t>297. Therefore, the various arguments raised by the companies, aimed at demonstrating that the alleged practices had no real impact on the market, must be dismissed.</w:t>
      </w:r>
    </w:p>
    <w:p>
      <w:r>
        <w:t>298. It follows from all of the above that the existence of an anti-competitive practice contrary to Article L. 420-1 of the Commercial Code and Article 81 of the EC Treaty is established, retained, for the periods detailed above, against the company PUM Service Acier, for its behavior and that of twenty-one of its subsidiaries, the company Arcelor Profil, succeeding the company ProfilArbed Distribution France, the company AMD Sud/Ouest, succeeding the company Métal Pyrénées, the company KDI, the company Descours &amp; Cabaud SA, for its behavior and that of thirty-two of its subsidiaries, the company Morel, for its behavior and that of one of its subsidiaries, the company Maisonneuve, the company Clisson Métal, the company Liametho, the company CODIP, the company Ferren Fers, and the French Federation of Metal Distribution, succeeding France Négoce Aciers.</w:t>
      </w:r>
    </w:p>
    <w:p>
      <w:r>
        <w:t>D. ON SANCTIONS</w:t>
      </w:r>
    </w:p>
    <w:p>
      <w:r>
        <w:t>299. The practices retained against the companies involved in this case were committed partly prior to the entry into force of Law No. 2001-420 of May 15, 2001, relating to new economic regulations, but continued continuously after the date of entry into force of this law, on May 18, 2001. The referral, received on July 8, 2005, is also subsequent to this date. It follows, as decided by the Council in decision No. 04-D-39, that the provisions of Book IV of the Commercial Code applicable in this case are those of the law of May 15, 2001.</w:t>
      </w:r>
    </w:p>
    <w:p>
      <w:r>
        <w:t>300. Under Article L. 464-2-II of the Commercial Code in its version applicable to this case: "The Competition Council may order the interested parties to cease anti-competitive practices within a specified period or impose particular conditions. (...)</w:t>
        <w:br/>
        <w:t>It may impose a monetary sanction applicable either immediately, or in the event of non-compliance with the injunctions or in the event of non-compliance with the commitments it has accepted. Monetary sanctions are proportionate to the seriousness of the alleged facts, to the extent of the damage caused to the economy, to the situation of the sanctioned organization or company or the group to which the company belongs, and to any possible repetition of practices prohibited by this title. They are determined individually for each sanctioned company or organization and motivated for each sanction.</w:t>
        <w:br/>
        <w:t>If the offender is not a company, the maximum amount of the sanction is 3 million euros. The maximum amount of the sanction is, for a company, 10% of the highest amount of worldwide turnover excluding taxes achieved during one of the financial years closed since the financial year preceding that in which the practices were implemented."</w:t>
      </w:r>
    </w:p>
    <w:p>
      <w:r>
        <w:t>301. In the context of the procedure for not contesting the grievances, Article L. 464-2 III provides that "the maximum amount of the sanction incurred is reduced by half".</w:t>
      </w:r>
    </w:p>
    <w:p>
      <w:r>
        <w:t>302. In these conditions, the respective ceiling of the sanctions that can be imposed on the companies involved in this case is presented below.</w:t>
      </w:r>
    </w:p>
    <w:p>
      <w:r>
        <w:t>a) The legal ceiling</w:t>
      </w:r>
    </w:p>
    <w:p>
      <w:r>
        <w:t>303. The companies of the PUM/Arcelor group believe that, insofar as the three companies involved belong to the same group and two of them are subsidiaries of the third, a single ceiling for sanctions should be taken into account for these three companies.</w:t>
      </w:r>
    </w:p>
    <w:p>
      <w:r>
        <w:t>304. However, as indicated above, the legal maximum is, for each concerned company, "10% of the highest amount of worldwide turnover excluding taxes achieved during one of the financial years closed since the financial year preceding that in which the practices were implemented." This figure is assessed at the group level when the turnovers are consolidated within it. The legal ceiling is assessed company by company. Since the grievances are notified to distinct legal entities for their individual participation in the practices, regarding the period or the authors concerned, there is no reason to assess the legal maximum differently. The specificity of the situation of the three companies of the PUM/Arcelor group.</w:t>
      </w:r>
    </w:p>
    <w:p>
      <w:r>
        <w:rPr>
          <w:b/>
        </w:rPr>
        <w:t>[Pages 109–111]</w:t>
      </w:r>
    </w:p>
    <w:p>
      <w:r>
        <w:t xml:space="preserve">concerned may nevertheless be taken into account in determining the sanction in terms of its individualization and proportionality.  </w:t>
        <w:br/>
        <w:t xml:space="preserve">305. The highest turnover of PUM Service Acier reached 588,227,000 euros during the fiscal year ending December 31, 2000, its accounts being consolidated within those of the ArcelorMittal group. The consolidated accounts of ArcelorMittal show a turnover of 76,772,000,000 euros for 2007. Given these elements, the normally applicable sanction ceiling, equal to 10% of the highest consolidated turnover of the examined period, is 7,677,200,000 euros. By application of the provisions of III of Article L. 464-2 of the Commercial Code, the legal ceiling of the applicable sanction is reduced by half, i.e., 3,838,600,000 euros.  </w:t>
        <w:br/>
        <w:t xml:space="preserve">306. The highest turnover of Arcelor Profil reached 305,577,000 euros during the fiscal year ending December 31, 2007, its accounts being consolidated within those of the ArcelorMittal group. The consolidated accounts of ArcelorMittal show a turnover of 76,772,000,000 euros for 2007. Given these elements, the normally applicable sanction ceiling, equal to 10% of the highest consolidated turnover of the examined period, is 7,677,200,000 euros. By application of the provisions of III of Article L. 464-2 of the Commercial Code, the legal ceiling of the applicable sanction is reduced by half, i.e., 3,838,600,000 euros.  </w:t>
        <w:br/>
        <w:t xml:space="preserve">307. The highest turnover of AMD Sud/Ouest reached 122,474,000 euros during the fiscal year ending December 31, 2007, its accounts being consolidated within those of the ArcelorMittal group. The consolidated accounts of ArcelorMittal show a turnover of 76,772,000,000 euros for 2007. Given these elements, the normally applicable sanction ceiling, equal to 10% of the highest consolidated turnover of the examined period, is 7,677,200,000 euros. By application of the provisions of III of Article L. 464-2 of the Commercial Code, the legal ceiling of the applicable sanction is reduced by half, i.e., 3,838,600,000 euros.  </w:t>
        <w:br/>
        <w:t xml:space="preserve">308. The highest turnover of KDI reached 980,972,623 euros during the fiscal year ending December 31, 2007, its accounts being consolidated within those of the Klöckner group. The consolidated accounts of Klöckner show a turnover of 6,274,000,000 euros for 2007. Given these elements, the normally applicable sanction ceiling, equal to 10% of the highest consolidated turnover of the examined period, is 627,400,000 euros. By application of the provisions of III of Article L. 464-2 of the Commercial Code, the legal ceiling of the applicable sanction is reduced by half, i.e., 313,700,000 euros.  </w:t>
        <w:br/>
        <w:t xml:space="preserve">309. The highest turnover of Descours &amp; Cabaud SA reached 3,331,738 euros during the fiscal year ending December 31, 2005, its accounts being consolidated within those of the Descours &amp; Cabaud group. The consolidated accounts of Descours &amp; Cabaud show a turnover of 3,230,051,000 euros for 2007. Given these elements, the applicable sanction ceiling, equal to 10% of the highest consolidated turnover of the examined period, is 323,005,100 euros.  </w:t>
        <w:br/>
        <w:t xml:space="preserve">310. The company Morel argues that the legal maximum of the sanction it incurs could not be calculated based on the global turnover of its parent company, Duferco, but must be based on the company Établissements Marc Morel et Fils, these two companies being legal entities with distinct social assets. It also refused to respond to a request for the communication of documents relating to the turnover of this parent company.  </w:t>
        <w:br/>
        <w:t xml:space="preserve">311. However, the companies of the Morel group belong to the Duferco group. The company Établissements Marc Morel et Fils was included in 2007 in the consolidation perimeter of the parent company, Duferco Participations Holding, which establishes the consolidated accounts of the group. The turnover to be considered for calculating the legal ceiling is therefore that of the global turnover of the parent company of the group.  </w:t>
        <w:br/>
        <w:t xml:space="preserve">312. The highest turnover of Établissements Marc Morel et Fils reached 55,192,839 euros during the fiscal year ending December 31, 2007, its accounts being consolidated within those of the group. The consolidated accounts of Duferco show a turnover of 6,700,000,000 euros for 2007. Given these elements, the applicable sanction ceiling, equal to 10% of the highest consolidated turnover of the examined period, is 670,000,000 euros.  </w:t>
        <w:br/>
        <w:t xml:space="preserve">313. The highest turnover of Maisonneuve reached 121,063,748 euros during the fiscal year ending December 31, 2007. Given this element, the applicable sanction ceiling, equal to 10% of this turnover, is 12,106,374 euros.  </w:t>
        <w:br/>
        <w:t xml:space="preserve">314. The highest turnover of Liametho reached 15,620,230 euros during the fiscal year ending December 31, 2007. Given this element, the applicable sanction ceiling, equal to 10% of this turnover, is 1,562,023 euros.  </w:t>
        <w:br/>
        <w:t xml:space="preserve">315. The highest turnover of Clisson Métal reached 30,180,881 euros during the fiscal year ending December 31, 2007. Given this element, the applicable sanction ceiling, equal to 10% of this turnover, is 3,018,088 euros.  </w:t>
        <w:br/>
        <w:t xml:space="preserve">316. The highest turnover of CODIP reached 21,109,000 euros during the fiscal year ending June 30, 2008. Given this element, the applicable sanction ceiling, equal to 10% of this turnover, is 2,110,900 euros.  </w:t>
        <w:br/>
        <w:t xml:space="preserve">317. The highest turnover of Ferren Fers reached 14,478,000 euros during the fiscal year ending December 31, 2000. Given this element, the applicable sanction ceiling, equal to 10% of this turnover, is 1,447,800 euros.  </w:t>
        <w:br/>
        <w:t xml:space="preserve">318. The normally applicable sanction ceiling for FFDM is normally 3,000,000 euros. By application of the provisions of III of Article L. 464-2 of the Commercial Code, the legal ceiling of the applicable sanction is reduced by half, i.e., 1,500,000 euros.  </w:t>
        <w:br/>
        <w:t xml:space="preserve">b) The criteria for determining the sanction  </w:t>
        <w:br/>
        <w:t xml:space="preserve">319. In its response memorandum, Descours &amp; Cabaud SA indicated that: "Under Community law, after establishing a base amount based on sales value, 'the Commission may take into account circumstances that lead to an increase or decrease of the base amount' (point 27 of the guidelines)" (response memorandum, page 5) and, regarding the company's cooperation in the investigation, that "Community law also recognizes the value of such cooperation. Indeed, according to point 29 of the guidelines (...) the base amount of the fine may be reduced when the Commission finds the existence of mitigating circumstances such as (...) when the concerned company effectively cooperates with the Commission, outside the scope of the leniency notice and beyond the legal obligations to cooperate" (response memorandum, page 29).  </w:t>
        <w:br/>
        <w:t xml:space="preserve">320. Similarly, KDI indicated that "the European Commission, in its guidelines for calculating fines (OJ C 210/2) commenting on the role of the leader, considers that particular attention should be paid to any measures taken to coerce other companies into participating in the infringement and/or any retaliatory measures taken against other companies to enforce the practices constituting an infringement" (response memorandum, page 21).  </w:t>
        <w:br/>
        <w:t xml:space="preserve">321. Finally, the companies of the PUM/Arcelor group noted, regarding recidivism: "It follows from the Community guidelines on the setting of fines that cases of recidivism are constituted only when an infringement of Article 81 or Article 82 has been established (§28)" (observations, page 11, note 30).  </w:t>
        <w:br/>
        <w:t xml:space="preserve">322. In general, the Council recalls that, while the objective of ensuring the effectiveness of Community law may lead it to draw inspiration from the methods used by the European Commission when determining the applicable sanction for an infringement of Articles 81 or 82 of the EC Treaty – for example, considering that, in cartel cases like the one at hand, it is more appropriate to refer, for the calculation of the sanction, to the value of sales made on the market affected by the agreement rather than starting from the legal ceiling, which should serve to cap the fine in case it exceeds this maximum – the guidelines invoked cannot legally bind it. Its assessment is indeed subject to the respect of only the criteria set by national law, in this case Article L. 464-2 of the Commercial Code, in coherence with the decision-making practice of the Council, developed under the control of the Court of Appeal of Paris, which could indeed be the subject of a guidance document specific to the national authority.  </w:t>
        <w:br/>
        <w:t xml:space="preserve">323. It is, of course, permissible for the companies involved to refer to the Community guidelines or to provide their own interpretation to support their defense arguments. But this does not mean that the Council is obliged to respond to them, noting that the full application of these recommendations – and not only the points invoked by the parties in support of their submissions – could lead to a calculation of fines much less favorable to the companies that rely on them.  </w:t>
        <w:br/>
        <w:t xml:space="preserve">324. The following criteria for the sanction will be addressed successively:  </w:t>
        <w:br/>
        <w:t xml:space="preserve">• the severity of the behaviors, assessed generally and in relation to each of the companies or organizations involved;  </w:t>
        <w:br/>
        <w:t xml:space="preserve">• the importance of the damage to the economy, approached both in quantitative and qualitative terms;  </w:t>
        <w:br/>
        <w:t xml:space="preserve">• the possible consideration of recidivism.  </w:t>
        <w:br/>
        <w:t xml:space="preserve">c) On the severity of the practices  </w:t>
        <w:br/>
        <w:t xml:space="preserve">On the general severity of the practices  </w:t>
        <w:br/>
        <w:t xml:space="preserve">325. Price-fixing agreements, on the allocation of customers or markets between competitors, such as that in the present case, constitute practices deemed unjustifiable and therefore of extreme severity for competition authorities.  </w:t>
        <w:br/>
        <w:t xml:space="preserve">326. Five elements allow for a general characterization of the severity of the practices.  </w:t>
        <w:br/>
        <w:t xml:space="preserve">The impact of the practices on the market  </w:t>
        <w:br/>
        <w:t>327. The participants in the consultation represent a very large majority of market shares: approximately 70 to 90% of the volumes sold by the trade depending on the products (with the exception of rods). Among these participants are the three main trading groups, which alone represent 60 to 80% of the volumes distributed by the members of the FNA. The participation of these large groups is all the more significant as one of them, PUM/</w:t>
      </w:r>
    </w:p>
    <w:p>
      <w:r>
        <w:rPr>
          <w:b/>
        </w:rPr>
        <w:t>[Pages 112–114]</w:t>
      </w:r>
    </w:p>
    <w:p>
      <w:r>
        <w:t>Arcelor is part of the largest global steel production group, which supplies a large part of the needs of the traders. Finally, the single union of the profession was fully involved in the practices, both at the national and regional levels.</w:t>
      </w:r>
    </w:p>
    <w:p>
      <w:r>
        <w:t>The persistence of practices</w:t>
      </w:r>
    </w:p>
    <w:p>
      <w:r>
        <w:t>328. The practices were implemented over a long period, at least 58 months between 1999 and 2004. Sustainable, they were also repeatedly confirmed by their authors during this period and even reinforced, in the sense of expanding the products and services concerned and limiting the residual freedom of operators, thus characterizing the persistence of an anti-competitive intent. The practices were only terminated following inspection and seizure operations and at the beginning of the administrative investigation.</w:t>
      </w:r>
    </w:p>
    <w:p>
      <w:r>
        <w:t>The geographical scope of the practices</w:t>
      </w:r>
    </w:p>
    <w:p>
      <w:r>
        <w:t>329. The practices extended, throughout their duration, over the entire French territory. Decided at the national level at the highest level of responsibility within each company, they concerned both national clients, present throughout France, and smaller clients, in the 11 regions defined within the framework of the FNA. In each of these regions, the practices operated similarly. The national arrangements were communicated and directly applied or adapted to local realities.</w:t>
      </w:r>
    </w:p>
    <w:p>
      <w:r>
        <w:t>The material scope of the agreement</w:t>
      </w:r>
    </w:p>
    <w:p>
      <w:r>
        <w:t>330. The cartel aimed not only to remove prices from the normal play of competition by disseminating agreed price lists and ensuring their application by traders, but also to allocate clients and markets. Thus, the entire competitive space was annihilated, as the companies involved established a general collusion aimed at eliminating any mechanism of competition among them.</w:t>
      </w:r>
    </w:p>
    <w:p>
      <w:r>
        <w:t>The sophistication of the practices</w:t>
      </w:r>
    </w:p>
    <w:p>
      <w:r>
        <w:t>331. The practices in question are of extraordinary complexity, organized and controlled by their authors. The concerned market is not initially the most conducive to establishing an agreement: it is a trading market characterized by a significant number of small one-off transactions for a diffuse clientele across a wide variety of products, as opposed to, for example, large account markets with multi-year supply contracts. However, the authors of the cartel addressed each of the market's particularities and provided a response in the sophisticated organization of the practices, through the multiplicity of meetings, their level of implementation (national, regional, local), their specialization by products, their periodicity, the multiplication of pricing references, the dissemination of summaries, the establishment of control and support bodies for the practices (mentors, regional presidents, central points, and pilots), regular monitoring, sanctions, etc.</w:t>
      </w:r>
    </w:p>
    <w:p>
      <w:r>
        <w:t>332. The architecture of the practices also included coordinated measures aimed on the one hand at ensuring sufficient flexibility to maintain the cartel's stability in the long term in the face of external actors or violations (follow-up rights, compensations, etc.) and on the other hand at masking the reality of the practices to clients (rotation of roles, rotation of deltas, etc.). Finally, it should be noted that the companies were aware of the prohibited nature of the practices they engaged in, as shown by the documents cited in paragraph 241.</w:t>
      </w:r>
    </w:p>
    <w:p>
      <w:r>
        <w:t>333. It follows from all of the above that the practices in question are, in general, of exceptional seriousness.</w:t>
      </w:r>
    </w:p>
    <w:p>
      <w:r>
        <w:t>334. Some parties have argued that the economic situation and the regulatory context of the sector would have the effect of mitigating the seriousness of the practices. But such arguments cannot prosper in this case.</w:t>
      </w:r>
    </w:p>
    <w:p>
      <w:r>
        <w:t>On the context of crisis and the intervention of public authorities</w:t>
      </w:r>
    </w:p>
    <w:p>
      <w:r>
        <w:t>335. The FFDM notes that the revival of the union system constitutes, in a context of profound economic change, a "collective" approach, allowing for the strengthening of the FNA's action with public authorities during a period of crisis and disruption of raw material prices. Citing Mr. H... (Descours &amp; Cabaud), it specifies that it was a matter of survival and that, failing that, it is likely that the margins would have been more limited than those practiced and could even have led to losses. The companies Maisonneuve, Liametho, and Clisson Métal also point out a historical tradition of consultation and pricing, which would be inseparable from the practices examined above.</w:t>
      </w:r>
    </w:p>
    <w:p>
      <w:r>
        <w:t>336. However, first of all, as the Competition Council recalled in decision No. 07-D-48 (§ 272), the Competition Commission had already indicated in its 1984 report that agreements were a poor response to a crisis situation because "far from providing remedies to recession problems, they [were] likely to aggravate them, if only by relieving companies of more dynamic responses."</w:t>
      </w:r>
    </w:p>
    <w:p>
      <w:r>
        <w:t>337. Furthermore, the European Commission in a decision of December 9, 2004 (decision No. 2005/566/EC) considered that: "(...) in a market economy, the risks taken by companies include the risk of potential losses, even bankruptcy. The fact that a company may not make profits with a given commercial activity does not authorize it to enter into a secret agreement with competitors to deceive clients and other competitors. Generally speaking, agreements are likely to occur not when companies are making large profits, but precisely when a sector is experiencing problems. That is why, if the Commission followed BASF's reasoning, the fines imposed in cartel cases should be reduced in almost all cases. In its judgment in the Graphite Electrodes case, the Court of First Instance confirmed that the Commission was not required to consider the poor financial health of the sector in question as a mitigating circumstance (...). Therefore, a potential crisis that may have caused the practices, which is not demonstrated at the time of the agreement, cannot mitigate their seriousness, just as the idea that an illicit concerted action would strengthen its action with public authorities. On the contrary, the participation of a union in such practices, contradictory to its duties, is likely to increase their seriousness.</w:t>
      </w:r>
    </w:p>
    <w:p>
      <w:r>
        <w:t>338. Next, as indicated in paragraph 264, the exceptional crisis regimes established in the sector never validated a collaboration as extensive as that observed and were interrupted before the start of the period of the notified grievances. Since then, several decisions by competition authorities have allowed operators in the sector to become aware of the limits that a company must not exceed given the autonomy that must prevail in determining its commercial policy in a competitive market. It follows that the aid regimes that existed in the market at the initiative of public authorities do not justify the observed practices nor mitigate their seriousness.</w:t>
      </w:r>
    </w:p>
    <w:p>
      <w:r>
        <w:t>On the characterization of the respective behavior of the companies involved</w:t>
      </w:r>
    </w:p>
    <w:p>
      <w:r>
        <w:t>339. The Paris Court of Appeal indicated, regarding the determination of sanctions, "that with reference to its maximum amount, the financial penalty must be set according to the number, duration, and seriousness of the practices in question, the role played by the company in their conception and implementation, and the harm they caused to the economy" (judgment of July 1, 1992).</w:t>
      </w:r>
    </w:p>
    <w:p>
      <w:r>
        <w:t>On the degree of involvement in the complex practice</w:t>
      </w:r>
    </w:p>
    <w:p>
      <w:r>
        <w:t>340. Several companies have listed the elements of consultation to which they did not participate, as well as the possible limited duration of the grievances retained against them. The companies Morel, CODIP, Ferren Fers, Clisson Métal, Liametho, and Maisonneuve argue that their participation was only passive and forced, given their lack of interest in the arrangement and the role of the groups in its implementation.</w:t>
      </w:r>
    </w:p>
    <w:p>
      <w:r>
        <w:t>341. However, it should be noted on this last point that the low interest in the practice is taken into account in the determination of the sanction by analyzing the elements of participation in the practice and the duration of that participation. Beyond that, the applicant companies do not present any specific circumstance or evidence that could demonstrate that their attitude during the meetings in question was purely passive or follow-the-leader, apart from the predominant role of the large groups, which constitutes an aggravating factor against them, but is not mitigating for others. On the contrary, regarding the company Maisonneuve and as indicated in paragraph 266, the available documents attest to careful monitoring of compliance with the arrangement.</w:t>
      </w:r>
    </w:p>
    <w:p>
      <w:r>
        <w:t>342. For the rest, the situation of each company concerning the sanction imposed must indeed differ according to its degree of involvement in the practices, of which a synthetic presentation is made in the table below:</w:t>
      </w:r>
    </w:p>
    <w:p>
      <w:r>
        <w:rPr>
          <w:b/>
        </w:rPr>
        <w:t>[Pages 115–117]</w:t>
      </w:r>
    </w:p>
    <w:p>
      <w:r>
        <w:t>Table No. 12: Summary of Each Operator's Participation in the Practices</w:t>
      </w:r>
    </w:p>
    <w:p>
      <w:r>
        <w:t>Consultation Elements</w:t>
        <w:br/>
        <w:t>ANF MUP FDAP Liametho P. IDK C&amp;D .siaM Morlaix .maiL Clisson P. PIDOC Ferren Fers</w:t>
        <w:br/>
        <w:t>Beam Commission X X X X X X X</w:t>
        <w:br/>
        <w:t>Flat Products Commission X X X X</w:t>
        <w:br/>
        <w:t>Tube Commission X X X X</w:t>
        <w:br/>
        <w:t>Office X X X X X X</w:t>
        <w:br/>
        <w:t>Regional Presidents' Meeting X X X X X</w:t>
        <w:br/>
        <w:t>Commercial Directors' Lunches X X X X X</w:t>
        <w:br/>
        <w:t>Presidents' Dinners X X X X X</w:t>
        <w:br/>
        <w:t>Pilots and/or Central Points X X X X X X X</w:t>
        <w:br/>
        <w:t>Regional Presidents X X X X</w:t>
        <w:br/>
        <w:t>Sponsors X X X</w:t>
        <w:br/>
        <w:t>Beam Market Distribution X X X X X X X</w:t>
        <w:br/>
        <w:t>Activities of the 1st Region X X X X X</w:t>
        <w:br/>
        <w:t>Activities of the 2nd Region X X X</w:t>
        <w:br/>
        <w:t>Activities of the 3rd Region X X X X X</w:t>
        <w:br/>
        <w:t>Activities of the 4th Region X X X X X</w:t>
        <w:br/>
        <w:t>Activities of the 5th Region X X X X X</w:t>
        <w:br/>
        <w:t>Activities of the 6th Region X X X X X X</w:t>
        <w:br/>
        <w:t>Activities of the 7th Region X X X X</w:t>
        <w:br/>
        <w:t>Activities of the 8th Region X X X X X X</w:t>
        <w:br/>
        <w:t>Activities of the 9th Region X X X X X</w:t>
        <w:br/>
        <w:t>Activities of the 10th Region X X X X</w:t>
        <w:br/>
        <w:t>Activities of the 11th Region X X X X X</w:t>
        <w:br/>
        <w:t>Beam Commission 4th/5th X X X X X X X</w:t>
        <w:br/>
        <w:t>Beam Commission 6th/7th X X X X X X</w:t>
        <w:br/>
        <w:t>Beam Commission 9th X X X</w:t>
        <w:br/>
        <w:t>Beam Commission 11th X X X X</w:t>
        <w:br/>
        <w:t>Establishment or Distribution of Pricing Scale or Conditions X X X X X X</w:t>
        <w:br/>
        <w:t>Receipt of Pricing Scales/Conditions X X X X X X X X X X (excluding meetings)</w:t>
        <w:br/>
        <w:t>Participation in Agreements, Contacts, Exchanges X X X X X X</w:t>
        <w:br/>
        <w:t>of Information or Bilateral Pricing Scales</w:t>
        <w:br/>
        <w:t>Duration of Participation (in months) 58 58 49 40 58 58 37 58 26 26 42 42</w:t>
      </w:r>
    </w:p>
    <w:p>
      <w:r>
        <w:t>343. This table highlights the dominance of the three main traders in the cartel, who participated in almost all mechanisms of the agreement in all regions, in all its forms and throughout the entire 58 months. In contrast, some companies like Ferren Fers only intervened in a single region. The participation of some others like Liametho is established only for 26 months.</w:t>
      </w:r>
    </w:p>
    <w:p>
      <w:r>
        <w:t>On the Role of Leader</w:t>
      </w:r>
    </w:p>
    <w:p>
      <w:r>
        <w:t>344. The companies of the PUM/Arcelor group and KDI contest that a leader status in the practices can be taken into account against them as an aggravating circumstance. They argue first that the exposure of large trading groups is solely due to their size and workforce, that the notably local nature of the trading market necessitated a consensus among all actors, and that they did not engage in any particular coercive measures, which they believe is constitutive of the leader role. The companies of the PUM/Arcelor group further argue that it is impossible to distinguish one of the three companies from the others, which would be necessary to determine who is "the" leader. In this regard, KDI emphasizes its low market shares in flat products and considers that it did not have the economic power to dictate its line of conduct to other operators, with the PUM/Arcelor group occupying the top position in the market and being the only one integrated with a producer and having direct knowledge of the upstream.</w:t>
      </w:r>
    </w:p>
    <w:p>
      <w:r>
        <w:t>345. However, the Council individualizes the sanction of each company taking into account, among other elements, the behavior revealed within the framework of the agreement. In this case, beyond their undeniable position in the market, the three major trading groups initiated the agreement and appear as its facilitators, as evidenced by the documents in the file, the statements of Descours &amp; Cabaud, and the unanimous statements of the other parties to the agreement. They organized specific meetings composed solely of representatives from their groups, including the highest officials of each of the concerned groups, and those from the union, excluding those from other companies. During these meetings, the orientations were defined that were then implemented with the other companies, which is not contested.</w:t>
      </w:r>
    </w:p>
    <w:p>
      <w:r>
        <w:t>346. Therefore, while all the companies involved expressed their agreement to the practices, the individual situation of the groups is particular in that they directed the agreement and, through their behavior, created a ripple effect on the other participants. To take such circumstances into account, French and Community decision-making practice does not require distinguishing one company from the others. The Commission, for example, indicated in a decision of July 24, 2002, that "even if a cartel is a jointly conducted enterprise, each participant can play a role that is its own. One or more of them may exercise a dominant leader role." It has considered this aggravating factor concerning two or even three different companies from the same cartel in several cases (see, for example, decision of December 5, 2001, citric acid, confirmed by the GC on September 27, 2006). It is also not necessary for coercive measures implemented by companies considered as leaders to be identified, as such measures may aggravate the situation of a company regardless of the role played in the conduct of an agreement.</w:t>
      </w:r>
    </w:p>
    <w:p>
      <w:r>
        <w:t>347. It follows from the above that the companies PUM Service Acier, KDI, and Descours &amp; Cabaud must be considered as the leaders of the agreement in question. The sanction pronounced against them will therefore be aggravated.</w:t>
      </w:r>
    </w:p>
    <w:p>
      <w:r>
        <w:t>On the Alleged Pressures</w:t>
      </w:r>
    </w:p>
    <w:p>
      <w:r>
        <w:t>348. The companies Clisson Métal, Liametho, Morel, and CODIP argue that constraints were exerted at the initiative of the three major groups, which would limit their liability.</w:t>
      </w:r>
    </w:p>
    <w:p>
      <w:r>
        <w:t>349. Nevertheless, these companies put forward elements from the file that report coercive actions taken within the framework of the agreement, both concerning external actors and "internal violations." However, it has been seen that independents also participated in the meetings, in the mechanisms for verifying the solidity of the agreement, and thus contributed, at their level, to this system of sanctions. Thus, the elements put forward only validate the functioning of the agreement and the importance of the role that the major groups played in it, but do not demonstrate targeted constraints that exceeded the normal framework of the agreement and the compensations that were decided therein.</w:t>
      </w:r>
    </w:p>
    <w:p>
      <w:r>
        <w:t>350. However, while the behavior of a leader may increase the extent of liability and the amount of the sanction for the three major groups, it does not necessarily decrease that of the other participants. Indeed, to mitigate the liability of a company, it would need to concretely describe, relying on documents from the file, what the coercive mechanisms exerted against it were and how they were likely to weigh on its consent to the agreement. But, on this point, none of the allegations made are supported by probative documents. On the contrary, documents have been cited revealing that independent traders, notably the company Maisonneuve, complained about the "dysfunctions" of the cartel, deemed insufficiently cohesive (§ 111).</w:t>
      </w:r>
    </w:p>
    <w:p>
      <w:r>
        <w:t>351. It follows that these arguments are of no consequence for the assessment of the sanction of Clisson Métal, Liametho, Morel, or CODIP.</w:t>
      </w:r>
    </w:p>
    <w:p>
      <w:r>
        <w:t>On the Alleged Non-Application of Concerted Measures</w:t>
      </w:r>
    </w:p>
    <w:p>
      <w:r>
        <w:t>352. As indicated in paragraph 254, claiming, based on internal documents or those related to meetings between competitors, to be "the disruptor" of the agreement, as some invoke, is not a probative element of absence of participation in the agreement if it is not demonstrated that the alleged disruptions exceeded those usually encountered in an agreement and indeed foreseen and managed by the very organizational rules of the cartel. Thus, a deviation in conduct after which a company would accept, in a consultation meeting, that another company could compensate for the loss incurred would not translate either into an opposition to the principle of the agreement. The companies that assert, in various forms, that they did not apply the measures decided in consultation must therefore demonstrate this based on more precise and convincing elements. This characterization of non-effective participation is, in this case, all the more necessary given that the agreement was of particular magnitude in its sophistication, duration, and frequency of regional or national meetings.</w:t>
      </w:r>
    </w:p>
    <w:p>
      <w:r>
        <w:t>353. To demonstrate the non-application of the decided measures, the company CODIP notes that these were not adapted to its activity and that it applied them only as ceilings. Clisson Métal and Liametho indicate that they did not have monitored clients and that their average price and margin levels diverged from those of other companies. All three, along with Maisonneuve, argue that in any case their results did not evolve after 2004, the date on which the agreement ceased.</w:t>
      </w:r>
    </w:p>
    <w:p>
      <w:r>
        <w:t>354. The company Descours &amp; Cabaud argues that its behavior was incompatible with the continuation of the practices and that the agreement would ultimately have "fallen apart" even without the competition investigation. It notes that the growth, between 1999 and 2003, of its turnover in steel products was inversely related to that of its competitors, that the growth of its sales volume of beams between 1999 and 2004 was contrary to market trends, and that the decline in its market shares in rolled products, flat products, and concrete rods between 1999 and 2003 was less than that suffered by its competitors. It claims that its dynamism was the source of these progressions, notably the increase in its storage capacities in 2001, the implementation in 2001, 2002, and 2003 of targeted commercial operations by products.</w:t>
      </w:r>
    </w:p>
    <w:p>
      <w:r>
        <w:t>355. However, it is futile, to demonstrate a non-application of the concerted conditions, to refer to actual prices higher than those decided by the members of the agreement, as is the case with the amounts indicated by Liametho and Clisson Métal. In such cases...</w:t>
      </w:r>
    </w:p>
    <w:p>
      <w:r>
        <w:rPr>
          <w:b/>
        </w:rPr>
        <w:t>[Pages 118–120]</w:t>
      </w:r>
    </w:p>
    <w:p>
      <w:r>
        <w:t>est réduite. » (§ 251).</w:t>
      </w:r>
    </w:p>
    <w:p>
      <w:r>
        <w:t>370. En conséquence, l’argument selon lequel l’arrêt immédiat des pratiques devrait être considéré comme un facteur atténuant ne peut être retenu. Les entreprises concernées avaient l’obligation de respecter les règles de concurrence dès le début de leurs activités anticoncurrentielles.</w:t>
      </w:r>
    </w:p>
    <w:p>
      <w:r>
        <w:t>371. De plus, la société Descours &amp; Cabaud soutient que l’arrêt immédiat des pratiques a permis de réduire les effets néfastes de l’entente sur le marché. Cependant, cette affirmation n’est pas étayée par des preuves concrètes. Les éléments du dossier ne montrent pas que l’arrêt des pratiques a eu un impact significatif sur la concurrence ou sur les prix du marché.</w:t>
      </w:r>
    </w:p>
    <w:p>
      <w:r>
        <w:t>372. En somme, bien que l’arrêt immédiat des pratiques puisse être considéré comme un acte de conformité, cela ne constitue pas en soi une circonstance atténuante suffisante pour réduire la sanction. Les entreprises doivent être tenues responsables de leurs actions passées et des effets de leurs pratiques anticoncurrentielles sur le marché.</w:t>
      </w:r>
    </w:p>
    <w:p>
      <w:r>
        <w:rPr>
          <w:b/>
        </w:rPr>
        <w:t>[Pages 121–123]</w:t>
      </w:r>
    </w:p>
    <w:p>
      <w:r>
        <w:t>of the concerned company will be shorter than it would have been otherwise. Indeed, if the infringement had continued after the intervention of the Commission, this would have constituted an aggravating circumstance. In its judgment Electrodes de graphite (Joined Cases T-236/01, T-239/01, T-244/01 to T-246/01, T-251/01 and T-252/01 Tokai Carbon Co Ltd and others v. Commission, § 341), the Court of First Instance confirmed that the fact that a company voluntarily ended the infringement before the opening of the Commission's investigation was sufficiently taken into account by the calculation of the duration of the infringement period and does not constitute a mitigating circumstance.</w:t>
      </w:r>
    </w:p>
    <w:p>
      <w:r>
        <w:t>370. In this regard, and to respond to the argument of the company Descours &amp; Cabaud, it should be noted that the Commission's guidelines on the calculation of sanctions to which this company refers explicitly exclude secret agreements such as cartels from the hypothesis of a mitigation of sanctions considering the immediate cessation of practices.</w:t>
      </w:r>
    </w:p>
    <w:p>
      <w:r>
        <w:t>371. It follows that these various arguments are not likely to mitigate the sanction incurred.</w:t>
      </w:r>
    </w:p>
    <w:p>
      <w:r>
        <w:t>On the specific case of the union</w:t>
      </w:r>
    </w:p>
    <w:p>
      <w:r>
        <w:t>372. The FFDM cites the administrative investigation report in that it indicated that it was difficult to distinguish what fell under union instances from what fell under the general management of the groups. It therefore argues that the severity of the FNA's participation in the practices should be relativized since the union would have only acted, as a representative of its members, to apply the directives given by them, serving as a venue or tool for an agreement that "would be nothing other than that of a few FNA members." It particularly believes that "the union's adherence to a policy defined by its members is as such normal."</w:t>
      </w:r>
    </w:p>
    <w:p>
      <w:r>
        <w:t>373. However, it results from the documents gathered in the file that the union played an active role in the consultation that goes beyond the mere provision of logistical support: FNA collected and disseminated information useful for the functioning of the agreement, participated in meetings (including steering meetings of the agreement involving the three major groups). In doing so, the union misused the approval it received from the SESSI for the collection of statistical data and disregarded its specific mission of assistance and advice, which should have prompted it to warn its members against the manifestly anti-competitive nature of their behavior.</w:t>
      </w:r>
    </w:p>
    <w:p>
      <w:r>
        <w:t>374. Furthermore, the Competition Council has repeatedly stated, notably in decision No. 07-D-48 of December 18, 2007 (§ 216), that the administrative investigation report "[constitutes] a summary document to which no legislative or regulatory provision [attaches] any particular probative force or legal effect." In this case, the distinct participation of the union compared to that of its members is notably materialized by the behavior of its Secretary General, Mr. D..., who personally participated in a large number of meetings and intervened in the regions to clarify the functioning of the arrangement, thus consolidating the agreement.</w:t>
      </w:r>
    </w:p>
    <w:p>
      <w:r>
        <w:t>375. Therefore, the union's argument is of no consequence regarding the assessment of the severity of its participation. Moreover, the argument raised is surprising coming from a union that has made commitments aimed at preventing the recurrence of practices such as those examined. Indeed, following the argument presented, the professional federation would find it "normal" to adhere to a new anti-competitive policy if all or part of its members were to implement it in the future.</w:t>
      </w:r>
    </w:p>
    <w:p>
      <w:r>
        <w:t>d) On the importance of the damage to the economy</w:t>
      </w:r>
    </w:p>
    <w:p>
      <w:r>
        <w:t>376. The Council has frequently recalled, notably in its decision No. 08-D-13 of June 11, 2008 (§ 70), that Article L. 464-2 of the Commercial Code states, among the criteria for assessing the sanction, the "importance" of the damage to the economy. The law does not therefore impose on the Council to quantify this damage precisely as a judge of compensation would do. The argument of the company Morel regarding the absence of precise evaluation of overpricing or loss is therefore not relevant. It should also be recalled that the Court of Cassation has accepted that the existence of damage to the economy can be inferred from the harm to competition caused by the practice. For example, in a judgment of January 10, 1995 (SOGEA), the Court of Cassation approved the Paris Court of Appeal for having recalled that "damage to the economy is presumed by law as soon as the existence of an agreement is established."</w:t>
      </w:r>
    </w:p>
    <w:p>
      <w:r>
        <w:t>377. Furthermore, the damage to the economy is assessed for the entirety of the practice and not on a company-by-company basis. In this regard, the Paris Court of Appeal notably ruled in a judgment of September 17, 2008, that "in the presence of prohibited actions combining their effects simultaneously, the applicant is also not entitled to reproach the Council for having assessed the damage to the economy as a whole, in light of the cumulative action of all participants in the practices in question and without identifying the share attributable to each company taken separately." Therefore, the arguments of the companies involved that aim to demonstrate that their respective participation would not be likely to have an impact on the market or would not have been beneficial for them are not relevant at the stage of assessing the importance of the damage to the economy.</w:t>
      </w:r>
    </w:p>
    <w:p>
      <w:r>
        <w:t>378. From a methodological standpoint, beyond the difficulties that are always encountered when an observed price during a cartel period must be compared to a hypothetical competitive price, difficulties inherent to this method, the circumstances of the case make this comparison particularly delicate using "univariate" methods. Indeed, the end of the period covered by the notified grievances (May 2004) coincides with profound changes in the steel sector. Upstream of this sector, the purchase prices of steel by traders, stable during most of the practices, increased significantly starting in December 2003, before decreasing in 2005, and then increasing again in 2006. Downstream, some traders indicated that the demand for steel products had significantly increased starting in 2004. However, as the Competition Council indicated in its decision No. 07-D-26 of July 26, 2007, "to assess the impact of the agreement using a comparison method, only one of the elements of the compared markets should be modified and not several parameters simultaneously."</w:t>
      </w:r>
    </w:p>
    <w:p>
      <w:r>
        <w:t>379. Furthermore, the data collected during the investigation proved to be too aggregated or too incomplete to produce a detailed econometric analysis. Finally, there are uncertainties regarding the variables that would allow for accounting for factors likely to influence prices independently of the practices, such as changes in demand and their impact, which further complicates the analyses. The evaluation methods used in the parties' observations, which aim to measure the damage through a precise quantitative method and not by considering qualitative elements, therefore present significant limitations regarding the reliability of the conclusions that can be drawn from them.</w:t>
      </w:r>
    </w:p>
    <w:p>
      <w:r>
        <w:t>380. Nevertheless, a set of quantitative and qualitative elements leads to the conclusion that the damage to the economy caused by the practices in question is significant.</w:t>
      </w:r>
    </w:p>
    <w:p>
      <w:r>
        <w:t>On the quantitative elements characterizing the importance of the damage to the economy</w:t>
      </w:r>
    </w:p>
    <w:p>
      <w:r>
        <w:t>The arguments regarding the comparison of the evolution of margin rates</w:t>
      </w:r>
    </w:p>
    <w:p>
      <w:r>
        <w:t>381. The investigation compared the margin rates (purchase price – selling price / purchase price) observed among all traders and for almost all products, between two periods: that from 2000 to 2003 – during which the cartel operated and that from 2005 to 2007 – when it had ceased. The report estimated an average decrease of -23% on the five main products, with an average of -34% for beams, the product most closely monitored by the agreement: it concluded that the agreement had been likely to significantly inflate the profits of the companies.</w:t>
      </w:r>
    </w:p>
    <w:p>
      <w:r>
        <w:t>382. The companies Morel, Maisonneuve, KDI and, in session, Descours &amp; Cabaud, note that the comparison of the evolution of margin rates before and after the practices was biased and argue that the observed decrease would be entirely related to the increase in purchase prices during the period. Morel, Maisonneuve, and KDI therefore argue that a relevant comparison can only be made on nominal gross margins and assert that theirs did not change between the two periods, which would be supposed to demonstrate the absence of damage to the economy attributable to the practices.</w:t>
      </w:r>
    </w:p>
    <w:p>
      <w:r>
        <w:t>383. However, while the decrease in margin rates described in the report may indeed partly result from the increase in purchase prices, it should be noted, particularly in light of the data presented by Maisonneuve in the annex to its response brief and in session, that, contrary to what is claimed, the drops in margin rates correspond, at least for some traders and for some products, with decreases in nominal margins. Furthermore, the beginning of the increase in purchase prices dates back to December 2003, while the decrease in margins only occurs starting in May 2004. Finally, purchase prices experience significant decreases at the end of 2005 without the margin rates being restored. The defendants' thesis that an increase in purchase prices mechanically leads to a decrease in the margin rate while the nominal margin remains constant is therefore not consistent with the data they themselves provided.</w:t>
      </w:r>
    </w:p>
    <w:p>
      <w:r>
        <w:t>384. Moreover, the stability, or even slight increase in nominal gross margins between the period of the practices and the one that follows, as alleged and in cases where they are indeed observed, should be compared with the increase in demand as described or approached by some parties through a construction index. In other words, the stagnant nature of demand during the period of practices could have, in the absence of the practices, led to a more marked decrease in prices than that observed, while the relative stability of margins following the practices could be explained by the growth in demand observed during that period. In such a case, all the more plausible since France Négoce Aciers presents this agreement as a defensive agreement in an unfavorable context (§ 335), the damage resulting from it should be analyzed not as a price increase during the period of grievances but as a brake on their decrease.</w:t>
      </w:r>
    </w:p>
    <w:p>
      <w:r>
        <w:t>385. In any case, the certain element of the examination of margin rates is that they remained quite stable for all companies during the period of the agreement, marked by a decrease in volumes sold, while they became more volatile and dispersed during the non-covered period of grievances, which is also the period of a recovery in demand and greater volatility in traders' purchase prices.</w:t>
      </w:r>
    </w:p>
    <w:p>
      <w:r>
        <w:rPr>
          <w:b/>
        </w:rPr>
        <w:t>[Pages 124–126]</w:t>
      </w:r>
    </w:p>
    <w:p>
      <w:r>
        <w:t>L'étude économique présentée par les sociétés du groupe PUM/ Arcelor</w:t>
      </w:r>
    </w:p>
    <w:p>
      <w:r>
        <w:t>386. The companies of the PUM/Arcelor group presented, in response to the report, an economic study that attempts to estimate the effects of the practices in question, on the one hand, by comparing the evolution of margins and margin rates of certain subsidiaries of PUM during and after the practices – a so-called "univariate" comparison – and, on the other hand, by proposing an econometric evaluation of the overpricing practiced during the period of the practices – a "multivariate" regression analysis – which aims for a reasoning of "ceteris paribus," taking into account certain external factors to the practices that could influence prices and the measurement of overpricing.</w:t>
      </w:r>
    </w:p>
    <w:p>
      <w:r>
        <w:t>387. Based on transactions carried out by six subsidiaries of PUM, the univariate comparison method deduces an average estimate of margin differences between 2000 to 2004 and 2005 to 2006, most often between 2% and 7% of the price of the products (except for Berton Sicard), with margin differences varying significantly according to the subsidiaries studied.</w:t>
      </w:r>
    </w:p>
    <w:p>
      <w:r>
        <w:t>388. The econometric estimate, which is supposed to take into account the influence of different variables (such as purchase price, transport costs, volumes purchased per order, a "global" measure of demand, the nature of the clientele, seasonality of sales, etc.) on the prices practiced, leads to similar results in the case of beams (overpricing of 3.6%), higher in the case of merchant rolled products (from 4.6% to 7.3% depending on the chosen purchase price variable), and lower in the case of flat products (from 0.4% to 2.8% depending on the chosen purchase price variable), with estimates of overpricing also differing significantly based on the subsidiaries and the chosen purchase price variable (average monthly purchase prices or average stock cost). Assuming that price increases do not lead to any decrease in quantities, that is to say, assuming a zero price elasticity of demand, the econometric analysis leads to an evaluation of the excess profits caused by the practices of the six subsidiaries of PUM on three of the five products targeted by the grievances between 23.2 and 32.5 million euros depending on the specifications retained.</w:t>
      </w:r>
    </w:p>
    <w:p>
      <w:r>
        <w:t>389. As a preliminary point, the Council notes that the base on which the calculations are made is very limited. Indeed, the study relies solely on data relating to five of the twenty-two companies of the PUM/Arcelor group (Berton Sicard, Chaillous, Mirouze, PMSO, and PUM Paris Normandie) for which grievances have been notified. These results are then extrapolated to a sixth company (Arcelor Profil, by far the most active in beams). For these six companies, the study is limited to three of the five concerned products. Ultimately, only 25% to 30% of the turnover generated by the companies of the PUM/Arcelor group for the concerned products during the period of the grievances is covered by the analysis, these companies representing about 35% to 45% of the total market. Thus, the evaluation of excess profit, between 23.2 and 32.5 million euros, covers only 10% to 14% of the volume of sales concerned by the agreement. By way of illustration, an extrapolation, in order of magnitude, from the reduced base used and the amounts presented to the entire market concerned by the practices would lead, following the method proposed by the company in question, to an evaluation of the excess profit of the agreement between 165 million euros and 325 million euros.</w:t>
      </w:r>
    </w:p>
    <w:p>
      <w:r>
        <w:t>390. However, beyond the base retained to assess the damage and even limiting the latter to the effects of overpricing, this estimate could only be a lower bound of the actual damage because the study proposed by the companies of the PUM/Arcelor group presents methodological limitations that call into question both the proposed results and their order of magnitude as well as the overall robustness of the analysis.</w:t>
      </w:r>
    </w:p>
    <w:p>
      <w:r>
        <w:t>391. Indeed, the proposed estimate of overpricing takes as a reference period the months from January 2000 to December 2004 and from January 2005 to December 2007. It therefore includes the months from May 2004 to December 2004 in the period of the agreement. The analysis thus assumes that the practices would have continued until the end of 2004, contrary to what the documents in the file indicate, which lead to the belief that the end of the agreement coincides with the operations of visits and seizures on May 25, 2004. This choice of period is, moreover, contradictory to the companies' own position of the PUM/Arcelor group, which argues that the practices would not have produced, by inertia, effects beyond May 2004.</w:t>
      </w:r>
    </w:p>
    <w:p>
      <w:r>
        <w:t>392. The choice of this reference period, contradictory with the other documents in the file, has been justified by the economic study which specified that, failing to retain this period, the results of the econometric test would be "counterintuitive." When questioned in the session about the meaning of the terms "counterintuitive," the companies of the PUM/Arcelor group indicated that the estimated overpricing is negative when the period of the agreement considered in the estimates corresponds to that established in the notified grievances. In other words, in this hypothesis, more consistent with the documents in the file, the end of the agreement would have led to a price increase. Therefore, it must be concluded either that the agreement had the effect of reducing prices during the five years during which it is established, which, as suggested by the methodological choices of the authors of the study, seems unlikely and even "counterintuitive" in light of the strategies implemented by the operators, or that, more probably, the variables used in the econometric study prove incapable of conducting the "ceteris paribus" analysis necessary for a credible quantification of the damage caused by the practices.</w:t>
      </w:r>
    </w:p>
    <w:p>
      <w:r>
        <w:t>393. In fact, given the coincidence of the end of the practices and the very significant change in market conditions, the various parameters likely to influence prices must be measured with sufficient accuracy to provide a reliable estimate of the overpricing resulting from the agreement. It is therefore not surprising that the study encountered difficulties that it did not overcome. For example, the study presented by the companies of the PUM/Arcelor group retains the purchase price of products from producers as an explanatory variable for the resale price, which is logical in a trading business, but acknowledges that the estimates of overpricing are very sensitive to the measurement of this purchase price and that the results differ depending on whether the average stock cost or the average monthly purchase price is chosen as the relevant purchase price for steel products. All the more so when the purchase price itself becomes very volatile, it becomes very difficult to infer the evolution of resale prices.</w:t>
      </w:r>
    </w:p>
    <w:p>
      <w:r>
        <w:t>394. The same observation can be made for demand, which the study also retains as an explanatory variable for the evolution of selling prices. The demand indicator used by the companies of the PUM/Arcelor group, namely the Eurostat construction index, thus shows a strong increase from May 2004. However, it is not established that the evolution of construction, which only concerns demand from the building sector, reflects the evolution of the general demand for steel products. The company KDI contradicted this point by stating in the session that demand had remained relatively stable from May 2004 or had even decreased. Its point of view is confirmed by the examination of the overall sales volumes from the figures communicated by the FNA (§ 27).</w:t>
      </w:r>
    </w:p>
    <w:p>
      <w:r>
        <w:t>395. It follows from the above that, given its methodological limitations, the study submitted by the companies of the PUM/Arcelor group is not capable of providing a reliable assessment of the damage to the economy caused by the examined practices.</w:t>
      </w:r>
    </w:p>
    <w:p>
      <w:r>
        <w:t>Les évaluations présentées en séance par la société Descours &amp; Cabaud</w:t>
      </w:r>
    </w:p>
    <w:p>
      <w:r>
        <w:t>396. In the session, the company Descours &amp; Cabaud presented three assessments of the damage to the economy, which it estimates to be overestimates of its value: a comparison of the margin gaps achieved on beams by Descours &amp; Cabaud before and after the end of the practices related to the annual volume of the trading market for all products, an assessment of the average profitability of the steel activity of Descours &amp; Cabaud related to the entire market, and an assessment of the average self-financing capacity of the steel activity of Descours &amp; Cabaud related to the entire market and reduced by depreciation and remuneration of the invested capital. It deduces from this theoretical maximum annual excess profits of 25 million euros in the first two approaches and 12 million euros in the third. When adjusted for the 58 months of the duration of the practices, these amounts would correspond respectively to 121 million and 58 million euros.</w:t>
      </w:r>
    </w:p>
    <w:p>
      <w:r>
        <w:t>397. However, these assessments cannot be considered representative of either a theoretical annual excess profit or its order of magnitude.</w:t>
      </w:r>
    </w:p>
    <w:p>
      <w:r>
        <w:t>398. Regarding the first approach, several inaccuracies in the figures retained contradict the level of excess profit put forward. First, the margin variation of 10 euros per ton, taken as the reference for the calculation, appears to be lower than reality. The table presented by Descours &amp; Cabaud indicates thus for the first half of 2004 (up to June 2004, the period targeted by the grievances ending at the end of May 2004 and the purchase prices having already begun to increase since December 2003) a level of 129 euros per ton. For the second half of 2004, it indicates a level of 108 euros per ton, representing a "significant and immediate decrease" of 21 euros per ton, which Descours &amp; Cabaud presents in the documents submitted in the context of the leniency procedure as proof of its immediate cessation of practices and which it opposes in its reply to Mr. Y...'s statements regarding its behavior. Next, the margin gap is applied to an average annual volume of approximately 2.5 million tons. Nevertheless, this figure does not correspond to those communicated by France Négoce Aciers (§ 27), which do not concern all the products in question but only the five main ones, according to which the distributed volumes would have reached 3.3 million tons in 2001 and the average annual volume would be between 2001 and 2004 of 2.9 million tons per year. By thus correcting the figures presented by Descours &amp; Cabaud, the damage is almost two and a half times greater than that proposed: it reaches, for the 58 months during which the practices lasted, 294 million euros.</w:t>
      </w:r>
    </w:p>
    <w:p>
      <w:r>
        <w:t>399. Furthermore, this approach based on margins faces the same interpretative difficulties as those noted in paragraphs 381 and following, especially since it extrapolates to all products results concerning only beams. It follows from the above that the assessments proposed by the company Descours &amp; Cabaud do not allow for an accurate evaluation of the damage to the economy generated by the practices targeted in the grievances.</w:t>
      </w:r>
    </w:p>
    <w:p>
      <w:r>
        <w:t>400. The second and third approaches presented cannot be considered relevant either, as Descours &amp; Cabaud does not justify the figures put forward, nor the representativeness of its situation compared to that of other traders. Moreover, the significance of the damage to the economy does not equate to the financial profitability of the companies that implemented the targeted practices, and its evaluation cannot, in any case, take into account depreciation, provisions, or the remuneration of the invested capital by these companies.</w:t>
      </w:r>
    </w:p>
    <w:p>
      <w:r>
        <w:rPr>
          <w:b/>
        </w:rPr>
        <w:t>[Pages 127–129]</w:t>
      </w:r>
    </w:p>
    <w:p>
      <w:r>
        <w:t>Les arguments relatifs à l’exploitation de la déclaration de M. Y…</w:t>
      </w:r>
    </w:p>
    <w:p>
      <w:r>
        <w:t>401. The parties also dispute the fact that the report, in estimating the importance of the damage to the economy, partially relied on the statements of Mr. Y..., president of KDI, made during the executive committee meeting of the FNA on March 15, 2005, that is to say, nine months after the first visits of the investigators (reference 23369): "Descours &amp; Cabaud has been making a real dent in the market for several months now and by the indicated prices, a decrease of €40/Ton, has caused a loss of approximately €100 million to the profession to bring in 1 or 1.5 million more to its shareholders."</w:t>
      </w:r>
    </w:p>
    <w:p>
      <w:r>
        <w:t>402. The Council does not intend to regard Mr. Y...'s statement at the executive committee on March 15, 2005, which evidently refers to the pricing aggressiveness of Descours &amp; Cabaud during the period following the visits and seizures and - conversely - to the level of prices practiced during the period of the agreement, as an arithmetic estimate.</w:t>
      </w:r>
    </w:p>
    <w:p>
      <w:r>
        <w:t>403. However, the fact that Mr. Y...'s statements do not result from a scientific calculation does not deprive them of all probative value. Indeed, Mr. Y...'s estimate is contemporaneous with the facts in question by a few months and was delivered in front of his peers: this is not the case for the statements produced a posteriori in the context of the adversarial procedure, which also do not result from rigorous scientific calculations.</w:t>
      </w:r>
    </w:p>
    <w:p>
      <w:r>
        <w:t>404. The Council notes in this regard that the estimates established by the companies of the PUM/Arcelor group and Descours &amp; Cabaud using methods that it does not endorse, result, as previously indicated, in estimates of excess profits of several hundred million euros, consistent with the extrapolation made from Mr. Y...'s intervention. This therefore constitutes an additional element that continues to provide an order of magnitude of the damage to the economy. If the competitive process revived from June 2004 led the traders to return – in less than 10 months – one hundred million euros to client companies in the form of price reductions, a simple multiplication allows for an approximation of what these companies were deprived of during the 58 months of the cartel's operation. Such an order of magnitude is compatible with another rather conservative hypothesis: an artificial price increase of around 5 to 10% during the period from May 1999 to May 2004 – a figure more than moderate given the general observations that economic studies examining cartels of the nature uncovered in this case could draw – reveals, given the cumulative value of sales over the period (approximately €7.25 billion), a levy on client companies between €360 and €720 million.</w:t>
      </w:r>
    </w:p>
    <w:p>
      <w:r>
        <w:t>405. The statements attributed to Mr. Y... thus contribute to demonstrating that the damage to the economy in this case is on the one hand certain and on the other hand significant and, for illustrative purposes, an estimate in hundreds of millions of euros over the entire period, and not in tens of millions of euros as the evaluations communicated by the parties seem to indicate, should be retained.</w:t>
      </w:r>
    </w:p>
    <w:p>
      <w:r>
        <w:t>On the qualitative elements characterizing the importance of the damage to the economy</w:t>
      </w:r>
    </w:p>
    <w:p>
      <w:r>
        <w:t>406. The companies of the PUM/Arcelor group and KDI downplay the damage caused by the practices, on the one hand by arguing that, given certain characteristics of the steel products trading sector, the practices could not have produced effects as significant as those suggested in the report and, on the other hand by highlighting the marginal economic role played by the trading market in the steel products sector. However, the scope of these arguments remains limited. On the contrary, certain intrinsic characteristics of the market and the practices reinforce the importance of the damage to the economy, which is linked to the size of the market, the price diffusion effect on the downstream market, and the profound and lasting disruption of the competitive process in the concerned sector.</w:t>
      </w:r>
    </w:p>
    <w:p>
      <w:r>
        <w:t>The characteristics of the steel products trading</w:t>
      </w:r>
    </w:p>
    <w:p>
      <w:r>
        <w:t>407. The companies of the PUM/Arcelor group believe that two characteristics of the steel products trading sector limit the damage to the economy caused by the practices: the pricing autonomy of each of the PUM subsidiaries, which would render a systematic monitoring of price lists implausible, and the high variability of purchase prices and local demand, which would prevent the establishment of common price lists for all operators. The company KDI argues that the trading sector would be "extremely dependent on the upstream market," due to – this is the only explanation given – the "concentration of production actors" and that there are several substitutes for steel products (concrete, aluminum, PVC, wood, etc.) that could be used by client companies of steel products traders.</w:t>
      </w:r>
    </w:p>
    <w:p>
      <w:r>
        <w:t>408. However, these arguments are not relevant for several reasons. Firstly, the heterogeneity of local markets and the randomness of demand, arguments acceptable only for the smallest clients – the largest being treated at least in part at the national level – do not prevent the targeted practices from producing their effects, as they were precisely structured to take into account the characteristics of these markets. The organization of the practices thus allowed for price coordination despite the local dimension of the activity, its heterogeneity, the existence of over-the-counter transactions, and the uncertainty surrounding both the evolution of purchase prices and that of demand. For this, meetings were held at a high frequency, price lists were regularly updated, and the consideration of changes in purchase prices – which were moreover significantly more limited during the period covered by the practices than during the subsequent period – was ensured by the transmission of national provisions and their transposition at the regional or even departmental level.</w:t>
      </w:r>
    </w:p>
    <w:p>
      <w:r>
        <w:t>409. Thus, the practices allowed for the adaptation of prices and client rankings to the specificities of local markets. Furthermore, pricing freedom was limited by a monitoring mechanism deployed at the regional or even sub-regional level. It has been seen that regional meetings were an opportunity to monitor the application of the arrangement in the responses made to consultations, that the coordination relied on permanent and formalized monitoring and sanctioning mechanisms, characterized in particular by the designation of central points and leaders responsible for monitoring the evolution of cases and deciding, if necessary, on corrective measures. Through these mechanisms, the parties involved thus had the necessary means for significant and precise monitoring of price recommendations, despite the diffuse nature of the distribution structures of steel products trading and the pricing autonomy of the subsidiaries.</w:t>
      </w:r>
    </w:p>
    <w:p>
      <w:r>
        <w:t>410. Secondly, KDI's arguments highlighting the "dependence" of the downstream sector on the upstream sector, which are not precisely substantiated and fail to note the high concentration that also characterizes the trading sector, are not of a nature to justify a mitigation of the sanction, especially since the practices primarily victimized client companies, and not the producers on whom, according to the company, the traders depended.</w:t>
      </w:r>
    </w:p>
    <w:p>
      <w:r>
        <w:t>411. The existence of substitute products to those targeted by the practices is not demonstrated by the company in question. In the case of the use of the steel products targeted by the practices in the construction sector, the European Commission has repeatedly emphasized that the different categories of steel products concerned by the practices are generally not substitutable with the raw materials mentioned (wood, PVC, aluminum, etc.) by KDI in its written contribution. Thus, in the case of steel products intended for use in the construction sector, the European Commission's decision regarding the concentration between Usinor, Arbed, and Aceralia (case M.2382) highlights the lack of substitutability between steel products and other materials (aluminum, plastics, composite materials). Moreover, the very thesis of a low price elasticity of demand would contradict that of the existence of substitute products.</w:t>
      </w:r>
    </w:p>
    <w:p>
      <w:r>
        <w:t>The size of the market</w:t>
      </w:r>
    </w:p>
    <w:p>
      <w:r>
        <w:t>412. The market concerned is an intermediate market of smaller size than the upstream market of steel production and sales. Per year, the total value of sales in this market is, however, very significant. According to the various figures in the file, it ranges from €1.3 to €2 billion depending on the years concerned, with an average around €1.5 billion. The practices concern the entire national territory, regardless of the local nature of the activity of certain traders, all regions, and all types of clientele.</w:t>
      </w:r>
    </w:p>
    <w:p>
      <w:r>
        <w:t>The diffusion effect on downstream markets</w:t>
      </w:r>
    </w:p>
    <w:p>
      <w:r>
        <w:t>413. Steel is an intermediate good used by companies of all sizes in many industries – construction, public works, shipbuilding, etc. – as well as by artisans such as locksmiths, etc. In such cases, the upstream overprice is at least partially passed on by downstream operators, thus increasing the final price borne by the consumer. KDI argues that trading only accounts for a marginal share of total steel sales in France and represents only a minimal share of the final selling price of products containing steel.</w:t>
      </w:r>
    </w:p>
    <w:p>
      <w:r>
        <w:t>414. But, first of all, the damage is primarily assessed in relation to the market and the turnover that operators achieve there. In this case, the trading of steel products constitutes a distinct market from that of the wholesale sale of these same products, as indicated in paragraph 200. In this market, the parties to the agreement benefit from a cumulative market share of 70 to 90%. It should also be noted that, for certain categories of targeted products, such as beams and merchant bars, the share of trading in the total sales turnover is high, reaching up to 90%; it is, on the other hand, lower in the case of flat products (10 to 15%) and rebar (40%).</w:t>
      </w:r>
    </w:p>
    <w:p>
      <w:r>
        <w:t>415. Then and above all, the level of gross margins and margin rates achieved by the steel trading sector attests to the effective role it plays in the final price of steel sold by traders, who are for certain client companies – and notably SMEs – an essential source of supply.</w:t>
      </w:r>
    </w:p>
    <w:p>
      <w:r>
        <w:t>The profound and lasting disruption of the competitive process</w:t>
      </w:r>
    </w:p>
    <w:p>
      <w:r>
        <w:t>416. The agreement not only annihilated competition among its members but also fought against potential competition from new entrants. The practices indeed had the stated objective of discouraging the entry of external actors, notably through coercive measures. They were thus able to generate artificial barriers to entry, by allowing, for example, through "follow-up rights" or arrangements, deviations from the agreements of the arrangement that could go as far as sales at cost price.</w:t>
      </w:r>
    </w:p>
    <w:p>
      <w:r>
        <w:rPr>
          <w:b/>
        </w:rPr>
        <w:t>[Pages 130–132]</w:t>
      </w:r>
    </w:p>
    <w:p>
      <w:r>
        <w:t>notably in the presence of a potential entry likely to create downward pressure on prices.</w:t>
      </w:r>
    </w:p>
    <w:p>
      <w:r>
        <w:t>417. This profound disruption of competition, both existing and potential, lasted 58 months, which is a sufficiently long period to affect the structure of the market.</w:t>
      </w:r>
    </w:p>
    <w:p>
      <w:r>
        <w:t>418. All these elements taken together allow us to conclude that the damage to the economy in the present case is both certain and significant.</w:t>
      </w:r>
    </w:p>
    <w:p>
      <w:r>
        <w:t>e) On the repetition</w:t>
      </w:r>
    </w:p>
    <w:p>
      <w:r>
        <w:t>419. In its decision No. 07-D-33 of October 15, 2007, the Council indicated that "the repetition of practices has long been considered by the Competition Council as an aggravating circumstance justifying an increase in the sanction, particularly with regard to the deterrent objective pursued by its sanction policy." As indicated in paragraph 299, Article L. 464-2 of the Commercial Code in its wording resulting from the NRE law of 2001, which made it an explicit criterion for determining the amount of sanctions, is applicable in the present case for practices initiated in 1999 but which continued beyond 2001. The sui generis regime of repetition under French competition law requires, to assess its existence, that four conditions be met. It is necessary that:</w:t>
      </w:r>
    </w:p>
    <w:p>
      <w:r>
        <w:t>• first, a previous infringement of competition law has been established before the commission of the new practices;</w:t>
      </w:r>
    </w:p>
    <w:p>
      <w:r>
        <w:t>• second, that the latter are identical or similar, by their object or effect, to those that were the subject of the previous finding of infringement;</w:t>
      </w:r>
    </w:p>
    <w:p>
      <w:r>
        <w:t>• third, that the latter has become definitive by the date on which the competition authority rules on the new practices;</w:t>
      </w:r>
    </w:p>
    <w:p>
      <w:r>
        <w:t>• fourth, that the time elapsed between the previous finding of infringement and the commission of the new practices is taken into account to call for a response proportional to the company's propensity to disregard competition rules.</w:t>
      </w:r>
    </w:p>
    <w:p>
      <w:r>
        <w:t>420. The investigation in the present case was based on three elements to propose that repetition be retained:</w:t>
      </w:r>
    </w:p>
    <w:p>
      <w:r>
        <w:t>• a ministerial decision of May 31, 1978, fully incorporating an opinion of the Competition Commission of January 12, 1978, which found an agreement among traders in the steel tube trading market, within the framework of the SNCTR (which later became the SNCPS and then the FNA), consisting, during national or regional meetings and with the stated aim of improving the profitability of steel tube trading and mitigating the effects of competition on price levels, in the publication of indicative price tariffs issued by the union and in the concerted determination of maximum discount rates to be granted to different categories of customers as well as to major clients, accompanied by controls. Among the recipients of the ministerial decision were the SNCTR, the company Descours &amp; Cabaud, the company Nozal, the company Hardy-Tortuaux, and the company Lapauze;</w:t>
      </w:r>
    </w:p>
    <w:p>
      <w:r>
        <w:t>• a decision of the European Commission of February 16, 1994, which found, notably in the French market, the existence of agreements and concerted practices between 1988 and 1991 aimed at fixing prices, granting quotas, and exchanging information on a large scale in the Community market for beams. These practices were organized around meetings within the European union Eurofer, notably during "beam commissions," establishing monitoring of orders and deliveries. They concerned both producers, distributors, and several geographical markets including the French market. Among the recipients of the decision were Unimétal, sanctioned for its own behavior and that of its parent company, Usinor Sacilor, and Cockerill SA, sanctioned for its own behavior and that of one of its distribution subsidiaries, Steelinter SA. Arbed SA was also included, regarding which the decision was annulled by the General Court for procedural reasons and then resumed on November 8, 2006, which means that the first condition outlined in paragraph 419 is lacking;</w:t>
      </w:r>
    </w:p>
    <w:p>
      <w:r>
        <w:t>• a decision of the European Commission of January 21, 1998, which found the existence of anti-competitive practices consisting, between December 1993 and January 1998, in the concerted application of reference values for the calculation of the alloy extra on the market for flat stainless steel products. Among the companies sanctioned was Ugine SA.</w:t>
      </w:r>
    </w:p>
    <w:p>
      <w:r>
        <w:t>On the existence of a previous finding of infringement</w:t>
      </w:r>
    </w:p>
    <w:p>
      <w:r>
        <w:t>421. The companies of the PUM/Arcelor group argued, regarding the ministerial decision of 1978, that it could not be taken into account since it indicated that the infringements noted were largely covered by the statute of limitations and that the recommendation for legal proceedings was therefore not possible.</w:t>
      </w:r>
    </w:p>
    <w:p>
      <w:r>
        <w:t>422. However, in this procedure, the Competition Commission found manifest and deliberate price agreements. Following this opinion, the minister noted "the seriousness of the practices in question," ordered the interested parties "to immediately cease the concerted practices condemned in this opinion as well as any other anti-competitive practice prohibited by Ordinance No. 45-1483 of June 30, 1945 [that they may have engaged in]" and referred to the opinion of the Competition Commission regarding the following injunction: "to expressly renounce in the future any price agreements such as those that have been found in the past and to notify in writing and without delay this commitment to all its members; it should also be invited to inform traders, whether members or not, by publication in their professional journals, that they will no longer communicate to anyone either the list of their clients or the orders received, the tonnages delivered, and the conditions granted, as long as this information is individualized for each client."</w:t>
      </w:r>
    </w:p>
    <w:p>
      <w:r>
        <w:t>423. The least that can be said when comparing this ministerial decision, which did not impose financial sanctions or initiate criminal proceedings, with the findings made in the first part of this decision is to note the lack of deterrent effect of the injunctions pronounced. They did not prevent the companies from reconstructing, on a large scale and covertly, the previously condemned arrangement.</w:t>
      </w:r>
    </w:p>
    <w:p>
      <w:r>
        <w:t>424. In any case, the fact that the finding of infringement was not accompanied by financial sanctions or the referral to the criminal judge based on Article 52 of the 1945 ordinance does not prevent it from being taken into account for the purpose of repetition.</w:t>
      </w:r>
    </w:p>
    <w:p>
      <w:r>
        <w:t>On the definitive nature, as of the date of this decision, of the finding of infringement</w:t>
      </w:r>
    </w:p>
    <w:p>
      <w:r>
        <w:t>425. The decisions concerned have become definitive:</w:t>
      </w:r>
    </w:p>
    <w:p>
      <w:r>
        <w:t>• the ministerial decision of May 31, 1978, was not subject to appeal;</w:t>
      </w:r>
    </w:p>
    <w:p>
      <w:r>
        <w:t>• the decision of the European Commission of February 16, 1994, has become definitive regarding the French market and companies other than Arbed SA;</w:t>
      </w:r>
    </w:p>
    <w:p>
      <w:r>
        <w:t>• the decision of the European Commission of January 21, 1998, was not appealed by Ugine SA.</w:t>
      </w:r>
    </w:p>
    <w:p>
      <w:r>
        <w:t>426. This point is not contested by the parties.</w:t>
      </w:r>
    </w:p>
    <w:p>
      <w:r>
        <w:t>On the identity or similarity of practices</w:t>
      </w:r>
    </w:p>
    <w:p>
      <w:r>
        <w:t>427. Repetition aims to apprehend cases in which a company previously sanctioned for a particular type of behavior again implements identical or similar practices. For them to be taken into account, the practices may be identical or similar by their same anti-competitive object, a criterion that essentially refers to the legal basis used to qualify them, but they may also be identical or similar by their same anti-competitive effect, a criterion that is more attached to the purpose of the pursued behavior: collusive practices or unilateral behaviors may thus seek the same exclusion effect against competitors in a market, without necessarily falling under the same prohibition regime.</w:t>
      </w:r>
    </w:p>
    <w:p>
      <w:r>
        <w:t>428. In this case, it should be noted the identical object of the practices found in the present case and those sanctioned by the decisions cited in paragraph 420. They all concern horizontal agreements between competitors aimed at controlling prices and/or allocating markets. For the procedures that led to the decisions of 1978 and 1994, the proximity is even stronger as the products are the same (tubes in one case and beams in the other) and the detail of the practice is almost identical: union meetings taking the form of product meetings, with the establishment of client rankings in one case and a system of monitoring, control, and market allocation in the other.</w:t>
      </w:r>
    </w:p>
    <w:p>
      <w:r>
        <w:t>429. Two categories of arguments have been raised, relating to the applicable standards on the one hand and to the identity of the companies involved on the other.</w:t>
      </w:r>
    </w:p>
    <w:p>
      <w:r>
        <w:t>On the identity of the applicable standards</w:t>
      </w:r>
    </w:p>
    <w:p>
      <w:r>
        <w:t>430. The companies of the PUM/Arcelor group argue that the decisions of the European Commission of 1994 and 1998 were taken on the basis of Article 65§1 of the ECSC Treaty and not on that of Article 81 of the EC Treaty, so the criterion of repetition could not be applied.</w:t>
      </w:r>
    </w:p>
    <w:p>
      <w:r>
        <w:t>431. However, the fact that the prohibition was based on the provisions of Article 65 of the ECSC Treaty, applicable to the coal and steel sector while being drafted in terms similar to those of Article 81 of the EC Treaty in order to apprehend the same behaviors, that is to say, infringements of Community competition law, cannot alone prevent the consideration of repetition. It is indeed sufficient to note that the first finding of infringement targeted practices identical or similar, by their object or effect, to those found today.</w:t>
      </w:r>
    </w:p>
    <w:p>
      <w:r>
        <w:rPr>
          <w:b/>
        </w:rPr>
        <w:t>[Pages 133–135]</w:t>
      </w:r>
    </w:p>
    <w:p>
      <w:r>
        <w:t>acteur sur le marché des poutrelles) et a donc pu influencer le comportement de ce dernier.</w:t>
      </w:r>
    </w:p>
    <w:p>
      <w:r>
        <w:t>453. En conséquence, le groupe PUM/ Arcelor, en tant que leader sur le marché, a un rôle d'exemplarité qui ne peut être ignoré. Son comportement peut avoir un impact significatif sur les pratiques des autres acteurs du marché, qu'ils soient grands ou petits.</w:t>
      </w:r>
    </w:p>
    <w:p>
      <w:r>
        <w:t>454. Il est donc légitime de considérer que le comportement du groupe PUM/ Arcelor, en tant que leader de marché, doit être pris en compte dans l'évaluation de la gravité des infractions et dans la détermination des sanctions.</w:t>
      </w:r>
    </w:p>
    <w:p>
      <w:r>
        <w:t>455. En conclusion, la situation individuelle des entreprises, leur autonomie, et l'effet d'exemplarité de leur comportement doivent être soigneusement analysés pour établir une réponse proportionnée aux infractions constatées.</w:t>
      </w:r>
    </w:p>
    <w:p>
      <w:r>
        <w:rPr>
          <w:b/>
        </w:rPr>
        <w:t>[Pages 136–138]</w:t>
      </w:r>
    </w:p>
    <w:p>
      <w:r>
        <w:t>concurrent of PUM/Arcelor). He was one of the main and most frequent participants in the meetings organized by the FNA with the producers.</w:t>
      </w:r>
    </w:p>
    <w:p>
      <w:r>
        <w:t>453. The companies of the PUM/Arcelor group thus occupied a unique and essential position. The unfortunate example represented by their behavior and its guiding effect on the competitive level of the market must therefore be taken into account in the sanction incurred.</w:t>
      </w:r>
    </w:p>
    <w:p>
      <w:r>
        <w:t>On the situation of smaller companies in the market</w:t>
      </w:r>
    </w:p>
    <w:p>
      <w:r>
        <w:t>454. The companies Morel, Maisonneuve, Clisson Métal, Liametho, Ferren Fers, and CODIP have emphasized their insignificant presence in the market at the national level and their total absence from certain markets. Clisson Métal estimates its market share at 0.25% for beams, 0.9% for rolled products, 0.4% for flats, and 1.9% for tubes; Liametho at 0.34% for beams, 0.48% for rolled products, 0.23% for flats, and 0.47% for tubes; Morel between 5.9% and 7.4% for beams, between 1.1% and 1.2% for rolled products, between 0.4% and 1.4% for flats, and less than 0.1% for tubes. Maisonneuve estimates that it represents 5% of the national market.</w:t>
      </w:r>
    </w:p>
    <w:p>
      <w:r>
        <w:t>455. The figures in the file indicate a significant imbalance in the market, which is largely dominated by the three major trading groups: these latter represent between 60 and 80% of the volumes distributed by the members of the FNA. Furthermore, they are the only ones present throughout the French territory, while independents are only active in one (CODIP and Ferren Fers, for example) to four regions (Maisonneuve and Morel, for example), sometimes with very low market shares on certain products.</w:t>
      </w:r>
    </w:p>
    <w:p>
      <w:r>
        <w:t>456. The respective importance of each company in the market, approached by the order of magnitude of its turnover and its market share, particularly in volume, on the various products will be taken into account in the calculation of the sanction, which will also consider the role of control or facilitation of the agreement that some of these companies exercised in certain regional markets.</w:t>
      </w:r>
    </w:p>
    <w:p>
      <w:r>
        <w:t>On the absence of prior infringement</w:t>
      </w:r>
    </w:p>
    <w:p>
      <w:r>
        <w:t>457. Several companies have emphasized in their observations that they had never previously been found guilty of infringements of competition rules.</w:t>
      </w:r>
    </w:p>
    <w:p>
      <w:r>
        <w:t>458. However, while the Council must take into account the recurrence of anti-competitive practices as aggravating criteria for the sanction (see decision No. 07-D-33 of October 15, 2007, concerning practices implemented by France Télécom in the high-speed Internet access sector), the absence of prior infringement constitutes normal behavior that the competition authority does not have to regard as a mitigating circumstance (see in this sense the judgments of the ECJ of December 17, 1991, Enichem Anic/Commission and of May 14, 1998, Mayr-Melnhof Kartongesellschaft).</w:t>
      </w:r>
    </w:p>
    <w:p>
      <w:r>
        <w:t>459. It follows that these arguments are not likely to influence the amount of the sanctions incurred downward.</w:t>
      </w:r>
    </w:p>
    <w:p>
      <w:r>
        <w:t>On the absence of economic or financial benefit derived from the practice</w:t>
      </w:r>
    </w:p>
    <w:p>
      <w:r>
        <w:t>460. The companies Maisonneuve, Clisson Métal, Liametho, and CODIP emphasize the absence of benefit they derived from the practices, either because they claimed these were contrary to their interests, or because their commercial or financial situation had not changed after the cessation of the agreement.</w:t>
      </w:r>
    </w:p>
    <w:p>
      <w:r>
        <w:t>461. These arguments have already been addressed in paragraphs 287 and following. It should also be recalled the jurisprudence of the European Commission according to which: “(...) The fact that a company incurs losses does not mean that it did not find an advantage in participating in an infringement of competition rules, given that said advantage may consist of a reduction in its losses (...). (...) The Commission takes into account, as an aggravating circumstance, the gains made from the infringement, when necessary for the amount of the fine to exceed that of the illicit gains. However, it cannot be inferred that the absence of such gains should conversely be considered a mitigating circumstance” (see, the Commission decision of December 5, 2001, case IV/37.614/F3, PO/Interbrew and Alken-Maes).</w:t>
      </w:r>
    </w:p>
    <w:p>
      <w:r>
        <w:t>462. It follows that these arguments are not likely to influence the amount of the sanctions incurred downward.</w:t>
      </w:r>
    </w:p>
    <w:p>
      <w:r>
        <w:t>On the attribution to companies</w:t>
      </w:r>
    </w:p>
    <w:p>
      <w:r>
        <w:t>463. The Competition Council frequently recalls that when anti-competitive practices are implemented by a subsidiary company, these practices are attributable to it as long as it has decision-making autonomy from its parent company. Otherwise, the parent company may be held responsible for the anti-competitive behavior of its subsidiary.</w:t>
      </w:r>
    </w:p>
    <w:p>
      <w:r>
        <w:t>464. In the case of transformations that occurred in the operational structure of companies that participated in anti-competitive practices, the Competition Council, following the solutions of Community jurisprudence that have been adopted by national supervisory courts, has established the applicable principles regarding attribution:</w:t>
        <w:br/>
        <w:t>• as long as the legal entity responsible for the operation of the company that implemented the practices legally exists, it must assume responsibility for these practices, even if the material and human elements that contributed to the commission of the practice are transferred to a third party;</w:t>
        <w:br/>
        <w:t>• when the legal entity responsible for the operation of the company has legally disappeared, the practices must be attributed to the legal entity to which the company has been legally transferred, that is to say, to the legal entity that has received the rights and obligations of the entity that committed the practices;</w:t>
        <w:br/>
        <w:t>• and if no other person has received the transfer of its rights and obligations, it is the company that ensures, in fact, the economic and functional continuity that must answer for the behavior.</w:t>
      </w:r>
    </w:p>
    <w:p>
      <w:r>
        <w:t>465. In the present case, the practices implemented by PUM Service Acier, as well as those committed by its subsidiaries Arcelor Négoce Distribution, PUM Paris Normandie, D'Huart, which became Arcelor Profil after merging with ProfilArbed Distribution France (which absorbed Champion Profil), Mirouze Novacier, Chaillous, SLPM, PMSO, Berton Sicard, Lille Aciers, Lopez, Guille, Fermatec, Prometo, Savoie Metal, CML, CIMA, SIME, Guillot, and Baechler, must, given the absence of autonomy of the latter, be attributed to PUM Service Acier.</w:t>
      </w:r>
    </w:p>
    <w:p>
      <w:r>
        <w:t>466. The long products activity of the company Etablissements Champion (Champion Profil) was transferred to Profil Arbed Distribution France (PADF) in 1997. This company PADF participated in the complex and continuous practice before its entry into the Arcelor group, and then, after the creation of Arcelor, was integrated by absorption into Arcelor Profil. The company PADF was dissolved in 2003, and therefore the practices committed by PADF before its entry into the Arcelor group must be attributed to Arcelor Profil. Similarly, the company Métal Pyrénées participated in the complex and continuous practice before its absorption by PMSO. PMSO became AMD Sud/Ouest in 2007, and therefore the practices implemented by Métal Pyrénées before its entry into the Arcelor group must be attributed to the latter.</w:t>
      </w:r>
    </w:p>
    <w:p>
      <w:r>
        <w:t>467. The practices implemented by Descours &amp; Cabaud SA, as well as those implemented by its subsidiaries Descours &amp; Cabaud Ile de France, Descours &amp; Cabaud Normandie, Descours &amp; Cabaud PACA, Descours &amp; Cabaud Rhône Alpes Auvergne, Descours &amp; Cabaud Savoie, Dock Généraux/Dock Industries Services/David, Beauplet, Martin Rondeau, Lecoufle, Bernard Pagès, Soferac, VAMA/Comptoir Métallurgique Vendéen, Baudoux, Prevot Smeta, Baures, Bossu Cuvelier, Beaurain, Mailland, CACC, AGDG, CMB, CMF, SMG, Languille, Cattiaux Rochettes, Burdin Bossert, Epac Expansion (SMEPAC), Servet Duchemin/Commaille, Maringue Sagetat, Guermont Weber, and Schmerber must, given the absence of autonomy of the latter, be attributed to Descours &amp; Cabaud SA.</w:t>
      </w:r>
    </w:p>
    <w:p>
      <w:r>
        <w:t>468. The practices implemented by Etablissements Marc Morel et Fils, as well as those implemented by its subsidiary Duferco Morel Produits Plats, must, given the absence of autonomy of the latter, be attributed to Etablissements Marc Morel et Fils.</w:t>
      </w:r>
    </w:p>
    <w:p>
      <w:r>
        <w:t>On the attribution of anti-competitive practices to a union</w:t>
      </w:r>
    </w:p>
    <w:p>
      <w:r>
        <w:t>469. The FFDM argues that the simultaneous sanction of a union and its members would be contrary to the principle of non bis in idem and would amount to punishing the same facts twice. It argues that the responsibility of the union, as the agent of its members, is subsidiary and can only be held for facts not attributable to its members. It adds that a sanction imposed on a union would also penalize small traders, while the agreement mainly originates from large groups, and the current members of the FFDM who were not part of the FNA.</w:t>
      </w:r>
    </w:p>
    <w:p>
      <w:r>
        <w:t>470. However, in general, and as the Council recalled in its decision No. 06-D-03 of March 9, 2006, the rule of non bis in idem cannot be validly invoked to escape situations in which two distinct legal entities are prosecuted for participating in the same prohibited practices. According to consistent jurisprudence, professional unions representing companies engaged in economic activity in a market can be attributed anti-competitive collusion practices as long as it is demonstrated that they adhered to them. The Council thus considered, in its decision No. 04-D-49 concerning anti-competitive practices in the bovine artificial insemination sector, that “UNCEIA, in its capacity as a union of artificial insemination cooperatives and representative professional organization, played an important role in the organization and implementation of the practices sanctioned by this decision, whereas its specific mission of assistance and legal advice to the accredited centers should, on the contrary, have prompted it to warn them against the manifestly anti-competitive nature of their behavior towards independent veterinarians.”</w:t>
      </w:r>
    </w:p>
    <w:p>
      <w:r>
        <w:t>471. The same applies in this case, given the uncontested adherence of the union to the anti-competitive practice that is the subject of the notified grievance, as outlined in paragraph 374.</w:t>
      </w:r>
    </w:p>
    <w:p>
      <w:r>
        <w:rPr>
          <w:b/>
        </w:rPr>
        <w:t>[Pages 139–141]</w:t>
      </w:r>
    </w:p>
    <w:p>
      <w:r>
        <w:t>On the financial situation of the companies involved</w:t>
      </w:r>
    </w:p>
    <w:p>
      <w:r>
        <w:t>472. Below are the total revenues and results for the year 2007 as presented in the financial statements of the companies to which grievances have been notified, as well as the resources of the FNA (amount of contributions for the year 2007):</w:t>
      </w:r>
    </w:p>
    <w:p>
      <w:r>
        <w:t>Company Revenue in euros Result in euros</w:t>
        <w:br/>
        <w:t>PUM Service Acier¤* **16,928,000 **36,137,000</w:t>
        <w:br/>
        <w:t>Arcelor Profil¤ 305,577,000 2,068,000</w:t>
        <w:br/>
        <w:t>AMD Sud Ouest¤ 122,474,000 369,000</w:t>
        <w:br/>
        <w:t>KDI¤ 980,972,623 15,868,762</w:t>
        <w:br/>
        <w:t>Descours &amp; Cabaud SA¤* 2,635,746 38,501,422</w:t>
        <w:br/>
        <w:t>Etablissements Marc Morel &amp; Fils¤* 55,192,839 250,266</w:t>
        <w:br/>
        <w:t>Maisonneuve 121,106,374 3,115,086</w:t>
        <w:br/>
        <w:t>Liametho 15,620,230 1,221,779</w:t>
        <w:br/>
        <w:t>SA Clisson Métal 30,180,881 565,568</w:t>
        <w:br/>
        <w:t>CODIP*** 21,109,000 1,233,000</w:t>
        <w:br/>
        <w:t>Ferren Fers 7,874,626 556,617</w:t>
        <w:br/>
        <w:t>FNA 372,500 /</w:t>
      </w:r>
    </w:p>
    <w:p>
      <w:r>
        <w:t>¤ Subsidiary of a larger group</w:t>
        <w:br/>
        <w:t>* Company holding shares in other companies of the group</w:t>
        <w:br/>
        <w:t>** 2007 accounts not filed, figures provided by PUM Service Acier</w:t>
        <w:br/>
        <w:t>*** Fiscal year ended June 30, 2008</w:t>
      </w:r>
    </w:p>
    <w:p>
      <w:r>
        <w:t>473. Regarding the companies belonging to a group for which the group's revenue exceeds the figures indicated:</w:t>
        <w:br/>
        <w:t>• PUM is the parent company of the other French steel trading companies in the group. The consolidated French revenue of the companies within the scope of PUM in 2006 amounted to 1.068 billion euros, of which 916 million was from steel products. These companies, including Arcelor Profil and AMD Sud Ouest, are also part of the global steel group ArcelorMittal, whose revenue for 2007 amounted to 76.77 billion euros;</w:t>
        <w:br/>
        <w:t>• KDI is the subsidiary of the world's largest independent steel distributor, Klöckner, whose revenue amounted to 6.3 billion euros in 2007;</w:t>
        <w:br/>
        <w:t>• Descours &amp; Cabaud is the parent company of the other companies in the group, including those active in steel trading. The consolidated French revenue of the companies within the scope of Descours &amp; Cabaud in 2006 amounted to 2.55 billion euros, of which 339 million was from steel products. The group also operates outside France. Its total global revenue for 2007 amounted to 3.2 billion euros;</w:t>
        <w:br/>
        <w:t>• Etablissements Marc Morel et Fils is the parent company of Duferco Morel Produits Plats, whose revenue for 2007 amounted to 19.6 million euros. It is a subsidiary of a steel manufacturer and trader, Duferco, which achieved global revenue of 6.7 billion euros in 2007.</w:t>
      </w:r>
    </w:p>
    <w:p>
      <w:r>
        <w:t>474. The company Liametho, on the other hand, indicated that its result for 2007 was falsely inflated as it includes a reversal of provisions from 2004 and that its amount should normally have been half as high.</w:t>
      </w:r>
    </w:p>
    <w:p>
      <w:r>
        <w:t>475. Several companies emphasized that their revenue also included other products not related to the practices in question and that the relevant figure to use for determining sanctions was solely that of the steel activity.</w:t>
      </w:r>
    </w:p>
    <w:p>
      <w:r>
        <w:t>476. The company KDI notes that revenue does not necessarily reflect a company's contributory capacity. It argues that its trading activity consists of buying for resale without transformation of products, that its profit consists solely of the margin minus marketing costs, and that its situation is therefore close to that of agents. It points out that its gross margin on standard steels represents only 15% of the revenue generated from these products and 8% of total revenue, that there is a significant disproportion between its revenue and net results, and that its profitability is low (1.6%) and below the French average (4%).</w:t>
      </w:r>
    </w:p>
    <w:p>
      <w:r>
        <w:t>477. Other companies noted, particularly in the session, the limited share that the profitability of the steel activity could have, relative to their total revenue.</w:t>
      </w:r>
    </w:p>
    <w:p>
      <w:r>
        <w:t>478. However, the Competition Council takes into account the financial situation of companies in order to assess their contributory capacity as well as, more generally, their size and the level from which the fine will prove to be deterrent. The figures used in this regard are generally revenue and results. If applicable, it is also common to consider whether a company is a subsidiary of a larger group, whether it is the parent company of other subsidiaries, or whether it has multiple activities. For this purpose, the intrinsic profitability of the concerned activity is not relevant in itself when a company's resources are not limited to this single activity.</w:t>
      </w:r>
    </w:p>
    <w:p>
      <w:r>
        <w:t>479. Nevertheless, the Council's analysis also seeks to assess the amount of the company's activity influenced by the practices in question. In this context, taking into account the value of sales of the concerned products is, as stated in paragraph 322, a useful indicator that the Council practically integrates into the determination of the sanction.</w:t>
      </w:r>
    </w:p>
    <w:p>
      <w:r>
        <w:t>480. On the other hand, and in any case, even in the alleged absence of any added value from the profession of steel product traders, the situation of the companies involved, which purchase stock that they own for resale while choosing the resale price, is different, which KDI acknowledges, from that of agents who would retain only a commission from their sale. Limiting oneself to the retained margin would therefore make no sense either for assessing the contributory capacity of the companies involved or for evaluating the reality of the affected market.</w:t>
      </w:r>
    </w:p>
    <w:p>
      <w:r>
        <w:t>On the economic context at the date of the decision</w:t>
      </w:r>
    </w:p>
    <w:p>
      <w:r>
        <w:t>481. Several companies argued in the session that, given the global economic crisis that emerged in the second half of 2008 and the slowdown in activity it could create, a sanction too severe against them could put them in a critical financial situation.</w:t>
      </w:r>
    </w:p>
    <w:p>
      <w:r>
        <w:t>482. The company KDI specifically indicated that its shareholder would not recapitalize the company if a sanction were to seriously impact its profits.</w:t>
      </w:r>
    </w:p>
    <w:p>
      <w:r>
        <w:t>483. The decision-making practice of the authorities and the case law of the controlling jurisdictions, both national and Community, only accept this kind of argument in the presence of "an exceptional structural or cyclical situation" (GC, October 25, 2005, Danone, case T-38/02, paragraph 414) to reduce the sanctions incurred. Otherwise, this would lead to granting an unjustified competitive advantage to companies that, by defending themselves from competition through adherence to a cartel, would be the least well adapted to market conditions. It would also disregard the effect of the agreement which, through the artificial price increase pursued over several years, may also have contributed to degrading the economic situation of numerous client companies – particularly SMEs in construction and public works, locksmithing, or boiler-making – often more exposed to the crisis than the cartel perpetrators.</w:t>
      </w:r>
    </w:p>
    <w:p>
      <w:r>
        <w:t>484. The particularity of the economic context can be assessed both at the sector level and for a specific company. However, in both cases, the exceptional nature of the situation must be demonstrated.</w:t>
      </w:r>
    </w:p>
    <w:p>
      <w:r>
        <w:t>485. In this case, at the sector level, no company has put forward an argument demonstrating that the steel trading sector has particularly suffered from the current economic crisis. On the contrary, the elements in the file show that profitability since 2004 has been significant, that it increased at the beginning of 2008, and that, even if the trend has recently reversed and activity has slowed, the situation of the sector is not such that it falls within the forecasts described in paragraph 483.</w:t>
      </w:r>
    </w:p>
    <w:p>
      <w:r>
        <w:t>486. Regarding the individual difficulties of companies, they are initially taken into account through their revenue. Indeed, as the Court of Appeal recalled in a Bouygues judgment of January 14, 2003, "revenue (...) allows not only to determine the legal ceiling of the sanction but also to concretely set it based on the size and situation of the company concerned." The evolution of accounts over several fiscal years allows the Council to adjust and refine the sanction based on the actual health of the company.</w:t>
      </w:r>
    </w:p>
    <w:p>
      <w:r>
        <w:t>487. However, no company under scrutiny has demonstrated or even truly invoked a structurally and significantly deficit situation and a peril for the future of the company. From this perspective, the argument of the company KDI, as it relates to a potential financial choice of its shareholder, whose global revenue is around 6.3 billion euros, cannot manifest an irreparable risk for its survival.</w:t>
      </w:r>
    </w:p>
    <w:p>
      <w:r>
        <w:t>488. To conclude on these arguments raised during the session, the Council acknowledges that the contributory capacity of companies may be impaired by the economic crisis and the unfavorable prospects it may open: this dimension will be taken into account in determining the sanction. However, in balancing the respect for the principle of proportionality – particularly concerning the contributory capacity of the sanctioned companies – with the deterrent objective pursued by fines, it cannot renounce - especially in the presence of such serious behaviors and significant damage to the economy - this objective solely on the grounds of the existence of a crisis context. In reality, it is at the stage of payment of the sanction that this context can be most effectively taken into account: nothing prevents companies from requesting the public accountant, by stating particular difficulties, the benefit of delays or a payment schedule.</w:t>
      </w:r>
    </w:p>
    <w:p>
      <w:r>
        <w:rPr>
          <w:b/>
        </w:rPr>
        <w:t>[Pages 142–144]</w:t>
      </w:r>
    </w:p>
    <w:p>
      <w:r>
        <w:t>relatively limited of the sanction incurred, which cannot exceed 10% of the amount of the sanction incurred.</w:t>
      </w:r>
    </w:p>
    <w:p>
      <w:r>
        <w:t>509. In the present case, the Council notes that the company Maisonneuve has not contested the existence of the cartel but has only discussed the conditions under which it was associated with it and the effects of the practice. However, since it has not signed a record of proceedings with the rapporteur general, it cannot benefit from a reduction of the sanction based on the non-contestation of the grievances.</w:t>
      </w:r>
    </w:p>
    <w:p>
      <w:r>
        <w:t>510. Regarding the assessment of the commitments proposed, the Council of Competition has established that the commitments must be sufficiently precise and binding to ensure their effective implementation. The commitments must also address the competition concerns identified in the decision and provide a clear framework for monitoring compliance.</w:t>
      </w:r>
    </w:p>
    <w:p>
      <w:r>
        <w:t>511. In this case, the commitments proposed by the companies involved must be evaluated in light of their ability to restore effective competition in the market and to prevent the recurrence of anti-competitive practices. The Council will take into account the nature of the commitments, their duration, and the mechanisms for monitoring compliance.</w:t>
      </w:r>
    </w:p>
    <w:p>
      <w:r>
        <w:t>512. The Council emphasizes that the effectiveness of the commitments is crucial for ensuring that the objectives of competition law are met and that the interests of consumers are protected. The commitments must not only be a mere formality but must lead to tangible results in terms of competition.</w:t>
      </w:r>
    </w:p>
    <w:p>
      <w:r>
        <w:t>513. In conclusion, the Council of Competition will assess the commitments proposed by the companies involved and determine whether they are sufficient to address the competition concerns raised in this case. If the commitments are deemed adequate, the Council may decide to accept them and close the proceedings accordingly.</w:t>
      </w:r>
    </w:p>
    <w:p>
      <w:r>
        <w:rPr>
          <w:b/>
        </w:rPr>
        <w:t>[Pages 145–147]</w:t>
      </w:r>
    </w:p>
    <w:p>
      <w:r>
        <w:t>limitied to 10% of the sanction incurred (...) which also takes into account the commitments made," whereas the rapporteur general had proposed a 5% reduction. This amount of 10% is the minimum flat-rate reduction granted in the case of non-contestation of the grievances. Beyond that, "it is the quality of the commitments that may allow for more substantial compensations within the framework of this procedure" (decision No. 08-D-13).</w:t>
      </w:r>
    </w:p>
    <w:p>
      <w:r>
        <w:t>509. The company KDI argues that commitments such as those it has proposed should be rewarded at a rate of 20 or 30%.</w:t>
      </w:r>
    </w:p>
    <w:p>
      <w:r>
        <w:t>510. The companies of the PUM/Arcelor group believe that the amount of the reduction concerning them should be higher than that granted to FFDM and KDI, since they proposed a structural and additional commitment regarding the change in their pricing method, which is revolutionary from the perspective of the group's commercial practices, substantial, and directly related to one of the essential components of the practices.</w:t>
      </w:r>
    </w:p>
    <w:p>
      <w:r>
        <w:t>511. Finally, the government commissioner proposed that the rate of 15% mentioned – as a ceiling – in the minutes signed between the parties and the rapporteur general be granted to KDI and the companies of the PUM/Arcelor group, but limited to 10% for FFDM, given the role played by the union in the cartel.</w:t>
      </w:r>
    </w:p>
    <w:p>
      <w:r>
        <w:t>512. On these points, the Council considered in its decision No. 08-D-13 "that in the matter of horizontal agreements, whether instantaneous (pre-consultation before a call for tenders) or lasting (cartel), the reduction of sanctions faces a double constraint. On the one hand, behavioral commitments likely to improve the functioning of the market for the future are often difficult to render credible. On the other hand, it is essential to ensure consistency between the level of reductions in monetary sanctions granted within the framework of the leniency program and that practiced within the framework of non-contestation of grievances." Nevertheless, the reduction to which companies entering the non-contestation of grievances procedure may claim is not constrained by the leniency procedure of the company Descours &amp; Cabaud: the proposed commitments must be assessed based on their intrinsic value.</w:t>
      </w:r>
    </w:p>
    <w:p>
      <w:r>
        <w:t>513. The commitments made by the companies of the PUM/Arcelor group and the company KDI consist primarily of bringing their practices into compliance with competition rules, which include the establishment of charters, internal training programs, and awareness-raising for the responsible staff ("compliance") but also the extension of existing whistleblowing systems to violations of competition law, as well as for PUM/Arcelor guidelines for behavior with competitors and for KDI the inclusion in the contracts of executive and commercial managers of a specific clause regarding compliance with competition law reminding that any violation of these rules constitutes a serious fault that will be sanctioned as such, in accordance with social regulations.</w:t>
      </w:r>
    </w:p>
    <w:p>
      <w:r>
        <w:t>514. Furthermore, these companies, as well as FFDM, have proposed a series of almost structural commitments related to the organization of the union and aimed at preventing the occurrence of new anti-competitive practices within it. These commitments consist first of rules for organizing national meetings ensuring their purpose (notably by establishing a list of prohibited or authorized themes) and controlling their content (by drafting detailed agendas and minutes kept for 5 years, the temporary presence of lawyers at a number of national meetings for KDI, and additionally, for FFDM, the commitment to implement audio recordings). They then consist of the strict limitation of regional union meetings to specific and controlled situations, with their functioning as described in the notification of grievances being entirely abandoned. The companies of the PUM/Arcelor group and KDI have also made commitments regarding their withdrawal from the professional organization if the changes are not made within the set deadlines.</w:t>
      </w:r>
    </w:p>
    <w:p>
      <w:r>
        <w:t>515. Finally, the companies of the PUM/Arcelor group presented a commitment regarding the change in their pricing method. However, contrary to what these companies claim, this commitment is not in itself likely to constitute a particular added value in the context of assessing the amount of the reduction granted.</w:t>
      </w:r>
    </w:p>
    <w:p>
      <w:r>
        <w:t>516. All the commitments made by these five companies and organizations within the framework of the non-contestation of grievances procedure appear substantial, partially verifiable, and likely to prevent in particular the disputed practices of the same nature as those notified in this case. They lead to granting these companies a reduction in sanctions as presented respectively for each of them below.</w:t>
      </w:r>
    </w:p>
    <w:p>
      <w:r>
        <w:t>h) On the amount of sanctions</w:t>
      </w:r>
    </w:p>
    <w:p>
      <w:r>
        <w:t>For PUM Service Acier</w:t>
      </w:r>
    </w:p>
    <w:p>
      <w:r>
        <w:t>517. The company PUM Service Acier participated in the complex and ongoing agreement notified. Based on the general and individual elements as assessed above, notably in paragraphs 303 and following, 325 and following, 340 and following, 344 and following, 376 and following, 447 and following, 449 and following, and 472 and following, the monetary sanction that would have been imposed would have been 347,000,000 euros. To take into account the absence of contestation of grievances and the commitments made, this amount is reduced to 288,000,000 euros.</w:t>
      </w:r>
    </w:p>
    <w:p>
      <w:r>
        <w:t>For Arcelor Profil</w:t>
      </w:r>
    </w:p>
    <w:p>
      <w:r>
        <w:t>518. The company Arcelor Profil participated in the complex and ongoing agreement notified. Based on the general and individual elements as assessed above, notably in paragraphs 303 and following, 325 and following, 340 and following, 376 and following, 447 and following, 449 and following, and 472 and following, the monetary sanction that would have been imposed would have been 15,600,000 euros. To take into account the absence of contestation of grievances and the commitments made, this amount is reduced to 12,950,000 euros.</w:t>
      </w:r>
    </w:p>
    <w:p>
      <w:r>
        <w:t>For AMD Sud/Ouest</w:t>
      </w:r>
    </w:p>
    <w:p>
      <w:r>
        <w:t>519. The company AMD Sud/Ouest participated in the complex and ongoing agreement notified. Based on the general and individual elements as assessed above, notably in paragraphs 303 and following, 325 and following, 340 and following, 376 and following, 447 and following, 449 and following, and 472 and following, the monetary sanction that would have been imposed would have been 1,000,000 euros. To take into account the absence of contestation of grievances and the commitments made, this amount is reduced to 830,000 euros.</w:t>
      </w:r>
    </w:p>
    <w:p>
      <w:r>
        <w:t>For KDI</w:t>
      </w:r>
    </w:p>
    <w:p>
      <w:r>
        <w:t>520. The company KDI participated in the complex and ongoing agreement notified. Based on the general and individual elements as assessed above, notably in paragraphs 308, 325 and following, 340 and following, 344 and following, 376 and following, 449 and following, and 472 and following, the monetary sanction that would have been imposed would have been 204,000,000 euros. To take into account the absence of contestation of grievances and the commitments made, this amount is reduced to 169,300,000 euros.</w:t>
      </w:r>
    </w:p>
    <w:p>
      <w:r>
        <w:t>For Descours &amp; Cabaud SA</w:t>
      </w:r>
    </w:p>
    <w:p>
      <w:r>
        <w:t>521. The company Descours &amp; Cabaud SA participated in the complex and ongoing agreement notified. Based on the general and individual elements as assessed above, notably in paragraphs 309, 325 and following, 340 and following, 344 and following, 376 and following, 449 and following, and 472 and following, the monetary sanction that would have been imposed would have been 127,000,000 euros. To take into account the leniency procedure and the partial exemption from sanction granted as a result to Descours &amp; Cabaud SA, this amount is reduced to 82,550,000 euros.</w:t>
      </w:r>
    </w:p>
    <w:p>
      <w:r>
        <w:t>For Morel</w:t>
      </w:r>
    </w:p>
    <w:p>
      <w:r>
        <w:t>522. The company Etablissements Marc Morel et Fils participated in the complex and ongoing agreement notified under the conditions mentioned in paragraphs 242 and following, 251 and following, and 257 and following. Based on the general and individual elements as assessed above, notably in paragraphs 310 and following, 325 and following, 340 and following, 352 and following, 376 and following, 454 and following, and 472 and following, it is appropriate to impose a sanction of 12,000,000 euros.</w:t>
      </w:r>
    </w:p>
    <w:p>
      <w:r>
        <w:t>For Maisonneuve</w:t>
      </w:r>
    </w:p>
    <w:p>
      <w:r>
        <w:t>523. The company Etablissements Maisonneuve participated in the complex and ongoing agreement notified under the conditions mentioned in paragraphs 242 and following, 251 and following, and 263 and following. Based on the general and individual elements as assessed above, notably in paragraphs 313, 325 and following, 340 and following, 376 and following, 454 and following, and 472 and following, it is appropriate to impose a sanction of 8,000,000 euros.</w:t>
      </w:r>
    </w:p>
    <w:p>
      <w:r>
        <w:t>For Clisson Métal</w:t>
      </w:r>
    </w:p>
    <w:p>
      <w:r>
        <w:t>524. The company SA Clisson Métal participated in the complex and ongoing agreement notified under the conditions mentioned in paragraphs 242 and following, 251 and following, and 274 and following. Based on the general and individual elements as assessed above, notably in paragraphs 315, 325 and following, 340 and following, 376 and following, 454 and following, and 472 and following, it is appropriate to impose a sanction of 800,000 euros.</w:t>
      </w:r>
    </w:p>
    <w:p>
      <w:r>
        <w:t>For Liametho</w:t>
      </w:r>
    </w:p>
    <w:p>
      <w:r>
        <w:t>525. The company Liametho participated in the complex and ongoing agreement notified under the conditions mentioned in paragraphs 242 and following, 251 and following, and 268 and following. Based on the general and individual elements as assessed above, notably in paragraphs 314, 325 and following, 340 and following, 376 and following, 454 and following, and 472 and following, it is appropriate to impose a sanction of 400,000 euros.</w:t>
      </w:r>
    </w:p>
    <w:p>
      <w:r>
        <w:t>For CODIP</w:t>
      </w:r>
    </w:p>
    <w:p>
      <w:r>
        <w:t>526. The company CODIP participated in the complex and ongoing agreement notified under the conditions mentioned in paragraphs 242 and following, 251 and following, and 276 and following. Based on the general and individual elements as assessed above, notably in paragraphs 316, 325 and following, 340 and following, 376 and following, 454 and following, and 472 and following, it is appropriate to impose a sanction of 400,000 euros.</w:t>
      </w:r>
    </w:p>
    <w:p>
      <w:r>
        <w:rPr>
          <w:b/>
        </w:rPr>
        <w:t>[Pages 148–150]</w:t>
      </w:r>
    </w:p>
    <w:p>
      <w:r>
        <w:t xml:space="preserve">For Ferren Fers  </w:t>
        <w:br/>
        <w:t xml:space="preserve">527. The company Ferren Fers participated in the complex and ongoing agreement notified under the conditions mentioned in paragraphs 242 and following, 251 and following, and 281 and following. Based on the general and individual elements as assessed above, notably in paragraphs 317, 325 and following, 340 and following, 376 and following, and 472 and following, it is appropriate to impose a sanction of 100,000 euros.  </w:t>
        <w:br/>
        <w:t xml:space="preserve">For the FFDM  </w:t>
        <w:br/>
        <w:t xml:space="preserve">528. The FFDM participated in the notified complex and ongoing agreement. Based on the general and individual elements as they have been assessed above, notably in paragraphs 318, 325 and following, 340 and following, 376 and following, 454 and following, and 472 and following, the monetary sanction that would have been imposed would have been 150,000 euros. To take into account the absence of contestation of grievances and the commitments made, this amount is reduced to 124,500 euros.  </w:t>
        <w:br/>
        <w:t xml:space="preserve">i) On the obligation of publication  </w:t>
        <w:br/>
        <w:t xml:space="preserve">529. In order to attract the attention of clients of companies in the steel products trading sector, it is necessary, given the facts established by this decision and the violations noted, to order the publication, at the shared expense of the sanctioned companies and in proportion to their monetary sanctions, in a national daily newspaper and a specialized publication, of the summary of this decision appearing in paragraph 530 below:  </w:t>
        <w:br/>
        <w:t xml:space="preserve">530. Summary of the decision:  </w:t>
        <w:br/>
        <w:t xml:space="preserve">"Certain client companies of steel product traders complained of suspicious similarities in the offers received during consultations, the Minister of Economy commissioned an administrative investigation whose results were transmitted to the Competition Council. The latter issued a decision on December 16, 2008, sanctioning eleven companies in the steel product trading sector and the majority union of the profession (PUM Service Acier, Arcelor Profil, AMD Sud/Ouest, KDI, Descours &amp; Cabaud, Morel, Maisonneuve, Clisson Métal, Liametho, CODIP, Ferren Fers, and the Fédération Française de Distribution des Métaux) for having established between 1999 and 2004, an agreement on prices as well as on the allocation of markets and clients.  </w:t>
        <w:br/>
        <w:t xml:space="preserve">A particularly well-organized cartel  </w:t>
        <w:br/>
        <w:t xml:space="preserve">The practices in question were based on long-standing national and regional habits and consisted of consultations among competitors on commercial conditions, during a very large and regular number of meetings and exchanges of information: common price scales, ranking of clients based on their potential, maximum discount rates, procedures for monitoring cases and control, etc. They also aimed at the allocation of market shares concerning the most important clients and, on a day-to-day basis, the distribution of consultations of all clients. The agreement was particularly organized and controlled by its authors. They addressed each of the market's particularities and provided a response in the sophisticated organization of practices, through the multiplicity of meetings, their level of implementation (national, regional, local), their specialization by products, their periodicity, the multiplication of pricing references, the dissemination of summaries, the establishment of control and support bodies for practices, regular monitoring, sanctions in the case of "violations" of the established rules, etc.  </w:t>
        <w:br/>
        <w:t xml:space="preserve">148  </w:t>
        <w:br/>
        <w:t xml:space="preserve">The architecture of the practices also included concerted, possibly coercive measures aimed on the one hand at ensuring sufficient flexibility to maintain the cartel's stability in the long term against external actors or deviations and on the other hand at masking the reality of the practices to clients, to whom cover offers were made to simulate the existence of competition.  </w:t>
        <w:br/>
        <w:t xml:space="preserve">Such practices were part of an overall plan aimed at establishing in the French market for steel product trading a mode of organization substituting for the free play of competition and its risks a practical cooperation among operators. They were implemented under the guise of union activity under the impetus of the three main French trading groups: PUM/Arcelor, KDI, and Descours &amp; Cabaud.  </w:t>
        <w:br/>
        <w:t xml:space="preserve">Practices of exceptional gravity  </w:t>
        <w:br/>
        <w:t xml:space="preserve">The Council considered that these practices were exceptionally serious as they had the object and effect not only of removing prices from the normal play of competition but also of allocating clients and markets, annihilating all competitive space and all mechanisms of competition among companies.  </w:t>
        <w:br/>
        <w:t xml:space="preserve">Moreover, the practices were implemented:  </w:t>
        <w:br/>
        <w:t xml:space="preserve">• by traders representing a very large part of the market, approximately 70 to 90% of the volumes sold by trading on almost all the concerned products;  </w:t>
        <w:br/>
        <w:t xml:space="preserve">• over a long period, from mid-1999 to mid-2004, during which they were confirmed and reinforced by their authors, some companies having participated only for a more limited period;  </w:t>
        <w:br/>
        <w:t xml:space="preserve">• throughout the entire French territory, with respect to important clients and smaller clients, in the 11 "regions" defined within the framework of the FNA dividing France;  </w:t>
        <w:br/>
        <w:t xml:space="preserve">• by the highest executives of each of the concerned companies.  </w:t>
        <w:br/>
        <w:t xml:space="preserve">Significant damage caused to the economy  </w:t>
        <w:br/>
        <w:t xml:space="preserve">The characteristics of the steel product trading market and the practices in question, as well as the quantified elements in the file, allow us to conclude that the damage caused to the economy by the concerned practices was significant, on the order of hundreds of millions of euros, affecting clients in the concerned market (notably SMEs in construction and public works, boiler-making, and locksmithing) and in downstream markets, to which surcharges for the concerned products were imposed.  </w:t>
        <w:br/>
        <w:t xml:space="preserve">The application of the French leniency program and the procedure for non-contestation of grievances  </w:t>
        <w:br/>
        <w:t xml:space="preserve">The Council partially exempted the company Descours &amp; Cabaud from monetary sanction, which provided it, after the investigation, with elements of significant added value. This company notably communicated elements allowing for a better understanding of the practices, confirming their implementation throughout the entire French territory and establishing the direct and significant participation of the highest executives of the three main French trading groups. In application of the French leniency program (see procedural press release from the Competition Council of April 17, 2007), the sanction was reduced by 35%.  </w:t>
        <w:br/>
        <w:t xml:space="preserve">149  </w:t>
        <w:br/>
        <w:t xml:space="preserve">Furthermore, after the notification of grievances, four companies (PUM Service Acier, Arcelor Profil, AMD Sud/Ouest, and KDI) and the FFDM did not contest the facts and made commitments aimed at preventing the repetition of the same behaviors. Their sanction was consequently reduced.  </w:t>
        <w:br/>
        <w:t xml:space="preserve">The sanctions  </w:t>
        <w:br/>
        <w:t xml:space="preserve">Eleven companies and one union were sanctioned for a total amount of just over 575 million euros. The Council imposed proportional sanctions taking into account the participation in the established grievance, the seriousness of the behaviors in question, the extent of the damage caused to the economy, and the individual situation of the companies. It imposed:  </w:t>
        <w:br/>
        <w:t xml:space="preserve">• on the company Produits d’Usines Métallurgiques PUM – Station Service Acier a sanction of 288,000,000 euros;  </w:t>
        <w:br/>
        <w:t xml:space="preserve">• on the company Arcelor Profil a sanction of 12,950,000 euros;  </w:t>
        <w:br/>
        <w:t xml:space="preserve">• on the company AMD Sud Ouest a sanction of 830,000 euros;  </w:t>
        <w:br/>
        <w:t xml:space="preserve">• on the company KDI a sanction of 169,300,000 euros;  </w:t>
        <w:br/>
        <w:t xml:space="preserve">• on the company Descours &amp; Cabaud SA a sanction of 82,550,000 euros;  </w:t>
        <w:br/>
        <w:t xml:space="preserve">• on the company Etablissements Marc Morel et Fils a sanction of 12,000,000 euros;  </w:t>
        <w:br/>
        <w:t xml:space="preserve">• on the company Etablissements Maisonneuve a sanction of 8,000,000 euros;  </w:t>
        <w:br/>
        <w:t xml:space="preserve">• on the company SA Clisson Métal a sanction of 800,000 euros;  </w:t>
        <w:br/>
        <w:t xml:space="preserve">• on the company Comptoir de Distribution Professionnelle a sanction of 400,000 euros;  </w:t>
        <w:br/>
        <w:t xml:space="preserve">• on the company Liametho a sanction of 400,000 euros;  </w:t>
        <w:br/>
        <w:t xml:space="preserve">• on the company Ferren Fers a sanction of 100,000 euros;  </w:t>
        <w:br/>
        <w:t xml:space="preserve">• on the Fédération Française de Distribution de Métaux a sanction of 124,500 euros.  </w:t>
        <w:br/>
        <w:t xml:space="preserve">The full text of the decision of the Competition Council is accessible on the website www.conseil-concurrence.fr.  </w:t>
        <w:br/>
        <w:t xml:space="preserve">DISPOSITIF  </w:t>
        <w:br/>
        <w:t xml:space="preserve">Article 1: It is established that the companies PUM Service Acier, Arcelor Profil, AMD Sud Ouest, KDI, Descours &amp; Cabaud SA, Etablissements Marc Morel et Fils, Etablissements Maisonneuve, SA Clisson Métal, Liametho, CODIP, Ferren Fers, and the Fédération française de distribution des métaux (FFDM) have violated the provisions of Article L. 420-1 of the Commercial Code and Article 81 of the EC Treaty.  </w:t>
        <w:br/>
        <w:t xml:space="preserve">Article 2: The commitments made by the companies PUM Service Acier, Arcelor Profil, AMD Sud Ouest, KDI, and by the FFDM, as mentioned in paragraphs 179 to 181, are acknowledged. These companies or organizations are ordered to comply with them in all respects.  </w:t>
        <w:br/>
        <w:t>150</w:t>
      </w:r>
    </w:p>
    <w:p>
      <w:r>
        <w:rPr>
          <w:b/>
        </w:rPr>
        <w:t>[Pages 151–151]</w:t>
      </w:r>
    </w:p>
    <w:p>
      <w:r>
        <w:t>Article 3: The following financial penalties are imposed:</w:t>
        <w:br/>
        <w:t>• to the company Produits d’Usines Métallurgiques PUM – Station Service Acier a penalty of 288,000,000 euros;</w:t>
        <w:br/>
        <w:t>• to the company Arcelor Profil a penalty of 12,950,000 euros;</w:t>
        <w:br/>
        <w:t>• to the company AMD Sud Ouest a penalty of 830,000 euros;</w:t>
        <w:br/>
        <w:t>• to the company KDI a penalty of 169,300,000 euros;</w:t>
        <w:br/>
        <w:t>• to the company Descours &amp; Cabaud SA a penalty of 82,550,000 euros;</w:t>
        <w:br/>
        <w:t>• to the company Etablissements Marc Morel et Fils a penalty of 12,000,000 euros;</w:t>
        <w:br/>
        <w:t>• to the company Etablissements Maisonneuve a penalty of 8,000,000 euros;</w:t>
        <w:br/>
        <w:t>• to the company SA Clisson Métal a penalty of 800,000 euros;</w:t>
        <w:br/>
        <w:t>• to the company Comptoir de Distribution Professionnelle a penalty of 400,000 euros;</w:t>
        <w:br/>
        <w:t>• to the company Liametho a penalty of 400,000 euros;</w:t>
        <w:br/>
        <w:t>• to the company Ferren Fers a penalty of 100,000 euros;</w:t>
        <w:br/>
        <w:t>• to the Fédération Française de Distribution de Métaux a penalty of 124,500 euros.</w:t>
      </w:r>
    </w:p>
    <w:p>
      <w:r>
        <w:t>Article 4: The companies and organization mentioned in Article 1 shall publish the text appearing in paragraph 530 of this decision, respecting the formatting, in an edition of the newspapers "La Tribune" and "Le Moniteur des travaux publics et du bâtiment". These publications shall appear in a box with black characters on a white background of at least three millimeters in height under the following title, in bold characters of the same size: "Decision No. 08-D-32 of December 16, 2008, of the Competition Council regarding practices implemented in the sector of trading in steel products." They may be followed by a mention that the decision has been appealed to the Court of Appeal of Paris if such appeals are filed. The concerned companies shall send, by registered mail, to the procedure office, a copy of these publications, as soon as they are published and no later than February 16, 2009.</w:t>
      </w:r>
    </w:p>
    <w:p>
      <w:r>
        <w:t>Deliberated on the oral report of Mr. Berkani, by Mr. Lasserre, president, session president, Ms. Béhar-Touchais and Mr. Bidaud, members.</w:t>
      </w:r>
    </w:p>
    <w:p>
      <w:r>
        <w:t>The session secretary, The president,</w:t>
        <w:br/>
        <w:t>Véronique Letrado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