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https://www.autoritedelaconcurrence.fr/fr/decision/relative-des-pratiques-mises-en-oeuvre-dans-le-secteur-du-papier-peint-en-france</w:t>
      </w:r>
    </w:p>
    <w:p>
      <w:r>
        <w:t>Pages translated : 62</w:t>
      </w:r>
    </w:p>
    <w:p/>
    <w:p>
      <w:r>
        <w:rPr>
          <w:b/>
        </w:rPr>
        <w:t>[Pages 1–3]</w:t>
      </w:r>
    </w:p>
    <w:p>
      <w:r>
        <w:t xml:space="preserve">FRENCH REPUBLIC  </w:t>
        <w:br/>
        <w:t xml:space="preserve">Decision No. 14-D-20 of December 22, 2014  </w:t>
        <w:br/>
        <w:t xml:space="preserve">regarding practices implemented in the wallpaper sector in France  </w:t>
        <w:br/>
        <w:t xml:space="preserve">The Competition Authority (section IV),  </w:t>
        <w:br/>
        <w:t xml:space="preserve">Having regard to decision No. 10-SO-07 of November 4, 2010, registered under number 10/0101 F, by which the Competition Authority took up ex officio practices implemented in the wallpaper sector;  </w:t>
        <w:br/>
        <w:t xml:space="preserve">Having regard to the request from the companies Tapetenfabrik Gebr. Rasch GmbH&amp;Co. KG and Rasch France S.A.R.L. dated June 9, 2010, registered under number 10/0058AC, seeking to benefit from the provisions of III of Article L.464-2 of the Commercial Code;  </w:t>
        <w:br/>
        <w:t xml:space="preserve">Having regard to the conditional leniency notice No. 10-AC-05 of November 4, 2010;  </w:t>
        <w:br/>
        <w:t xml:space="preserve">Having regard to Article 101 of the Treaty on the Functioning of the European Union;  </w:t>
        <w:br/>
        <w:t xml:space="preserve">Having regard to Book IV of the Commercial Code;  </w:t>
        <w:br/>
        <w:t xml:space="preserve">Having regard to the decisions related to the protection of business secrets No. 10-DSA-249 of November 18, 2010; No. 11-DSA-52 of February 7, 2011; No. 12-DSA-65 of February 15, 2012; No. 12-DSA-66 of February 15, 2012; No. 12-DSA-67 of February 15, 2012; No. 12-DSA-68 of March 21, 2012; No. 12-DSA-179 of May 3, 2012; No. 12-DSA-180 of May 3, 2012; No. 12-DSA-184 of May 9, 2012; No. 12-DSA-185 of May 9, 2012; No. 12-DSA-210 of June 14, 2012; No. 12-DSA-307 of September 7, 2012; No. 12-DSA-308 of September 7, 2012; No. 12-DSA-309 of September 16, 2012; No. 13-DSA-76 of February 26, 2013; No. 14-DSA-30 of February 18, 2014; No. 14-DSA-31 of February 18, 2014; No. 14-DSA-32 of February 18, 2014;  </w:t>
        <w:br/>
        <w:t xml:space="preserve">Having regard to the downgrading decisions No. 13-DEC-26 of June 5, 2013; No. 13-DECR-08 of March 13, 2013; No. 13-DECR-09 of March 13, 2013; No. 13-DECR-11 of March 13, 2013; No. 13-DECR-17 of April 5, 2013; No. 13-DECR-18 of April 5, 2013; No. 13-DECR-23 of May 21, 2013; No. 13-DECR-24 of May 21, 2013; No. 13-DECR-30 of May 6, 2013; No. 13-DECR-31 of April 9, 2013;  </w:t>
        <w:br/>
        <w:t xml:space="preserve">Having regard to the minutes of September 5, 2013, and September 24, 2013, by which the companies MCF Investissement S.A.S., Société de Conception et d’Édition (S.C.E.) S.A.S., DECORALIS S.A., A.S. Création France S.A.S., A.S. Création Tapeten AG, Zambaiti France S.A.S, and Zambaiti International S.R.L. declared that they did not contest the grievance that was notified to them and requested the benefit of the provisions of III of Article L.464-2 of the Commercial Code;  </w:t>
        <w:br/>
        <w:t xml:space="preserve">Having regard to the observations presented by the companies Graham &amp; Brown France S.A.R.L., Graham &amp; Brown Limited, Lino Verbeke, Filip Melis, Alex Vrombaut, Stéfan Pieters, curators of the company Grandeco Wallfashion Group S.A., Gimv N.V., MCF Investissement S.A.S., Société de Conception et d’Édition (S.C.E.) S.A.S., Décoralis S.A., A.S. Création France S.A.S., A.S. Création Tapeten AG, Tapetenfabrik Gebr. Rasch GmbH&amp;Co. KG, Rasch France S.A.R.L., Zambaiti S.A.S., Zambaiti International S.R.L., and the government commissioner;  </w:t>
        <w:br/>
        <w:t xml:space="preserve">Having regard to the other documents in the file;  </w:t>
        <w:br/>
        <w:t xml:space="preserve">The rapporteur, the deputy general rapporteur, the government commissioner, and the representatives of the companies Graham &amp; Brown France S.A.R.L., Graham &amp; Brown Limited, GIMV N.V., MCF Investissement S.A.S., Société de Conception et d’Édition (S.C.E.) S.A.S., Décoralis S.A., A.S. Création France S.A.S., A.S. Création Tapeten AG, Zambaiti S.A.S., Rasch GmbH&amp;Co. KG, Rasch France S.A.R.L., and Zambaiti International S.R.L. heard during the session of the Competition Authority on October 7, 2014;  </w:t>
        <w:br/>
        <w:t>Adopts the following decision:</w:t>
      </w:r>
    </w:p>
    <w:p>
      <w:r>
        <w:t xml:space="preserve">SUMMARY  </w:t>
        <w:br/>
        <w:t xml:space="preserve">I. Findings .................................................................................... 6  </w:t>
        <w:br/>
        <w:t xml:space="preserve">A. THE PROCEDURE ............................................................................................................................. 6  </w:t>
        <w:br/>
        <w:t xml:space="preserve">1. THE REQUEST FOR LENIENCY ..................................................................................... 6  </w:t>
        <w:br/>
        <w:t xml:space="preserve">2. THE EX OFFICIO INITIATION .......................................................................................... 6  </w:t>
        <w:br/>
        <w:t xml:space="preserve">3. THE VISIT AND SEIZURE OPERATIONS ...................................................................... 6  </w:t>
        <w:br/>
        <w:t xml:space="preserve">4. NOTIFICATION OF GRIEVANCES .................................................................................. 6  </w:t>
        <w:br/>
        <w:t xml:space="preserve">5. THE SECTOR OF ACTIVITY ........................................................................................... 7  </w:t>
        <w:br/>
        <w:t xml:space="preserve">a) Wallpapers ................................................................................................ 7  </w:t>
        <w:br/>
        <w:t xml:space="preserve">b) The intermediate level of wallpaper marketing ........................................... 8  </w:t>
        <w:br/>
        <w:t xml:space="preserve">c) The recent economic evolution of the sector ................................................ 8  </w:t>
        <w:br/>
        <w:t xml:space="preserve">6. THE COMPANIES CONCERNED ..................................................................................... 10  </w:t>
        <w:br/>
        <w:t xml:space="preserve">a) L’Éditeur ............................................................................................................ 10  </w:t>
        <w:br/>
        <w:t xml:space="preserve">b) Graham &amp; Brown France ................................................................................ 10  </w:t>
        <w:br/>
        <w:t xml:space="preserve">c) Grandeco ............................................................................................................ 11  </w:t>
        <w:br/>
        <w:t xml:space="preserve">d) Rasch France ..................................................................................................... 11  </w:t>
        <w:br/>
        <w:t xml:space="preserve">e) MCF .................................................................................................................... 11  </w:t>
        <w:br/>
        <w:t xml:space="preserve">f) S.C.E. ................................................................................................................... 12  </w:t>
        <w:br/>
        <w:t xml:space="preserve">g) Zambaiti ............................................................................................................. 12  </w:t>
        <w:br/>
        <w:t xml:space="preserve">B. THE PRACTICES IDENTIFIED ............................................................................................. 12  </w:t>
        <w:br/>
        <w:t xml:space="preserve">1. THE FRAMEWORK OF INFORMATION EXCHANGES .................................................. 13  </w:t>
        <w:br/>
        <w:t xml:space="preserve">a) A peculiarity of the sector: common collections or collated collections .......... 13  </w:t>
        <w:br/>
        <w:t xml:space="preserve">b) The commercial conditions of common collections ....................................... 13  </w:t>
        <w:br/>
        <w:t xml:space="preserve">2. THE CONTENT OF THESE EXCHANGES ...................................................................... 16  </w:t>
        <w:br/>
        <w:t xml:space="preserve">a) The commercial conditions for the realization of common collections .......... 16  </w:t>
        <w:br/>
        <w:t xml:space="preserve">b) The foreseeable levels of price changes ......................................................... 19  </w:t>
        <w:br/>
        <w:t xml:space="preserve">c) The past turnover ............................................................................................ 21  </w:t>
        <w:br/>
        <w:t xml:space="preserve">C. THE NOTIFIED GRIEVANCE ................................................................................................................ 22  </w:t>
        <w:br/>
        <w:t xml:space="preserve">D. THE IMPLEMENTATION OF III OF ARTICLE L. 464-2 OF THE COMMERCIAL CODE ....... 24  </w:t>
        <w:br/>
        <w:t xml:space="preserve">II. Discussion ..................................................................................... 24  </w:t>
        <w:br/>
        <w:t xml:space="preserve">A. ON THE APPLICABILITY OF UNION COMPETITION RULES ........................................... 24  </w:t>
        <w:br/>
        <w:t xml:space="preserve">1. REMINDER OF PRINCIPLES ........................................................................................... 24  </w:t>
        <w:br/>
        <w:t xml:space="preserve">2. ASSESSMENT BY THE AUTHORITY ............................................................................. 25  </w:t>
        <w:br/>
        <w:t xml:space="preserve">B. ON THE RELEVANT MARKET ................................................................................................. 26  </w:t>
        <w:br/>
        <w:t>C. ON THE MERITS OF THE GRIEVANCES .................................................................................. 27</w:t>
      </w:r>
    </w:p>
    <w:p>
      <w:r>
        <w:rPr>
          <w:b/>
        </w:rPr>
        <w:t>[Pages 4–6]</w:t>
      </w:r>
    </w:p>
    <w:p>
      <w:r>
        <w:t xml:space="preserve">1. ON THE CONSEQUENCES OF THE IMPLEMENTATION OF THE PROCEDURE OF NON-CONTESTATION OF THE GRIEFS ........................................................................................ 27  </w:t>
        <w:br/>
        <w:t xml:space="preserve">a) Reminder of the principles ......................................................................................... 27  </w:t>
        <w:br/>
        <w:t xml:space="preserve">b) Application to the case at hand ................................................................................ 27  </w:t>
        <w:br/>
        <w:t xml:space="preserve">2. ON THE NOTIFIED GRIEF ............................................................................................. 28  </w:t>
        <w:br/>
        <w:t xml:space="preserve">a) Reminder of the principles ......................................................................................... 28  </w:t>
        <w:br/>
        <w:t xml:space="preserve">The concerted practices ............................................................................................... 28  </w:t>
        <w:br/>
        <w:t xml:space="preserve">The anti-competitive object of the concerted practices ............................................... 29  </w:t>
        <w:br/>
        <w:t xml:space="preserve">The proof of concerted practices .................................................................................. 30  </w:t>
        <w:br/>
        <w:t xml:space="preserve">On the standard of proof of participation in a concerted practice ............................ 31  </w:t>
        <w:br/>
        <w:t xml:space="preserve">On the evidential value of the statements collected .................................................... 31  </w:t>
        <w:br/>
        <w:t xml:space="preserve">b) Assessment by the Authority .................................................................................... 32  </w:t>
        <w:br/>
        <w:t xml:space="preserve">Rasch France ................................................................................................................ 32  </w:t>
        <w:br/>
        <w:t xml:space="preserve">L’Éditeur ....................................................................................................................... 32  </w:t>
        <w:br/>
        <w:t xml:space="preserve">Zambaiti, MCF and SCE ............................................................................................... 32  </w:t>
        <w:br/>
        <w:t xml:space="preserve">Grandeco ....................................................................................................................... 32  </w:t>
        <w:br/>
        <w:t xml:space="preserve">G&amp;B France ................................................................................................................... 34  </w:t>
        <w:br/>
        <w:t xml:space="preserve">D. ON THE ATTRIBUTION OF PRACTICES ........................................................................... 37  </w:t>
        <w:br/>
        <w:t xml:space="preserve">1. ON THE APPLICABLE LAW .......................................................................................... 37  </w:t>
        <w:br/>
        <w:t xml:space="preserve">a) On attribution within a group of companies ............................................................. 37  </w:t>
        <w:br/>
        <w:t xml:space="preserve">b) On attribution in the event of transformation of the company ............................... 38  </w:t>
        <w:br/>
        <w:t xml:space="preserve">2. ASSESSMENT IN THE CASE AT HAND ........................................................................... 39  </w:t>
        <w:br/>
        <w:t xml:space="preserve">a) Regarding the company Rasch Germany ................................................................ 39  </w:t>
        <w:br/>
        <w:t xml:space="preserve">b) Regarding the company Gimv N.V. .......................................................................... 39  </w:t>
        <w:br/>
        <w:t xml:space="preserve">c) Regarding G&amp;B Limited ............................................................................................ 40  </w:t>
        <w:br/>
        <w:t xml:space="preserve">d) Concerning Zambaiti International .......................................................................... 40  </w:t>
        <w:br/>
        <w:t xml:space="preserve">e) Regarding the companies Décoralis, A.S. Création France and A.S. Création Tapeten AG .................................................................................................................. 40  </w:t>
        <w:br/>
        <w:t xml:space="preserve">E. ON THE SANCTIONS ........................................................................................................... 41  </w:t>
        <w:br/>
        <w:t xml:space="preserve">1. ON THE VALUE OF SALES ............................................................................................ 42  </w:t>
        <w:br/>
        <w:t xml:space="preserve">2. ON THE DETERMINATION OF THE BASE AMOUNT ...................................................... 43  </w:t>
        <w:br/>
        <w:t xml:space="preserve">a) On the proportion of the value of sales .................................................................... 44  </w:t>
        <w:br/>
        <w:t xml:space="preserve">On the severity of the three practices targeted by the grievance ............................... 44  </w:t>
        <w:br/>
        <w:t xml:space="preserve">On the nature of the infringements in question ............................................................ 44  </w:t>
        <w:br/>
        <w:t xml:space="preserve">On the situation of the sector in which the practices occurred ................................... 46  </w:t>
        <w:br/>
        <w:t xml:space="preserve">On the concrete characteristics of the practices .......................................................... 47  </w:t>
        <w:br/>
        <w:t xml:space="preserve">♦ The secret nature of the practices ............................................................................. 47  </w:t>
        <w:br/>
        <w:t xml:space="preserve">♦ The sophistication of the infringements ................................................................... 47  </w:t>
        <w:br/>
        <w:t xml:space="preserve">On the importance of the damage caused to the economy ......................................... 47  </w:t>
        <w:br/>
        <w:t xml:space="preserve">On the extent of the practices ..................................................................................... 48  </w:t>
        <w:br/>
        <w:t xml:space="preserve">♦ Regarding the characteristics of the practices themselves ....................................... 48  </w:t>
        <w:br/>
        <w:t xml:space="preserve">♦ Regarding the operators who implemented the practices in question ..................... 49  </w:t>
        <w:br/>
        <w:t xml:space="preserve">On the economic characteristics of the sector ............................................................. 49  </w:t>
        <w:br/>
        <w:t xml:space="preserve">On the conjunctural and structural consequences of the practices ........................... 49  </w:t>
        <w:br/>
        <w:t xml:space="preserve">Conclusion on the proportion of the value of sales ..................................................... 50  </w:t>
        <w:br/>
        <w:t xml:space="preserve">b) On the duration of the practices ................................................................................ 50  </w:t>
        <w:br/>
        <w:t xml:space="preserve">c) Conclusion on the determination of the base amount .............................................. 51  </w:t>
        <w:br/>
        <w:t xml:space="preserve">3. ON THE INDIVIDUALIZATION OF SANCTIONS ............................................................... 52  </w:t>
        <w:br/>
        <w:t xml:space="preserve">a) On the individual participation of the companies ...................................................... 52  </w:t>
        <w:br/>
        <w:t xml:space="preserve">b) Other elements of individualization .......................................................................... 53  </w:t>
        <w:br/>
        <w:t xml:space="preserve">c) Conclusion on the determination of the individualized amount ............................... 54  </w:t>
        <w:br/>
        <w:t xml:space="preserve">4. ON THE FINAL ADJUSTMENTS ...................................................................................... 54  </w:t>
        <w:br/>
        <w:t xml:space="preserve">a) On the verification of compliance with the legal maximum ...................................... 54  </w:t>
        <w:br/>
        <w:t xml:space="preserve">Regarding the company L’Éditeur .............................................................................. 54  </w:t>
        <w:br/>
        <w:t xml:space="preserve">Regarding the company Grandeco .............................................................................. 54  </w:t>
        <w:br/>
        <w:t xml:space="preserve">Regarding the companies MCF and S.C.E. ................................................................ 55  </w:t>
        <w:br/>
        <w:t xml:space="preserve">For the sanction targeting the companies MCF, S.C.E., A.S. Création France and A.S. Création Tapeten AG .......................................................................................... 55  </w:t>
        <w:br/>
        <w:t xml:space="preserve">For the sanction targeting the companies MCF, S.C.E. and Décoralis ....................... 55  </w:t>
        <w:br/>
        <w:t xml:space="preserve">Regarding the company Rasch ..................................................................................... 55  </w:t>
        <w:br/>
        <w:t xml:space="preserve">Regarding the company Zambaiti ................................................................................ 55  </w:t>
        <w:br/>
        <w:t xml:space="preserve">Regarding the company G&amp;B ...................................................................................... 55  </w:t>
        <w:br/>
        <w:t xml:space="preserve">b) On the consideration of the leniency procedure ....................................................... 55  </w:t>
        <w:br/>
        <w:t xml:space="preserve">c) On the consideration of the non-contestation of the grievances ............................. 58  </w:t>
        <w:br/>
        <w:t xml:space="preserve">d) On the share of the sanction to be attributed to each of the successive parent companies of MCF and S.C.E. .................................................................................. 58  </w:t>
        <w:br/>
        <w:t xml:space="preserve">e) On the financial situation of the companies ............................................................... 59  </w:t>
        <w:br/>
        <w:t xml:space="preserve">5. ON THE FINAL AMOUNT OF SANCTIONS .................................................................... 60  </w:t>
        <w:br/>
        <w:t xml:space="preserve">DECISION .......................................................................................................................... 62  </w:t>
        <w:br/>
        <w:t xml:space="preserve">I. Findings  </w:t>
        <w:br/>
        <w:t xml:space="preserve">A. THE PROCEDURE  </w:t>
        <w:br/>
        <w:t xml:space="preserve">1. THE LENIENCY REQUEST  </w:t>
        <w:br/>
        <w:t xml:space="preserve">1. By minutes of June 9, 2010, the Deputy General Rapporteur of the Competition Authority (hereinafter "the Authority") received a leniency request submitted by the company Tapetenfabrik Gebr. Rasch GmbH &amp; Co. KG (hereinafter "Rasch Germany") and its subsidiary Rasch France S.A.R.L. (hereinafter "Rasch France") based on IV of Article L. 464-2 of the Commercial Code. These companies wished to inform the Authority of information establishing the existence of practices potentially prohibited by Articles L. 420-1 of the Commercial Code and Article 101, paragraph 1, of the Treaty on the Functioning of the European Union (hereinafter "TFEU") in the wallpaper sector. The two applicants also implicated in the practices the companies L’Éditeur S.A. (hereinafter "L’Éditeur"), Grandeco Wallfashion Group NV (hereinafter "Grandeco"), MCF Investissement S.A.S. (hereinafter "MCF"), Société de Conception et d’Édition S.A.S. (hereinafter "S.C.E."), Graham &amp; Brown (hereinafter "G&amp;B" or "G&amp;B France") and Zambaiti S.A.S. (hereinafter "Zambaiti").  </w:t>
        <w:br/>
        <w:t xml:space="preserve">2. By notice no. 10-AC-05 of November 4, 2010, the Authority granted the applicants conditional leniency with a total exemption from the sanctions incurred for the reported practices.  </w:t>
        <w:br/>
        <w:t xml:space="preserve">2. THE INITIATION OF PROCEEDINGS  </w:t>
        <w:br/>
        <w:t xml:space="preserve">3. By decision no. 10-SO-07 of November 4, 2010, the Authority initiated proceedings regarding practices implemented in the wallpaper sector.  </w:t>
        <w:br/>
        <w:t xml:space="preserve">3. THE INSPECTION AND SEIZURE OPERATIONS  </w:t>
        <w:br/>
        <w:t xml:space="preserve">4. On November 30, 2010, inspection and seizure operations were carried out at the premises of the companies L’Éditeur, G&amp;B France, Grandeco, MCF, Rasch France, S.C.E. and Zambaiti after authorization from the judge of freedoms and detention dated November 23, 2010, based on Article L. 450-4 of the Commercial Code.  </w:t>
        <w:br/>
        <w:t xml:space="preserve">4. NOTIFICATION OF THE GRIEFS  </w:t>
        <w:br/>
        <w:t>5. The General Rapporteur of the Authority sent on June 28, 2013, a notification of grievances for prohibited practices under Articles L. 420-1 of the Commercial Code and Article 101, paragraph 1, of the TFEU to the following companies: L’Éditeur, G&amp;B, Graham &amp; Brown Limited (hereinafter "G&amp;B Limited"), Grandeco, Grandeco Wallfashion Group NV SA, Gimv N.V., MCF, Décoralis S.A. (hereinafter "Décoralis"), A.S. Création France S.A.S. (hereinafter "A.S. Création France"), A.S. Création Tapeten AG, Rasch France, Rasch Germany, S.C.E., Zambaiti and Zambaiti International S.R.L. (hereinafter "Zambaiti International").</w:t>
      </w:r>
    </w:p>
    <w:p>
      <w:r>
        <w:rPr>
          <w:b/>
        </w:rPr>
        <w:t>[Pages 7–9]</w:t>
      </w:r>
    </w:p>
    <w:p>
      <w:r>
        <w:t>6. The companies MCF, S.C.E., and their parent companies, Décoralis, A.S. Création France, and A.S. Création Tapeten AG, have requested to benefit from the procedure provided for in III of Article L. 464-2 of the Commercial Code, regarding the non-contestation of the grievances that had been notified to them. The companies Zambaiti and Zambaiti International have also requested to benefit from the same procedure of non-contestation of the grievances.</w:t>
      </w:r>
    </w:p>
    <w:p>
      <w:r>
        <w:t xml:space="preserve">5. THE SECTOR OF ACTIVITY  </w:t>
        <w:br/>
        <w:t xml:space="preserve">a) Wallpapers  </w:t>
        <w:br/>
        <w:t xml:space="preserve">7. The sector concerned is that of wallpapers. Wallpapers, which directly face competition from other wall covering products, are mainly distinguished by the nature of their materials and their installation technique. They can be grouped according to their characteristics, for example, traditional printed wallpapers, vinyl or metallic wallpapers, velvet or flocked wallpapers, Japanese straw, preparatory wallpapers, or those intended to be painted.  </w:t>
        <w:br/>
        <w:t xml:space="preserve">8. Wallpapers are marketed in rolls and in two forms: in "bales," meaning by carton, or in "broken," meaning individually. The price of a roll ranges from ten euros for entry-level products to around one hundred euros for high-end products, depending on quality, design, and the cost of raw materials and production. Each year, new collections are created and marketed on the market, generally with thirty to forty references. The lifespan of a collection varies between one and five years (reference no. 8846, Xerfi study 700 "Wallpapers (market and distribution)").  </w:t>
        <w:br/>
        <w:t xml:space="preserve">9. The French wallpaper sector can be schematized as follows:  </w:t>
        <w:br/>
        <w:t xml:space="preserve">Creators/Publishers  </w:t>
        <w:br/>
        <w:t xml:space="preserve">Wallpaper Manufacturers  </w:t>
        <w:br/>
        <w:t xml:space="preserve">Wallpaper Wholesalers to  </w:t>
        <w:br/>
        <w:t xml:space="preserve">Construction Professionals (professional trade)  </w:t>
        <w:br/>
        <w:t xml:space="preserve">(30% of sales volume in 2007)  </w:t>
        <w:br/>
        <w:t xml:space="preserve">Large Specialized Retailers (G.S.S.)  </w:t>
        <w:br/>
        <w:t xml:space="preserve">(40% of sales volume in 2007)  </w:t>
        <w:br/>
        <w:t xml:space="preserve">DIY Superstores (G.S.B.)  </w:t>
        <w:br/>
        <w:t xml:space="preserve">(30% of sales volume in 2007)  </w:t>
        <w:br/>
        <w:t xml:space="preserve">End Users  </w:t>
        <w:br/>
        <w:t>(individuals, businesses, administrations)</w:t>
      </w:r>
    </w:p>
    <w:p>
      <w:r>
        <w:t xml:space="preserve">10. At the upstream stage of production, two categories of actors can be distinguished:  </w:t>
        <w:br/>
        <w:t xml:space="preserve">- on one hand, manufacturers, some of whom, like Grandeco (formerly Grantil), Inaltéra, and UGEPA, are both publishers and producers of wallpapers;  </w:t>
        <w:br/>
        <w:t xml:space="preserve">- on the other hand, wallpaper publishers such as Texdecor, Nobilis, Texam, and S.C.E., who design wallpapers by subcontracting all or part of the production, notably abroad.  </w:t>
        <w:br/>
        <w:t xml:space="preserve">11. Manufacturers and publishers of wallpapers primarily sell to professionals and, to a lesser extent, to individuals.  </w:t>
        <w:br/>
        <w:t xml:space="preserve">12. According to the Xerfi study of 2012, the turnover of the wallpaper manufacturing sector amounted to 27.3 million euros in 2009 (reference no. 8724). The leader in manufacturing in France according to this study is the Décoralis group, which publishes, produces through UGEPA, and distributes through Texam wallpapers for individuals and professionals.  </w:t>
        <w:br/>
        <w:t xml:space="preserve">13. Furthermore, European wallpaper producers, mainly from England, Italy, Germany, and Belgium, also market their goods in the French market through their French subsidiaries. These subsidiaries, while simple marketing channels, are nevertheless assimilated to their parent companies and are therefore considered wallpaper manufacturers.  </w:t>
        <w:br/>
        <w:t xml:space="preserve">b) The Intermediate Level of Wallpaper Marketing  </w:t>
        <w:br/>
        <w:t xml:space="preserve">14. In the wholesale market, the offer is directed, on one hand, to construction professionals, and on the other hand, to individuals, and passes through the three main sales channels which are:  </w:t>
        <w:br/>
        <w:t xml:space="preserve">- specialized wholesalers in wall coverings and professional traders (for example, Delzongle) who represent 30% of sales volume in 2007;  </w:t>
        <w:br/>
        <w:t xml:space="preserve">- large specialized retailers (for example, 4 Murs, Chantemur) who represent 40% of sales volume in 2007;  </w:t>
        <w:br/>
        <w:t xml:space="preserve">- DIY superstores (for example, Leroy Merlin, Castorama, Mr. Bricolage) who represent 30% of sales in 2007 (references nos. 8834, 8844, and 8862, Xerfi study 700 "Wallpapers (market and distribution)").  </w:t>
        <w:br/>
        <w:t xml:space="preserve">15. The sector is very fragmented and heterogeneous, from one category of distributors to another and in terms of supports and ranges. Specialized brands in wall coverings offering wallpapers had more than 830 points of sale in 2010. However, the vast majority of distributors generate a minor share of their turnover from wallpaper sales, which constitutes a complementary offer to other traditional wall coverings.  </w:t>
        <w:br/>
        <w:t xml:space="preserve">16. The practices denounced in this case occurred in the intermediate market connecting two types of operators: producers and importers, on one hand, and distributors, traders, and specialized retailers, on the other hand.  </w:t>
        <w:br/>
        <w:t xml:space="preserve">c) Recent Economic Developments in the Sector  </w:t>
        <w:br/>
        <w:t xml:space="preserve">17. The wallpaper sector has experienced an unfavorable evolution in recent years, marked by a pronounced decline in production, a restructuring through numerous concentrations, and a notable increase in the penetration of European manufacturers.  </w:t>
        <w:br/>
        <w:t xml:space="preserve">18. The decline of wallpaper has been rapid. In the 1970s, 100 million rolls of wallpaper were sold each year in France, a figure reduced to 30 million in 2012.  </w:t>
        <w:br/>
        <w:t xml:space="preserve">19. This evolution is explained by a conjunction of factors. Between 2007 and 2010, competition from paints and coatings, which are more fashionable and easier to use, as well as other substitutes (PVC and fiberglass wall coverings), the decline in construction and renovation activity, and household consumption choices at the expense of discretionary spending led to a rapid decrease in wallpaper consumption.  </w:t>
        <w:br/>
        <w:t xml:space="preserve">20. The latest Xerfi study highlights that since 2005, national production has been halved to just over 28 million rolls in 2011.  </w:t>
        <w:br/>
        <w:t xml:space="preserve">Number of Rolls  </w:t>
        <w:br/>
        <w:t xml:space="preserve">Year Index  </w:t>
        <w:br/>
        <w:t xml:space="preserve">(in millions)  </w:t>
        <w:br/>
        <w:t xml:space="preserve">2005 100 56  </w:t>
        <w:br/>
        <w:t xml:space="preserve">2006 84.8 47.488  </w:t>
        <w:br/>
        <w:t xml:space="preserve">2007 84.2 47.152  </w:t>
        <w:br/>
        <w:t xml:space="preserve">2008 64.6 36.176  </w:t>
        <w:br/>
        <w:t xml:space="preserve">2009 53.8 30.128  </w:t>
        <w:br/>
        <w:t xml:space="preserve">2010 52.1 29.175  </w:t>
        <w:br/>
        <w:t xml:space="preserve">2011 50 28  </w:t>
        <w:br/>
        <w:t xml:space="preserve">Source: Xerfi Study  </w:t>
        <w:br/>
        <w:t>21. These figures have led to a nearly continuous decrease since the early 2000s in the number of French manufacturers, despite the emergence of two new structures in 2009. More than half of these establishments employed fewer than 10 people in 2009, and the number of employees has continued to decline since 2000, reaching 714 people between 2002 and 2009.</w:t>
      </w:r>
    </w:p>
    <w:p>
      <w:r>
        <w:rPr>
          <w:b/>
        </w:rPr>
        <w:t>[Pages 10–12]</w:t>
      </w:r>
    </w:p>
    <w:p>
      <w:r>
        <w:t>22. Thus, one can note the disappearance, after judicial liquidation pronounced by the commercial court, of the following companies: Abélia Décors in June 2005; Essef Décors Muraux in July 2006; Marx Papiers Peints in November 2009 and Decopoche in December 2010. Furthermore, the opening of a judicial reorganization procedure was pronounced by the commercial court against Rouge de Garance in October 2010. The companies L’Éditeur and Grandeco, finally, have also been in judicial liquidation since, respectively, February 16, 2011, and January 25, 2013.</w:t>
      </w:r>
    </w:p>
    <w:p>
      <w:r>
        <w:t>23. The sector has also restructured through concentrations, notably through the merger of Grantil and Idéco in July 2007 and the acquisition in December 2008 by A.S. Création, a German company, of S.C.E. (Lutèce) and MCF (Montecolino), which were previously owned by the French group Décoralis.</w:t>
      </w:r>
    </w:p>
    <w:p>
      <w:r>
        <w:t>24. This restructuring movement has been accompanied by the development of direct establishment of numerous distribution subsidiaries of European wallpaper producers and a relative increase in imports from Germany (+5.8%), Belgium (+7.8%), and the United Kingdom (+5.3%). The major European brands, notably German, Italian, British, and Belgian, have a higher reputation than the majority of national publishers and manufacturers.</w:t>
      </w:r>
    </w:p>
    <w:p>
      <w:r>
        <w:t>25. Germany is the leading supplier of wallpaper to France: it accounted for half of external purchases in value in 2010. The strong position of German operators in the French wallpaper market is exercised notably through the companies A.S. Création, Pickhardt+Siebert, PS International, Sedim, Rasch France, and Marburg.</w:t>
      </w:r>
    </w:p>
    <w:p>
      <w:r>
        <w:t>6. THE COMPANIES CONCERNED</w:t>
        <w:br/>
        <w:t>a) L’Éditeur</w:t>
        <w:br/>
        <w:t>26. Established in 1994 and located in Marolles-en-Brie (94), this public limited company is a publisher that had its wallpapers manufactured by industrialists on its behalf and also engaged in sales activities, via wholesalers and large DIY stores.</w:t>
      </w:r>
    </w:p>
    <w:p>
      <w:r>
        <w:t>27. L’Éditeur was subject to judicial liquidation pronounced on February 16, 2011.</w:t>
      </w:r>
    </w:p>
    <w:p>
      <w:r>
        <w:t>28. Its turnover amounted to […] euros for 2010 (VC reference no. 16415). According to the applicant for leniency, L’Éditeur holds a market share of approximately 5% in the French wallpaper market (reference no. 40).</w:t>
      </w:r>
    </w:p>
    <w:p>
      <w:r>
        <w:t>b) Graham &amp; Brown France</w:t>
        <w:br/>
        <w:t>29. G&amp;B France is the French subsidiary of the English group Graham &amp; Brown Limited (hereinafter "G&amp;B Limited"), founded in 1946 and headquartered in Blackburn, Lancashire.</w:t>
      </w:r>
    </w:p>
    <w:p>
      <w:r>
        <w:t>30. The parent company holds 100% of the shares of its French subsidiary, established in 1999 in Armentières in the Nord (59) and whose headquarters has been located in Santes (59) since 2013.</w:t>
      </w:r>
    </w:p>
    <w:p>
      <w:r>
        <w:t>31. This company generates its turnover primarily with large DIY stores and specialized large retailers. It amounted to 14,079,000 euros in 2010 (reference no. 15450).</w:t>
      </w:r>
    </w:p>
    <w:p>
      <w:r>
        <w:t>c) Grandeco</w:t>
        <w:br/>
        <w:t>32. Grandeco is the French subsidiary of the Belgian company Grandeco Wallfashion Group N.V., which acquired the French company Grantil SA in 2007, founded in 1964 and headquartered in Châlons-en-Champagne in the Marne (51). Grantil became Grandeco after the parent company took over the wallpaper business of the Belgian group Balta Industries and the Belgian company Ideco.</w:t>
      </w:r>
    </w:p>
    <w:p>
      <w:r>
        <w:t>33. The Belgian company Grandeco Wallfashion Group N.V. was integrated in 2009 by Grandeco Group Services, which is itself majority-owned by the Brussels-based venture capital company Gimv N.V.</w:t>
      </w:r>
    </w:p>
    <w:p>
      <w:r>
        <w:t>34. A main bankruptcy procedure was opened against Grandeco Wallfashion Group N.V. (head office) on January 25, 2013. A secondary judicial liquidation procedure was opened by decision of January 29, 2013, against the French subsidiary and is still ongoing to this day.</w:t>
      </w:r>
    </w:p>
    <w:p>
      <w:r>
        <w:t>35. Grandeco achieved a turnover of 25,332,721 euros in 2010 (reference no. 5141). Grandeco is said to have held, according to the applicant for leniency, a share of approximately 12% of the French wallpaper market (reference no. 40).</w:t>
      </w:r>
    </w:p>
    <w:p>
      <w:r>
        <w:t>d) Rasch France</w:t>
        <w:br/>
        <w:t>36. Rasch France is the operational French subsidiary of the German group Rasch. Founded in 1861, it is one of the leading industrial groups in wallpaper in Germany. The group produces in Germany and Poland and employs more than 700 people worldwide.</w:t>
      </w:r>
    </w:p>
    <w:p>
      <w:r>
        <w:t>37. The parent company holds 100% of the shares of its French subsidiary, founded in 1986 and headquartered in Quincy Voisins, Seine-et-Marne (77).</w:t>
      </w:r>
    </w:p>
    <w:p>
      <w:r>
        <w:t>38. Rasch France achieved a turnover of 8,347,323 euros in 2010 (reference no. 16201). The Rasch group estimated at that time to hold approximately […%] of the wallpaper market in France.</w:t>
      </w:r>
    </w:p>
    <w:p>
      <w:r>
        <w:t>e) MCF</w:t>
        <w:br/>
        <w:t>39. MCF is a S.A.S. founded in 1988, whose headquarters is located in Ballancourt-sur-Essonne (91). It markets wallpaper under the Montecolino brand.</w:t>
      </w:r>
    </w:p>
    <w:p>
      <w:r>
        <w:t>40. Its majority shareholder has been the company Décoralis, which held 70.29% of the shares from January 1, 2005, and 79.99% between January 24, 2005, and December 2008, then the company A.S. Création France, which owned 70% of the capital between December 18, 2008, and July 15, 2011, and 100% today.</w:t>
      </w:r>
    </w:p>
    <w:p>
      <w:r>
        <w:t>41. The company A.S. Création France is itself a 100% subsidiary of the group A.S. Création Tapeten AG, a German company.</w:t>
      </w:r>
    </w:p>
    <w:p>
      <w:r>
        <w:t>42. The turnover achieved by MCF reached 11,077,096 euros in 2010 (reference no. 15107). MCF held, according to the applicant for leniency, a share of approximately 12% of the French wallpaper market (reference no. 40).</w:t>
      </w:r>
    </w:p>
    <w:p>
      <w:r>
        <w:t>f) S.C.E.</w:t>
        <w:br/>
        <w:t>43. The SAS Société de Concept et d’Édition (S.C.E.), founded in 1974, has its headquarters in Boves in the Somme (80).</w:t>
      </w:r>
    </w:p>
    <w:p>
      <w:r>
        <w:t>44. Its majority shareholder has been the company Décoralis, which held 51% of the shares between January 1, 2005, and December 18, 2008, then the company A.S. Création France, which owned 75% of the capital between December 18, 2008, and July 15, 2011. It currently holds 100%. As previously indicated in paragraph 41 of this decision, the company A.S. Création France is itself a 100% subsidiary of the German company A.S. Création Tapeten AG.</w:t>
      </w:r>
    </w:p>
    <w:p>
      <w:r>
        <w:t>45. It achieved a turnover of 26,453,461 euros in 2010 (reference no. 15295). S.C.E. held, according to the applicant for leniency, a share of approximately 19% of the French wallpaper market.</w:t>
      </w:r>
    </w:p>
    <w:p>
      <w:r>
        <w:t>g) Zambaiti</w:t>
        <w:br/>
        <w:t>46. Zambaiti France is the operational French subsidiary of the Italian group Zambaiti Parati. Founded in 1974, this Lombard group, present in 78 countries, is among the top three Italian wallpaper producers and exports 98% of its production. The parent company holds 100% of the French subsidiary Zambaiti.</w:t>
      </w:r>
    </w:p>
    <w:p>
      <w:r>
        <w:t>47. The company Pickhardt + Siebert, headquartered in Ulis in Essonne (91), was founded in 1972 by a German wallpaper manufacturer and was acquired by Zambaiti Parati in 1997, from which point it took the name Zambaiti.</w:t>
      </w:r>
    </w:p>
    <w:p>
      <w:r>
        <w:t>48. Zambaiti France markets the products of its parent company and positions itself in the high-end classic wallpapers for living rooms and bedrooms.</w:t>
      </w:r>
    </w:p>
    <w:p>
      <w:r>
        <w:t>49. Zambaiti France achieved a turnover of […] euros in 2010 (VC reference no. 15840). According to the applicant for leniency, Zambaiti held at that time a share of approximately 6% of the French wallpaper market (reference no. 40).</w:t>
      </w:r>
    </w:p>
    <w:p>
      <w:r>
        <w:t>50. Zambaiti France opened, on December 16, 2013, a procedure for cessation of activity.</w:t>
      </w:r>
    </w:p>
    <w:p>
      <w:r>
        <w:t>B. THE PRACTICES IDENTIFIED</w:t>
        <w:br/>
        <w:t>51. The documents in the file and the statements collected during the investigation revealed the existence, since 2006, of coordinated practices that took the form of exchanges of information between competing companies regarding commercial conditions concerning common collections, on the foreseeable levels of annual price evolution to come and, in 2010, on past monthly and quarterly turnovers. The framework (1) and the content of these exchanges (2) will be examined successively.</w:t>
      </w:r>
    </w:p>
    <w:p>
      <w:r>
        <w:rPr>
          <w:b/>
        </w:rPr>
        <w:t>[Pages 13–15]</w:t>
      </w:r>
    </w:p>
    <w:p>
      <w:r>
        <w:t xml:space="preserve">1. THE FRAMEWORK OF INFORMATION EXCHANGES  </w:t>
        <w:br/>
        <w:t xml:space="preserve">a) A particularity of the sector: common collections or sampling collections  </w:t>
        <w:br/>
        <w:t xml:space="preserve">52. Common collections, also known as sampling collections, take the form of sample albums of wallpapers created for the benefit of the wholesale customers of suppliers, who make them available to their own customers (distributors, stores, construction companies, painters, etc.). These sampling collections, which are produced in large quantities, allow distributors, construction companies, and ultimately users to know the references and make their choices based on the qualities of the sample. The majority of wallpaper suppliers participate in the production of common collections, which represent a significant burden for them.  </w:t>
        <w:br/>
        <w:t xml:space="preserve">53. A common collection can indeed contain several hundred sheets of wallpaper from different manufacturers, each sample being identified by references printed on its back. The samples necessary for creating the common collections are made from "cut rolls," knowing that a roll of wallpaper can be used to cut about twenty samples. For example, according to the leniency applicant, the sampling collections requested by the wholesaler Décor Ouest Distribution (hereinafter, "D.O.D.") in 2009 included 757 references, of which 162 were from Rasch France, the remainder being distributed among competitors. The wholesaler ordered approximately 2000 copies, and the production of these collections required the consumption of 16,200 rolls of wallpaper for the sole company Rasch France.  </w:t>
        <w:br/>
        <w:t xml:space="preserve">54. According to industry players, the creation of sampling collections is a typically French practice, costly and today difficult to amortize given the number of rolls of wallpaper consumed compared to the number of rolls sold (reference no. 5671).  </w:t>
        <w:br/>
        <w:t xml:space="preserve">b) The commercial conditions of common collections  </w:t>
        <w:br/>
        <w:t xml:space="preserve">55. Common collections constitute a promotional tool intended to facilitate the marketing of wallpapers. Their cost is therefore shared between suppliers and wholesale customers, sometimes in the form of a flat fee, for example, 30 euros per album for the customer Socoda, sometimes in the form of free cut rolls, most often according to commercial terms negotiated between the manufacturer and the wholesaler combining several cost-sharing modalities.  </w:t>
        <w:br/>
        <w:t xml:space="preserve">56. In a report dated April 17, 2012, Grandeco pointed out the diversity of amortization methods for collections:  </w:t>
        <w:br/>
        <w:t xml:space="preserve">"The collection is billed with a sampling discount and then amortized over two years, which is the lifespan of the collection, or the customer negotiates a non-amortizable flat price. Alternatively, there is a 100% sampling discount, making it free for the customer. Grandeco practices these three types of billing. We do not speak of sampling but simply of a discount" (reference no. 6292).  </w:t>
        <w:br/>
        <w:t xml:space="preserve">57. In a report dated April 11, 2012, the former managing director of the company L’Éditeur stated:  </w:t>
        <w:br/>
        <w:t xml:space="preserve">"We, with very few exceptions, have always billed for sampling. (...) It was in the 1950s that sampling was so high-yielding that cut rolls were given away. Then, we billed for amortizable sampling at a rate of X% of the revenue generated by the sampling over two years. But given the decline of the business, wholesalers were never reimbursed 100% of their sampling invoice, which is why some customers did not want to pay anything and wanted to shift all the risk onto the supplier [...]" (reference no. 5671).  </w:t>
        <w:br/>
        <w:t xml:space="preserve">58. When the price of sampling is not flat and the rolls are not provided for free, a practice that has become rare, wholesale customers primarily benefit from a discount granted by suppliers on the price of the cut rolls intended for creating the collections. This discount varies from 40% to 100%.  </w:t>
        <w:br/>
        <w:t xml:space="preserve">59. Wholesalers also benefit secondly from "amortization discounts" granted to allow them to amortize their investment in the sampling collection. These discounts, which, according to Rasch France, are not systematically practiced by all suppliers, depend on the cost of the collection and the revenue generated by the supplier with the customer. They relate to the difference between the revenue generated by the supplier with its wholesale customer and the manufacturing cost of the collection, the rate generally being from […%] to […%] (reference no. VC 40 of referral no. 10/0058 AC; reference no. 38). According to the statements of the leniency applicant, the amortization may or may not be capped.  </w:t>
        <w:br/>
        <w:t xml:space="preserve">60. Finally, the "participation in the cut roll" corresponds to a commercial cooperation service billed by wholesale customers practicing sampling to their wallpaper suppliers. Wholesalers indeed consider that the provision of common collections contributes to the sale of wallpaper. This commercial cooperation service, presented as aimed at amortizing the cost of binding the collections, is also negotiated between suppliers and wholesalers.  </w:t>
        <w:br/>
        <w:t xml:space="preserve">61. For example, Rasch France produced the commercial conditions ("sampling conditions") it granted to the customer D.O.D. in 2009: for this sampling, the price of the roll was set at […%] of the "bale" price, that is to say, in cardboard, the amortization discount was set at […%], and finally, the participation in the cut roll was set at two euros excluding tax per roll at the expense of the wallpaper supplier (reference no. VC 41 of referral no. 10/0058 AC; reference no. 39).  </w:t>
        <w:br/>
        <w:t xml:space="preserve">62. In practice, common collections are most often created by wholesale customers, who choose their samples and negotiate the commercial conditions with suppliers. However, it can also happen that these customers ask one or more suppliers to prepare common collections for them according to pre-established selection criteria and price ranges. This was the case, starting in 2006, for D.O.D., which then contacted Rasch France as well as some of its competitors to have them jointly create sampling collections on its behalf, under its supervision (reference no. 40).  </w:t>
        <w:br/>
        <w:t xml:space="preserve">63. These manufacturers agreed to create, in 2007, seven collections for the 2008-2009 season, and in 2009, five collections for the 2010-2011 season. Rasch France claims that the parties involved met "generally twice a year to prepare the common sampling collections for D.O.D." (references nos. 42 and 43 of referral no. 10/0058 AC). In its leniency application, Rasch France summarized these meetings and their participants in the following table:  </w:t>
        <w:br/>
        <w:t xml:space="preserve">64. The company D.O.D. participated in the sampling meetings for part of their duration. According to Rasch France, competitors met before the meeting, outside of its presence, to discuss the sampling conditions that they then separately announced to D.O.D.  </w:t>
        <w:br/>
        <w:t>65. The participation of the companies L’Éditeur, Grandeco, MCF, Rasch France, S.C.E., and Zambaiti in all or part of these common collections is confirmed by the statements of representatives of the wholesaler D.O.D., the statements of these companies, and the elements discovered during the inspection and seizure operations (agendas, expense reports). Only G&amp;B did not participate in these meetings.</w:t>
      </w:r>
    </w:p>
    <w:p>
      <w:r>
        <w:rPr>
          <w:b/>
        </w:rPr>
        <w:t>[Pages 16–18]</w:t>
      </w:r>
    </w:p>
    <w:p>
      <w:r>
        <w:t>66. Rasch France specifies that the participants in these meetings referred to themselves as "the Association of Wallpaper Wrongdoers," or the acronym AMPP found in the documents seized during the search and seizure operations.</w:t>
      </w:r>
    </w:p>
    <w:p>
      <w:r>
        <w:t>67. These meetings constituted one of the main frameworks for exchanging sensitive information among competitors. According to the leniency applicant, Rasch France and the competitors would also meet on the sidelines of the so-called A3P meetings, which bring together the main players in the wallpaper sector in France. Although this was not the main purpose of the meetings, it happened that sensitive information was exchanged there.</w:t>
      </w:r>
    </w:p>
    <w:p>
      <w:r>
        <w:t>68. Competitors could also, according to the leniency applicant, exchange this commercially sensitive information during conference calls outside of the meetings. According to the evidence produced during the investigation, telephone exchanges took place on May 28, 2008, between the companies Grandeco, MCF, Rasch France, and Zambaiti, on September 1, 2010, between the companies Rasch France and L’Éditeur, and on September 2, 2010, between Rasch France and G&amp;B.</w:t>
      </w:r>
    </w:p>
    <w:p>
      <w:r>
        <w:t>2. THE CONTENT OF THESE EXCHANGES</w:t>
      </w:r>
    </w:p>
    <w:p>
      <w:r>
        <w:t>69. During these meetings, suppliers exchanged information on commercial conditions for listing, particularly regarding the level of sampling discounts, amortization, and participation in the cut roll (a), but also on the foreseeable level of price changes (b) as well as on the levels of progression of their respective revenues (c).</w:t>
      </w:r>
    </w:p>
    <w:p>
      <w:r>
        <w:t>a) The commercial conditions for the realization of common collections</w:t>
      </w:r>
    </w:p>
    <w:p>
      <w:r>
        <w:t>70. The leniency applicants stated that the objective of these discussions was: "[...] to prevent suppliers from offering customers 'discrepant' listing conditions, i.e., amounts that are too high compared to those granted by other suppliers" (reference no. 48 of submission no. 10/0058 AC; reference no. 46), and that "These exchanges also allow Rasch France and the competitors to verify the claims of customers, who may assert that certain suppliers offer more favorable listing conditions in order to obtain higher sampling discounts, higher amortization rates (or lower ceilings or even no ceilings) or higher participation in the cut roll" (reference no. 49 of submission no. 10/0058 AC and reference no. 47 of submission no. 10/0101 F).</w:t>
      </w:r>
    </w:p>
    <w:p>
      <w:r>
        <w:t>71. The handwritten notes taken during the meeting of May 17, 2006, by the sales director of Rasch France, titled "Listing Meeting – Wallpaper Suppliers," summarize the content of the exchanges, presenting precise and quantified elements on the general commercial conditions applied regarding common collections by each supplier that participated in this meeting, namely the companies Zambaiti, MCF, L’Éditeur, Grantil (now Grandeco), Lutèce (S.C.E.), and A.S. Création.</w:t>
      </w:r>
    </w:p>
    <w:p>
      <w:r>
        <w:t>72. Indeed, the amounts of discounts regarding sampling, participation in cut rolls, and amortization appear for certain suppliers, depending on the type of collection concerned (regular products or building products, for example). These notes also contain information on the upcoming objectives of some of these suppliers regarding commercial policy or strategy (percentage of building collections continued, for example, for Rasch France; "less regulars" and "next year: maybe a return to net prices" for Grantil (now Grandeco); "stabilize conditions" for Lutèce (S.C.E.); "1 payment at normal maturity (plus 2 years) and the rlx between 5 to 6 euros" for Zambaiti.</w:t>
      </w:r>
    </w:p>
    <w:p>
      <w:r>
        <w:t>73. Several documents from both the leniency application and the search and seizure operations, as well as statements from various commercial managers of competing companies, corroborate the existence of exchanges of information on common collections.</w:t>
      </w:r>
    </w:p>
    <w:p>
      <w:r>
        <w:t>74. Firstly, the leniency applicant specifies in its application that it had exchanges with competing suppliers, notably regarding the amortization rate requested by the company D.O.D. from the six concerned suppliers, exchanges that led to a joint decision by these suppliers. Although the competitors initially proposed an amortization rate of [… %], the company D.O.D. requested a higher figure, at 12.5%. This request was the subject of common discussions among the competitors.</w:t>
      </w:r>
    </w:p>
    <w:p>
      <w:r>
        <w:t>75. In support of this assertion, two emails from October 27, 2008, testify to a consensus among the suppliers on the level of the amortization rate to be granted to D.O.D. In the first email, the sales director of the French branch of Grandeco (reference no. 114) confirms the agreement reached among the various suppliers: "I confirm our agreement Grantil, and on behalf of all, the precision of this agreement on the collective amortization correction of the 6 suppliers present for the collections, for the biennial 2008-2009. It is up to each of you to send him a confirmation based on this amortization rate of 12.5%."</w:t>
      </w:r>
    </w:p>
    <w:p>
      <w:r>
        <w:t>76. In the second email, the sales director of Rasch France sends to his competitors the "New data for Amortizations Listing 2008-2009-CEDI/Rasch" and specifies in particular that: "Sampling has been billed at 50% of the 2007 ball price, and will be amortizable at 12.5% of the listed references and for the duration of the collections."</w:t>
      </w:r>
    </w:p>
    <w:p>
      <w:r>
        <w:t>77. Secondly, the leniency applicant also specifies having had exchanges with its competitors regarding the level of participation in the cut roll during the meeting of April 22, 2009: "Rasch France thus indicated to the competitors that it would propose to DOD a participation of two euros excluding tax per cut roll, which it indeed did."</w:t>
      </w:r>
    </w:p>
    <w:p>
      <w:r>
        <w:t>78. The handwritten notes (reference nos 3865 to 3868; references no. 94 to 97 of sealed document no. 1) taken by Mr. Pascal X… (Zambaiti) during the "colleagues" meeting of April 22, 2009, corroborate the existence of these exchanges of information. These notes list the different participation rates in the cut roll by client and by supplier: L’Éditeur, Grandeco, MCF, Lutèce (S.C.E.), and Rasch France.</w:t>
      </w:r>
    </w:p>
    <w:p>
      <w:r>
        <w:t>79. In the same vein, in an exchange of emails on May 22 and 29, 2007, seized at the premises of the company L’Éditeur, concerning "RE: DOD/CEDI," addressed to the companies L’Éditeur, Grandeco, Lutèce (S.C.E.), Montecolino (MCF), and Rasch, Mr. Jean-Marie Y…, sales director of Grandeco, indicates that he met Mr. François Z… (DOD) on May 23 and that the latter "[asked them] to review our participation in the [cut] roll with an increase of 10% on the [cut] roll" (reference nos 5690, 10 545 to 10 549, and 2084).</w:t>
      </w:r>
    </w:p>
    <w:p>
      <w:r>
        <w:t>80. Rasch France also notes that these exchanges have tended over time to institutionalize. Thus, L’Éditeur provided each of the participants present at the meeting of April 22, 2009, with a blank table that it had previously prepared so that each participant could take note of the exchanged information, listing, for each of the participants, their respective clients and the listing conditions that were applied to them, particularly the participation in the cut roll and the sampling discounts.</w:t>
      </w:r>
    </w:p>
    <w:p>
      <w:r>
        <w:t>81. Rasch France did not wish to use this information exchange support, but four filled copies of this table were seized, respectively at the premises of the companies Grandeco, MCF, S.C.E., and Zambaiti. The similarity of the information recorded shows that they were filled out during the same meeting. They contain information regarding the prices and discounts practiced concerning common collections by the companies L’Éditeur, Grandeco, MCF, Rasch France, S.C.E., and Zambaiti.</w:t>
      </w:r>
    </w:p>
    <w:p>
      <w:r>
        <w:t>82. Mr. Jean-Marie Y... (Grandeco), Mr. Aymeric B… (MCF), Mr. Frédéric A… (former sales manager of the company S.C.E.), and Mr. Pascal X... (Zambaiti) have acknowledged</w:t>
      </w:r>
    </w:p>
    <w:p>
      <w:r>
        <w:rPr>
          <w:b/>
        </w:rPr>
        <w:t>[Pages 19–21]</w:t>
      </w:r>
    </w:p>
    <w:p>
      <w:r>
        <w:t>have filled out this table, based on the blank table distributed by the company L’Éditeur (references nos 5228 to 5230, 4324 and 4880, 6456 to 6457 and 6458). Mr. Michel C… (General Director of MCF) confirmed that the table was a summary of the general sales conditions of each manufacturer (references nos 5208 and 5872).</w:t>
      </w:r>
    </w:p>
    <w:p>
      <w:r>
        <w:t>83. The elements contained in this table are confirmed by the handwritten notes "Meeting Colleagues 22.04.2009" discovered in the premises of the company Zambaiti, detailing also the information exchanged on that date between these competing suppliers.</w:t>
      </w:r>
    </w:p>
    <w:p>
      <w:r>
        <w:t>84. According to the leniency applicants, the exchanges of information between suppliers regarding the conditions of common collections were not limited to the conditions applicable to the client D.O.D. but also concerned all of their common clients since at least 2007.</w:t>
      </w:r>
    </w:p>
    <w:p>
      <w:r>
        <w:t>85. The leniency applicants indicated that, during the meeting on April 22, 2009, the competitors exchanged information on the minimum price of 30 euros excluding tax for a collection for the client Socoda and on the discounts to be granted for the preparation of these collections. In support, they produced the handwritten notes from April 22, 2009, taken by Mr. Stéphan D… during this meeting.</w:t>
      </w:r>
    </w:p>
    <w:p>
      <w:r>
        <w:t>86. Grandeco and Zambaiti admit to having participated in these exchanges (references nos 5686 to 5687 and 6458).</w:t>
      </w:r>
    </w:p>
    <w:p>
      <w:r>
        <w:t>87. The handwritten notes titled "Meeting Colleagues 22.04.2009," already mentioned above, contain information regarding the commercial conditions of each competing supplier concerning the client Socoda, the discounts granted, and certain modalities for the realization of these common collections (references nos 3865 to 3868).</w:t>
      </w:r>
    </w:p>
    <w:p>
      <w:r>
        <w:t>88. Furthermore, a fax dated July 20, 2009, sent by the company L’Éditeur to the companies MCF (formerly Montecolino) and Zambaiti indicates that during a D.O.D. meeting, they also exchanged information on the price of a project model for the client PPG (reference no. 2482).</w:t>
      </w:r>
    </w:p>
    <w:p>
      <w:r>
        <w:t>89. Finally, the notes cited in paragraph 78 also contain information relating to clients other than those mentioned by the leniency applicants such as "Zolpan/Matéris," "LM," "EP," "SPE," "SAPP," "Nuances," "LBP," "SERVI," "CAD," "ESP R," "GAB" and testify to the participation of the following companies: L’Éditeur, Grandeco, Lutèce (i.e., S.C.E.), MCF, Rasch France, and Zambaiti in the common collections carried out by these different clients as well as the commercial conditions regarding common collections specific to each. Reference is also made to numerical data relating in particular to participation in the cut roll and the depreciation rate.</w:t>
      </w:r>
    </w:p>
    <w:p>
      <w:r>
        <w:t>b) The foreseeable levels of price changes</w:t>
      </w:r>
    </w:p>
    <w:p>
      <w:r>
        <w:t>90. According to the leniency applicants, these exchanges of information concerned increases compared to the base rate in effect for the coming year (references nos 4630 and 6525, 4631 and 6526).</w:t>
      </w:r>
    </w:p>
    <w:p>
      <w:r>
        <w:t>91. In a hearing on April 11, 2012, Mr. Jean-Yves E…, former Chairman and CEO of L’Éditeur, explained that distributors asked suppliers each year, starting in August, for their forecast of overall increases for the following year (reference no. 5676).</w:t>
      </w:r>
    </w:p>
    <w:p>
      <w:r>
        <w:t>92. In a statement, Mr. Dario F…, manager of the companies Rasch France and Rasch Germany, stated that he was annually aware of the increases planned by competitors through Mr. Stéphan D... and that he held this information following exchanges with his main competitors, which had been taking place since at least 2005 (references nos 143 to 144; references nos 163 to 164 of referral no. 10/0058 AC). A second statement, prepared by Mr. Stéphan D..., specifies the modalities of these exchanges (reference no. 51; references nos 51 to 54, 62 of referral no. 10/0058 AC).</w:t>
      </w:r>
    </w:p>
    <w:p>
      <w:r>
        <w:t>93. The percentages of planned price increases are also included in the last column of the tables distributed by L’Éditeur during the meeting on April 22, 2009 (see paragraphs 80 and following of this decision). Grandeco, MCF, S.C.E., and Zambaiti filled out this table. The announced increases were applied, as confirmed by the information provided by these companies regarding their levels of increase for the year 2009.</w:t>
      </w:r>
    </w:p>
    <w:p>
      <w:r>
        <w:t>94. During the telephone conversation on September 1, 2010, between Mr. Stéphan D... (Rasch France) and Mr. Laurent G… (company L’Éditeur), the latter asked him what price increase he anticipated for 2011. Mr. Stéphan D... replied that it would be 3%, and his correspondent indicated that he would surely apply 4%. Mr. Laurent G... does not rule out having had, on September 1, 2010, a telephone exchange with Mr. Stéphan D... regarding the upcoming price increase levels (references nos 10332 to 10 333). Upon presentation of the seized copy of the table in the premises of the company S.C.E., he confirms that the increases listed in this table correspond to the forecasted price increases (reference no. 10365).</w:t>
      </w:r>
    </w:p>
    <w:p>
      <w:r>
        <w:t>95. Furthermore, Mr. Jean-François H… (former General Director of G&amp;B France) acknowledges having had a telephone exchange on September 2, 2010, with Mr. Stéphan D... regarding the upcoming price increase levels (reference no. 7166). This exchange was subsequently recorded in writing by Mr. Stéphan D.... These handwritten notes, dated the same day, indicate "Telephone call from Mr. Jean François H… from Graham and Brown. He left me a very clear voicemail asking for my future increase (Dismiss message?) I spoke to him 1 hour later on the phone and he confirmed to me that he was apparently doing 4% like Lutèce, whom he had spoken to on the phone before. I replied that I would do 3%." The message left on the voicemail was confirmed by a bailiff's report dated September 3, 2010 (references nos 146 to 148).</w:t>
      </w:r>
    </w:p>
    <w:p>
      <w:r>
        <w:t>96. By email dated September 2, 2010, Mr. Jean-François H... addressed Mr. Mourad I…, his hierarchical superior, writing: "I have spoken on the phone with ALL THE ACTORS of the PP (...)" and informs him of the competitors' percentage increases for 2011 and the confidential nature of this information: "(...) Here are the INCREASES: LUTECE/AS 4% ERISMAN 3% RASH 3% GRANTIL/IDECO 3.50% AMBAITI 2.50% to 3.50% depending on products IT IS IMPOSSIBLE to implement a 7% INCREASE Regarding CASTO and LM we will make compensated increases as for the GSS For the rest I will do 5% I think that despite any PowerPoint presentation ...... Implementing a 7% increase is SUICIDE!!! Thank you for confirming your position" (reference no. 1097).</w:t>
      </w:r>
    </w:p>
    <w:p>
      <w:r>
        <w:t>c) The past turnover</w:t>
      </w:r>
    </w:p>
    <w:p>
      <w:r>
        <w:t>97. The leniency applicants indicated that the same competitors could exchange more general information about their activities. This was the case during the D.O.D. meeting on April 15, 2010, during which exchanges took place regarding the levels of revenue growth of the companies present during the first quarter of 2010 (reference no. 49 of referral no. 10/0058 AC; reference no. 47). The handwritten notes of Mr. Stéphan D... from April 15, 2010, mention the percentage changes in revenue for the last three months concerning the companies L’Éditeur, Grandeco, MCF, Rasch France, S.C.E., and Zambaiti.</w:t>
      </w:r>
    </w:p>
    <w:p>
      <w:r>
        <w:t>98. Grandeco confirmed an exchange of information in April 2010. Mr. Jean-Marie Y... stated: "Regarding the fact that I provided the figures at a certain point, it did not seem abnormal to me, in light of the signs of concern from my colleagues, to provide some signs and calm the rumors spread outside about Grantil given its difficult health at the time. I felt a bit obliged to do so regarding only the percentage of Grandeco's revenue and for me when I did it, it was after the social plan we underwent. This exchange of information must have taken place in April 2010. That is why I provided these figures and the others as well, subject to poker bluff" (reference no. 6302).</w:t>
      </w:r>
    </w:p>
    <w:p>
      <w:r>
        <w:t>99. He was also presented with the handwritten notes of Mr. Pascal X..., from the company Zambaiti, titled "Meeting Colleagues April 2010," mentioning numerical data regarding the level of revenue growth of the companies L’Éditeur, Grandeco, MCF, Rasch France, and S.C.E. for the first quarter of 2010 (references nos 3869 to 3870), each month and cumulatively.</w:t>
      </w:r>
    </w:p>
    <w:p>
      <w:r>
        <w:t>100. Zambaiti admits the existence of occasional exchanges of information: "After the DOD meeting, there was once an exchange regarding increases, it is in the table we mentioned earlier. Regarding revenue levels, during a DOD meeting in 2010, following the disastrous year of 2009 and the poor start of 2010, we had a roundtable to see where we stood because one of us was very worried about his situation (...)" (reference no. 6527).</w:t>
      </w:r>
    </w:p>
    <w:p>
      <w:r>
        <w:t>101. He was also presented with the handwritten notes of Mr. Aymeric B... mentioning numerical data regarding the evolution of the revenues of the same suppliers.</w:t>
      </w:r>
    </w:p>
    <w:p>
      <w:r>
        <w:rPr>
          <w:b/>
        </w:rPr>
        <w:t>[Pages 22–24]</w:t>
      </w:r>
    </w:p>
    <w:p>
      <w:r>
        <w:t>the pattern of trade between Member States.</w:t>
      </w:r>
    </w:p>
    <w:p>
      <w:r>
        <w:t>110. En outre, il est établi que les accords ou pratiques concertées qui ont pour objet ou pour effet d'empêcher, de restreindre ou de fausser la concurrence sur le marché intérieur sont prohibés par l'article 101, paragraphe 1, du TFUE, indépendamment de leur impact sur le commerce entre États membres.</w:t>
      </w:r>
    </w:p>
    <w:p>
      <w:r>
        <w:t>111. L'article L. 420-1 du code de commerce, quant à lui, prohibe également les pratiques anticoncurrentielles, en précisant que « sont prohibées, sous réserve des exceptions prévues par la loi, les pratiques qui ont pour objet ou pour effet d'empêcher, de restreindre ou de fausser la concurrence sur le marché français ».</w:t>
      </w:r>
    </w:p>
    <w:p>
      <w:r>
        <w:t>112. Il convient de rappeler que la notion de concurrence est essentielle au bon fonctionnement du marché et que toute entente ou pratique concertée qui en entrave le libre exercice est susceptible de nuire aux consommateurs et à l'économie en général.</w:t>
      </w:r>
    </w:p>
    <w:p>
      <w:r>
        <w:t>B. SUR L'EXISTENCE D'UNE PRATIQUE ANTI-CONCURRENTIELLE</w:t>
        <w:br/>
        <w:t>113. Au regard des éléments de preuve réunis, il apparaît que les entreprises concernées ont effectivement mis en œuvre des pratiques concertées consistant en des échanges d'informations sensibles sur les conditions commerciales et les prix des papiers peints, ce qui constitue une violation des articles 101 du TFUE et L. 420-1 du code de commerce.</w:t>
      </w:r>
    </w:p>
    <w:p>
      <w:r>
        <w:t>114. Ces échanges d'informations ont permis aux entreprises de coordonner leurs comportements sur le marché, ce qui a eu pour effet d'entraver la concurrence et de fausser le libre jeu du marché.</w:t>
      </w:r>
    </w:p>
    <w:p>
      <w:r>
        <w:t>115. En conséquence, il est établi que les entreprises ont agi de manière concertée pour restreindre la concurrence sur le marché français des papiers peints, ce qui justifie la notification des griefs et l'application des sanctions prévues par la loi.</w:t>
      </w:r>
    </w:p>
    <w:p>
      <w:r>
        <w:rPr>
          <w:b/>
        </w:rPr>
        <w:t>[Pages 25–27]</w:t>
      </w:r>
    </w:p>
    <w:p>
      <w:r>
        <w:t>the flows of trade between Member States, without requiring the establishment of a proven effect in this regard (judgments of the Court of Justice of the European Communities, now the Court of Justice of the European Union (hereinafter, the "Court of Justice"), of January 21, 1999, Bagnasco e.a., C-215/96 and C-216/96, Rec. p. I-135, paragraph 47, and of the Court of Cassation of January 31, 2012, Orange Caraïbe, p. 6).</w:t>
      </w:r>
    </w:p>
    <w:p>
      <w:r>
        <w:t>110. Based on the case law of the Union and national jurisprudence, and in light of Communication No. 2004/C 101/07 of the European Commission of April 27, 2004, containing guidelines relating to the notion of affecting trade as set out in Articles 81 and 82, now 101 and 102, of the TFEU (OJ 2004 C 101, p. 81), the Authority consistently considers that three elements must be demonstrated to establish that practices are likely to significantly affect trade between Member States: the existence of exchanges between Member States concerning the products or services in question, the existence of practices likely to affect these exchanges, and the significant nature of this possible effect.</w:t>
      </w:r>
    </w:p>
    <w:p>
      <w:r>
        <w:t>111. In cases of agreements extending to the entirety or vast majority of the territory of a Member State, the Court of First Instance of the European Communities (now the Court of the European Union, hereinafter the "Court") has ruled that "there is, at the very least, a strong presumption that a restrictive competition practice applied throughout the territory of a Member State is likely to contribute to the partitioning of markets and affect intra-Community trade. This presumption can only be rebutted if the analysis of the characteristics of the agreement and the economic context in which it is situated demonstrates otherwise" (judgment of December 14, 2006, Raiffeisen Zentralbank Österreich e.a./Commission, T-259/02 to T-264/02 and T-271/02, Rec. p. II-5169, paragraph 181). On appeal, the Court of Justice specified in a judgment of September 24, 2009, that "(...) the fact that an agreement has as its object only the marketing of products in a single Member State is not sufficient to exclude that trade between Member States may be affected. Indeed, an agreement extending to the entire territory of a Member State has, by its very nature, the effect of consolidating national partitions, thereby hindering the economic interpenetration desired by the [TFEU]" (judgment of September 24, 2009, Erste Group Bank/Commission, C-125/07 P, C-133/07 P and C-137/07 P, Rec. p. I-8681, paragraph 38).</w:t>
      </w:r>
    </w:p>
    <w:p>
      <w:r>
        <w:t>112. Furthermore, it is established case law that the demonstration of the significant nature of the direct or indirect, potential or actual, effect on trade between Member States can result from a set of criteria, including the nature of the practices, the nature of the products concerned, and the position of the companies involved in the market (judgment of the Court of Cassation of January 31, 2012, cited above, p. 6).</w:t>
      </w:r>
    </w:p>
    <w:p>
      <w:r>
        <w:t>2. ASSESSMENT BY THE AUTHORITY</w:t>
      </w:r>
    </w:p>
    <w:p>
      <w:r>
        <w:t>113. It is the responsibility of the Authority to demonstrate that these three conditions are met in this case, by verifying the existence of trade flows between Member States concerning the product in question and by demonstrating that these practices are likely to significantly affect trade.</w:t>
      </w:r>
    </w:p>
    <w:p>
      <w:r>
        <w:t>114. Firstly, the volumes of wallpaper exchanges from Germany, Belgium, or Italy are significant. The Xerfi study of February 2012 on wallpaper (market and distribution) specifies that:</w:t>
      </w:r>
    </w:p>
    <w:p>
      <w:r>
        <w:t>"French imports of wallpapers cover a significant part of the demand. Thus, foreign purchases represented in value nearly 53% of household consumption in 2010. The major European manufacturers have developed a significant presence among wholesalers and retailers in the market through commercial subsidiaries established in France. These subsidiaries, which are under German, Italian, British, and Belgian capital, have a reputation superior to that of the majority of national publishers and manufacturers. At the same time, wall decoration brands have undertaken a movement of internationalization of their supplies."</w:t>
      </w:r>
    </w:p>
    <w:p>
      <w:r>
        <w:t>115. Indeed, certain parties involved in this case produce wallpapers from several sites located in Germany, Belgium, the United Kingdom, and Italy and then market them in each of the Member States through marketing subsidiaries.</w:t>
      </w:r>
    </w:p>
    <w:p>
      <w:r>
        <w:t>116. Regarding the question of whether this effect can be qualified as significant, it should be recalled that these practices involve companies that are part of the main manufacturers present in the wallpaper trade in France and, for some, in Europe.</w:t>
      </w:r>
    </w:p>
    <w:p>
      <w:r>
        <w:t>117. It follows from the above that the practices at issue in this case are likely to significantly affect trade between Member States and must therefore be analyzed in light of both internal and Union competition rules, which the parties do not contest in this case.</w:t>
      </w:r>
    </w:p>
    <w:p>
      <w:r>
        <w:t>B. ON THE RELEVANT MARKET</w:t>
      </w:r>
    </w:p>
    <w:p>
      <w:r>
        <w:t>118. It follows from the decision-making practice of the Authority and the case law that when the practices in question are examined under the prohibition of agreements or concerted practices, as is the case here, it is not necessary to define the market precisely, as in the case of abuse of a dominant position, as long as the sector has been sufficiently identified to allow for the qualification of the observed practices and to attribute them to the operators who implemented them (decisions No. 09-D-17 of the Council of April 22, 2009, concerning practices implemented by the regional council of the order of pharmacists of Lower Normandy and No. 05-D-27 of June 15, 2005, concerning practices identified in the white tuna sector, paragraph 28; see also, in this sense, the judgment of the Court of First Instance of July 6, 2000, Volkswagen/Commission, T-62/98, Rec. p. II-2707, paragraph 230).</w:t>
      </w:r>
    </w:p>
    <w:p>
      <w:r>
        <w:t>119. The geographic market, for its part, includes the territory on which the companies are engaged in the supply and demand in question and on which the competitive conditions are homogeneous.</w:t>
      </w:r>
    </w:p>
    <w:p>
      <w:r>
        <w:t>120. The practices examined concern the activity of production and wholesale distribution of wallpapers. Wallpapers are distinguished from other wall covering products primarily by the nature of their materials and their installation technique. These specificities characterize the relevant market for the purposes of this case.</w:t>
      </w:r>
    </w:p>
    <w:p>
      <w:r>
        <w:t>121. Given in particular the national character of most manufacturers' brands and the specificity of commercial negotiations with large retailers in each country, the geographic delimitation of the market is national.</w:t>
      </w:r>
    </w:p>
    <w:p>
      <w:r>
        <w:t>122. It follows that the practices concerned the wallpaper market, a market of national dimension.</w:t>
      </w:r>
    </w:p>
    <w:p>
      <w:r>
        <w:t>C. ON THE MERITS OF THE ALLEGATIONS</w:t>
      </w:r>
    </w:p>
    <w:p>
      <w:r>
        <w:t>1. ON THE CONSEQUENCES OF THE IMPLEMENTATION OF THE PROCEDURE OF NON-CONTESTATION OF THE ALLEGATIONS</w:t>
      </w:r>
    </w:p>
    <w:p>
      <w:r>
        <w:t>a) Reminder of the principles</w:t>
      </w:r>
    </w:p>
    <w:p>
      <w:r>
        <w:t>123. The organization or company that chooses to seek the benefit of the implementation of III of Article L. 464-2 of the Commercial Code must comply with the conditions imposed in this regard, by not contesting the reality of the allegations that have been notified to it.</w:t>
      </w:r>
    </w:p>
    <w:p>
      <w:r>
        <w:t>124. The interested party must thus renounce contesting not only the reality of all the practices referred to in the notification of allegations but also the qualification that has been given to them in light of the provisions of Union law and the Commercial Code, as well as its responsibility in the implementation of these practices (see, in this sense, the judgment of the Paris Court of Appeal of March 29, 2012, Lacroix Signalisation e.a., No. 2011/01228, p. 23). This renunciation must, on all these points, be express, complete, and free of ambiguity (decisions No. 04-D-42 of August 4, 2004, concerning practices implemented in the context of the restoration of the spire of the cathedral of Tréguier, paragraph 15, No. 06-D-09 of April 11, 2006, concerning practices implemented in the door manufacturing sector, paragraph 303; see also, in this sense, decisions No. 10-D-39 of December 22, 2010, concerning practices implemented in the vertical road signage sector, paragraphs 226, 228, and 425, and No. 11-D-07 of February 24, 2011, concerning practices implemented in the sector of painting works on metal infrastructures, paragraph 113).</w:t>
      </w:r>
    </w:p>
    <w:p>
      <w:r>
        <w:t>125. Such a renunciation to contest the allegations is sufficient for the Authority to consider that all the infractions in question are established against the parties who have made this procedural choice (see, in this sense, the judgment of the Paris Court of Appeal of January 26, 2010, Adecco France e.a., No. 2009/03532, p. 10, and on appeal, the judgment of the Court of Cassation of March 29, 2011, Manpower France e.a., No. 10-12.913; see also the decisions No. 04-D-42, cited above, paragraph 12, and No. 11-D-07, cited above, paragraph 113).</w:t>
      </w:r>
    </w:p>
    <w:p>
      <w:r>
        <w:t>b) Application to the case at hand</w:t>
      </w:r>
    </w:p>
    <w:p>
      <w:r>
        <w:t>126. In this case, the allegation recalled in paragraph 103 above and relating to the practices described in paragraphs 51 to 101 above has not been contested by the companies MCF, S.C.E., and their parent companies, Décoralis, A.S. Création France, and A.S. Création Tapeten AG, Zambaiti France, and Zambaiti International. It is therefore established against them.</w:t>
      </w:r>
    </w:p>
    <w:p>
      <w:r>
        <w:t>127. It remains, however, necessary to demonstrate the individual participation in this infringement of each of the parties that did not make the procedural choice of non-contestation of the allegations (judgment of the Court of Cassation, Manpower France e.a., cited above, p. 5).</w:t>
      </w:r>
    </w:p>
    <w:p>
      <w:r>
        <w:t>128. This concerns, in this case, the companies L’Éditeur, Grandeco and its parent company Gimv N.V., G&amp;B France and its parent company G&amp;B Limited, all of which contested the allegations.</w:t>
      </w:r>
    </w:p>
    <w:p>
      <w:r>
        <w:rPr>
          <w:b/>
        </w:rPr>
        <w:t>[Pages 28–30]</w:t>
      </w:r>
    </w:p>
    <w:p>
      <w:r>
        <w:t>point 66).</w:t>
      </w:r>
    </w:p>
    <w:p>
      <w:r>
        <w:t>2. ON THE NOTIFIED GRIEVANCE</w:t>
        <w:br/>
        <w:t>129. The investigations have made it possible to gather a body of serious, precise, and consistent evidence allowing us to affirm that the parties involved colluded by exchanging information on commercial conditions regarding common collections, foreseeable levels of price evolution, and finally the levels of evolution of their turnover.</w:t>
        <w:br/>
        <w:t>130. It is appropriate, first of all, to recall the principles that guide the qualification of such practices (a) and secondly, to analyze their application to the case at hand (b).</w:t>
        <w:br/>
        <w:t>a) Reminder of the principles</w:t>
        <w:br/>
        <w:t>Concerted practices</w:t>
        <w:br/>
        <w:t>131. The notion of concerted practice refers to "a form of coordination between companies which, without having been pushed to the realization of a formal agreement, consciously substitutes practical cooperation among them for the risks of competition (...). The criteria of coordination and cooperation retained by the case law of the Court, far from requiring the elaboration of a genuine 'plan', must be understood in light of the inherent conception of the Treaty provisions relating to competition, according to which every economic operator must autonomously determine the policy it intends to follow on the common market. (...) While it is true that this requirement of autonomy does not exclude the right of economic operators to intelligently adapt to the observed or anticipated behavior of their competitors, it does, however, rigorously oppose any direct or indirect contact between such operators, aimed at or resulting in either influencing the behavior on the market of an actual or potential competitor, or revealing to such a competitor the behavior that one is determined to, or is considering to adopt oneself on the market" (judgment of the Court of Justice of December 16, 1975, Suiker Unie e.a./Commission, 40/73 to 48/73, 50/73, 54/73 to 56/73, 111/73, 113/73 and 114/73, Rec. p. 1663, points 26, 173 and 174).</w:t>
        <w:br/>
        <w:t>132. As the European Commission explained in its guidelines on the applicability of Article 101 of the Treaty to horizontal cooperation agreements: "an exchange of information can therefore constitute a concerted practice if it reduces strategic uncertainty in the market and, consequently, facilitates collusion, that is to say, if the exchanged data has a strategic character. Consequently, the exchange of strategic data between competitors amounts to a concertation, in that it reduces the independence of behavior of competitors in the market and their incentive to compete" (paragraph 61).</w:t>
        <w:br/>
        <w:t>133. The demonstration of the existence of a concerted practice requires not only a concertation between the companies but also a behavior in the market resulting from this concertation and having a causal link with it. In this regard, it follows from the case law of the Court of Justice that "it must be presumed, subject to contrary evidence which it is incumbent upon the interested operators to provide, that the companies participating in the concertation and remaining active in the market take into account the information exchanged with their competitors to determine their behavior in that market" (Judgment of the Court of Justice of July 8, 1999, Commission/Anic Partecipazioni, C-249/92 P, Rec. 1999 p.I-04125, point 121).</w:t>
        <w:br/>
        <w:t>134. This presumption of the causal link between the concertation and the behavior of the companies in the market is applicable even if the concertation is based only on a single meeting of the companies concerned (Court of Justice, June 4, 2009, T-Mobile, points 60 and 63).</w:t>
        <w:br/>
        <w:t>135. This presumption is also applicable when the company has limited itself to receiving information from competitors, without communicating any to them. Indeed, the Tribunal considered that "a company, by participating in a meeting with an anticompetitive purpose, not only pursued the aim of eliminating in advance the uncertainty regarding the future behavior of its competitors, but necessarily had to take into account, directly or indirectly, the information obtained during these meetings to determine the policy it intended to follow in the market. [...] This conclusion is also applicable when [...] the participation of one or more companies in meetings with an anticompetitive purpose is limited to the mere receipt of information regarding the future behavior of their competitors in the market" (judgment of July 12, 2001, Tate &amp; Lyle, T-202/98, T-204/98 and T-207/98, point 58). Indeed, in such a case, the degree of uncertainty regarding the future functioning of the market in question is mitigated for all the competitors involved, due to the information thus exchanged (guidelines on the applicability of Article 101 of the Treaty on the functioning of the European Union to horizontal cooperation agreements, paragraphs 62).</w:t>
        <w:br/>
        <w:t>136. In order to overturn this presumption, it is incumbent upon the concerned company to prove that the concertation did not influence its own behavior in the market in any way. The contrary evidence must thus be capable of excluding any link between the concertation and the determination, by this company, of its behavior in the market. In this regard, it should be noted that data relating to the prices practiced by the concerned company cannot, as such, be sufficient to overturn said presumption. Indeed, this data does not allow demonstrating, on its own, that this company did not take into account the information exchanged with its competitors to determine its behavior in the market (Court of Justice, December 5, 2013, Solvay Solexis SpA, point 39).</w:t>
        <w:br/>
        <w:t>The anticompetitive object of concerted practices</w:t>
        <w:br/>
        <w:t>137. A concerted practice has an anticompetitive object within the meaning of Article 101, paragraph 1, of the TFEU when, due to its content as well as its purpose and taking into account the legal and economic context in which it is inserted, it is concretely capable of preventing, restricting, or distorting competition within the common market. It is not necessary for competition to be actually prevented, restricted, or distorted nor for there to be a direct link between this concerted practice and consumer prices (Court of Justice, June 4, 2009, T-Mobile Netherlands e.a., point 43).</w:t>
        <w:br/>
        <w:t>138. In this regard, it matters little whether the parties acted without a subjective intention to restrict competition and colluded for reasons among which some were legitimate (Court of Justice, November 20, 2008, Beef Industry Development Society and Barry Brothers, C-209/07, Rec. p. I-8637, point 21).</w:t>
        <w:br/>
        <w:t>139. Concerted practices consisting of exchanges of information between competitors pursue an anticompetitive object when they are likely to eliminate uncertainties regarding the behavior contemplated by the companies concerned (judgment of the Court of Justice of June 4, 2009, T-Mobile Netherlands e.a., point 43).</w:t>
        <w:br/>
        <w:t>140. The exchanges of information allow companies to coordinate when they are of a nature "to mitigate or eliminate [...] any uncertainty regarding the predictable nature of the behaviors [of] competitors" (GC, October 27, 1994, John Deere, T-35/92, § 51). This is particularly the case when the exchanged information concerns future intentions. Thus, in a recent case concerning banana trade in Northern Europe, the European Commission considered that "the discussions and revelations concerning either 'price trends' or specifically reference prices aimed to coordinate the establishment of reference prices by the parties" (Commission Decision of October 15, 2008, § 268).</w:t>
        <w:br/>
        <w:t>141. A concerted practice can have an anticompetitive object even if it has no direct link with consumer prices (judgment of the Court of Justice of June 4, 2009, T-Mobile Netherlands e.a., points 36 to 39).</w:t>
        <w:br/>
        <w:t>142. Finally, in the judgment Tate &amp; Lyle of July 12, 2001, the Tribunal ruled that "(...) the mere fact of having received during these meetings information concerning competitors, information that an independent operator preserves as trade secrets, is sufficient to manifest the existence of an anticompetitive spirit within it (see, in this sense, judgment Solvay/Commission, cited above, point 100)" (ECJ, July 12, 2001, Tate &amp; Lyle plc, British Sugar plc and Napier Brown &amp; Co. Ltd, Rec 2001 II-02035, point 66).</w:t>
        <w:br/>
        <w:t>The proof of concerted practices</w:t>
        <w:br/>
        <w:t>143. The existence of a concerted practice can be demonstrated by elements proving that contacts took place between a number of companies and that they specifically pursued the aim of eliminating in advance the uncertainty regarding their future behavior in the market (judgments of the Court of Justice, December 16, 1975, Suiker Unie cited above, points 175 and 179 and of the Tribunal, July 12, 2011, Fuji Electric Co. Ltd./Commission, T-132/07, Rec. 2011 II-04091, point 88, and of March 15, 2000, Cimenteries CBR and others v. Commission, cases T-25/95 and others, point 19).</w:t>
        <w:br/>
        <w:t>144. The Paris Court of Appeal and the Court of Cassation have confirmed the evidentiary value of a body of serious, precise, and consistent evidence (Court of Cassation, April 7, 2010, Société puériculture de France SAS, no. 09-11853; Paris Court of Appeal, January 19, 1999, Gerland Routes SA e.a.).</w:t>
        <w:br/>
        <w:t>145. Regarding the statements of a leniency applicant, the Tribunal ruled: "As for the statements, a particularly high evidentiary value can also be recognized for those which, first, are reliable,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(see, in this sense, judgment JFE Engineering e.a./Commission, point 62 above, points 205 to 210). Furthermore, although a certain distrust towards voluntary statements from the main participants in an illegal agreement is generally warranted, given the possibility, invoked by the applicants, that these participants may tend to minimize the importance of their contribution to the infringement and maximize that of others, it remains that the fact of requesting to benefit from the application of the communication on cooperation in order to obtain immunity or a reduction of the fine does not necessarily create an incentive to present distorted evidence regarding the participation of other members of the agreement. Indeed, any attempt to mislead the Commission could undermine the sincerity as well as the completeness of the cooperation of the applicant and, consequently, jeopardize the possibility for it to fully benefit from the communication on cooperation (see, in this sense, judgment of the Tribunal of November 16, 2006, Peróxidos Orgánicos/Commission, T-120/04, Rec. p. II-4441, point 66).</w:t>
      </w:r>
    </w:p>
    <w:p>
      <w:r>
        <w:rPr>
          <w:b/>
        </w:rPr>
        <w:t>[Pages 31–33]</w:t>
      </w:r>
    </w:p>
    <w:p>
      <w:r>
        <w:t>caractère anticoncurrentiel de cette réunion n’est pas établi » (cote n° 14906).</w:t>
      </w:r>
    </w:p>
    <w:p>
      <w:r>
        <w:t>167. En ce qui concerne la réunion du 15 avril 2010, Gimv N.V. soutient que « […] il n’est pas établi que des informations sur les chiffres d’affaires mensuels et trimestriels aient été échangées lors de cette réunion » (cote n° 14907).</w:t>
      </w:r>
    </w:p>
    <w:p>
      <w:r>
        <w:t>168. Toutefois, il ressort des éléments du dossier que Grandeco a bien participé aux réunions et échanges en question, et ce, en connaissance de leur objet anticoncurrentiel.</w:t>
      </w:r>
    </w:p>
    <w:p>
      <w:r>
        <w:t>169. Par conséquent, la responsabilité de Grandeco est également engagée pour l’ensemble des pratiques constatées entre le 17 mai 2006 et le 30 novembre 2010.</w:t>
      </w:r>
    </w:p>
    <w:p>
      <w:r>
        <w:rPr>
          <w:b/>
        </w:rPr>
        <w:t>[Pages 34–36]</w:t>
      </w:r>
    </w:p>
    <w:p>
      <w:r>
        <w:t>166. It adds, without being able to contest Mr. Jean-Marie Y...'s participation in the meeting of April 24, 2007, given the existence of an expense report from April 23 to 27, 2007, in the name of Jean-Marie Y... which confirms his travel to Assevilliers on that date, that “[…] there is ambiguity surrounding this meeting” and believes that it was likely a meeting of the professional association A3P (reference nos. 14905 to 14 938).</w:t>
      </w:r>
    </w:p>
    <w:p>
      <w:r>
        <w:t>167. However, the elements resulting from the findings are sufficient to establish the participation of the company Grandeco in all the meetings referred to in the notification of grievances.</w:t>
      </w:r>
    </w:p>
    <w:p>
      <w:r>
        <w:t>168. Indeed, it emerges from the findings outlined above that the participation of the company Grandeco in the meeting of May 17, 2006, results from the notes taken during this meeting by Mr. Stéphan D..., produced by the applicants for leniency, from statements by Zambaiti, who admits the existence of a meeting in 2006 regarding the packaging, and from the recording of this meeting on the voicemail of Mr. Pascal X... of the Zambaiti company under the terms “DOD meeting with colleagues” from 12:00 to 1:30 PM.</w:t>
      </w:r>
    </w:p>
    <w:p>
      <w:r>
        <w:t>169. On the merits, Mr. Jean-Marie Y... has indeed admitted to having filled out the table mentioned in paragraph 82 above, based on the model distributed by the company L’Éditeur, and of which other copies were discovered during the inspection and seizure operations at the premises of other participants in the agreement. Furthermore, handwritten notes and statements from Mr. Pascal X... (Zambaiti) confirm Grandeco's participation in exchanges of information regarding the “other clients” Akzo Nobel, PPG, and Delzongle, during this same meeting.</w:t>
      </w:r>
    </w:p>
    <w:p>
      <w:r>
        <w:t>170. These concerted practices have an anti-competitive object due to their content and purpose. It matters little that the parties acted without a subjective intention to restrict competition and coordinated for reasons, some of which were legitimate. The anti-competitive object of these practices is therefore established in that the participants were conducting a concerted strategy to control the commercial conditions offered for the development of common collections and to exchange information on the evolution of wallpaper prices in the market.</w:t>
      </w:r>
    </w:p>
    <w:p>
      <w:r>
        <w:t>171. It emerges from the evidence presented above that Grandeco's participation in the notified grievance is established.</w:t>
      </w:r>
    </w:p>
    <w:p>
      <w:r>
        <w:t>172. Grandeco is held responsible for these practices committed between May 17, 2006, and November 30, 2010, which are contrary to Article 101 paragraph 1 of the TFEU and L. 420-1 of the Commercial Code.</w:t>
      </w:r>
    </w:p>
    <w:p>
      <w:r>
        <w:t>G&amp;B France</w:t>
      </w:r>
    </w:p>
    <w:p>
      <w:r>
        <w:t>173. It is clear from the notification of grievance and the report that G&amp;B France is implicated only for an exchange of information by telephone regarding a price increase.</w:t>
      </w:r>
    </w:p>
    <w:p>
      <w:r>
        <w:t>174. In response to the notification of grievance, the companies G&amp;B contest the evidentiary value of the elements produced by the applicant for leniency and those present in the file concerning this exchange.</w:t>
      </w:r>
    </w:p>
    <w:p>
      <w:r>
        <w:t>175. They contest the content of the telephone exchange of September 2, 2010, in that it was “[…] provoked by the company Rasch,” and also contest the evidentiary value of the terms “I spoke on the phone with all the players in the PP” from the email of September 2, 2010, sent by Mr. Jean-François H... to his hierarchical superior, arguing that it is merely an allegation that is neither proven nor supported.</w:t>
      </w:r>
    </w:p>
    <w:p>
      <w:r>
        <w:t>176. They also state that this exchange of information cannot constitute a meeting of minds insofar as G&amp;B did not participate in any coordination structure or any joint action. They claim not to have transmitted any information about their behavior in the market nor sought an advantage from the alleged information transmitted. Finally, they emphasize that the information denounced by the applicants for leniency does not ultimately correspond to the increase imposed by G&amp;B's management.</w:t>
      </w:r>
    </w:p>
    <w:p>
      <w:r>
        <w:t>177. Regarding the telephone conversation between the companies Rasch and G&amp;B, the existence of this exchange was reported by the applicant for leniency.</w:t>
      </w:r>
    </w:p>
    <w:p>
      <w:r>
        <w:t>178. According to the applicant for leniency, Mr. Jean-François H... (G&amp;B) left a message on the mobile phone of Mr. Stéphan D... on that date, confirmed by a bailiff's report of September 3, 2010 (reference nos. 149 to 151), regarding the anticipated increases for the coming year (reference no. 52).</w:t>
      </w:r>
    </w:p>
    <w:p>
      <w:r>
        <w:t>179. These assertions are corroborated by Mr. D...'s handwritten notes of September 2, 2010, which mention “Telephone call from Mr. Jean François H… Sté Graham and Brown. He left me a very clear voicemail asking about my future increase (Dismiss message?) I spoke to him an hour later on the phone and he confirmed that he was apparently doing 4% like Lutèce, whom he had spoken to before. I replied that I would do 3%.”</w:t>
      </w:r>
    </w:p>
    <w:p>
      <w:r>
        <w:t>180. This exchange is finally corroborated by the email of the same day sent by Mr. Jean-François H..., from G&amp;B France, to his hierarchical superior, which states: “Mourad, This email is confidential: I spoke on the phone with ALL THE PLAYERS of the PP ........ Here are the INCREASES: LUTECE/AS 4% ERISMAN 3% RASH 3% GRANTIL/IDECO 3.50% AMBAITI 2.50% to 3.50% depending on products It is IMPOSSIBLE to implement a 7% INCREASE Regarding CASTO and LM we will make compensated increases as for the GSS For the rest I will do 5% I think that despite any PowerPoint presentation ...... Implementing a 7% increase is SUICIDE! ! ! ! Thank you for confirming your position” (reference no. 1097).</w:t>
      </w:r>
    </w:p>
    <w:p>
      <w:r>
        <w:t>181. The percentages transmitted in this email have been confirmed by the company Rasch France and by the documents also seized at the premises of the company L’Éditeur (reference nos. 49, 149 to 151, 145 to 148) for the companies concerned.</w:t>
      </w:r>
    </w:p>
    <w:p>
      <w:r>
        <w:t>182. In response to the report, G&amp;B maintains that it does not contest the materiality of this telephone exchange while asserting that it does not recognize the content as denounced by the applicants for leniency.</w:t>
      </w:r>
    </w:p>
    <w:p>
      <w:r>
        <w:t>183. Regarding G&amp;B's responsibility for the behavior of one of its executives, according to the decision-making practice of the Authority, a company executive who participates in a meeting concerning the activities of the company that employs him is deemed to represent or bind that company.</w:t>
      </w:r>
    </w:p>
    <w:p>
      <w:r>
        <w:t>184. In this case, it is established that Mr. H... represented G&amp;B since he acted as the representative of this company, notably by gathering information on the commercial conditions of other market players. This information communicated and gathered by Mr. H... allowed G&amp;B to develop its commercial strategy. Under these conditions, G&amp;B's participation in this information exchange is established.</w:t>
      </w:r>
    </w:p>
    <w:p>
      <w:r>
        <w:t>185. Regarding the anti-competitive nature of this exchange, it should be recalled that a single occasional exchange can suffice to achieve the anti-competitive purpose sought (judgment of the Court of Justice of the European Union of June 4, 2009, T-Mobile, cited above, paragraph 59). This occasional consultation aimed at harmonizing behavior in the market among operators for the year 2011. Indeed, overall increase forecasts were discussed among competitors once a year starting in August for the following year.</w:t>
      </w:r>
    </w:p>
    <w:p>
      <w:r>
        <w:t>186. This exchange of information concerned an annual revision percentage, which constitutes a determining element in setting the general base rate. This information on the foreseeable level of price increase cannot be assimilated to aggregated data. It is a confidential and strategic exchange of information which, contrary to what G&amp;B claims, reduces uncertainty about the future behavior of competing operators in this sector and thus allows for announcing higher increases to distributors without fearing being out of the market.</w:t>
      </w:r>
    </w:p>
    <w:p>
      <w:r>
        <w:t>187. In accordance with case law, concerted practices consisting of exchanges of individualized data concerning future prices must be considered as a restriction of competition by object (judgment of the Tribunal, T-857/08, Fresh Del Monte, paragraphs 344 and 345).</w:t>
      </w:r>
    </w:p>
    <w:p>
      <w:r>
        <w:t>188. Finally, regarding the fact that the exchanged information does not correspond to the increase ultimately applied by G&amp;B, it should be recalled that while it appears that the exchanges referred to in this case were not followed by any express agreement, for example, on price fixing, it is nonetheless established that the mere fact of agreeing to provide, on the one hand, and to seek and receive this information, on the other hand, allowed each of the participants, both during the meetings and during the telephone exchanges, to determine their future behavior with knowledge of their competitors' intentions and, thus, to distort the competitive process, regardless of the nature of their role in these exchanges, whether passive or active, even in the absence of any subsequent coordination of the participants' behavior.</w:t>
      </w:r>
    </w:p>
    <w:p>
      <w:r>
        <w:t>189. In conclusion, it is therefore appropriate to consider that sufficient evidence has been gathered against G&amp;B France to characterize its participation on September 2, 2010, in one of the three branches of the grievance, participation whose effects lasted at least until the cessation of practices on November 30, 2010.</w:t>
      </w:r>
    </w:p>
    <w:p>
      <w:r>
        <w:t>190. G&amp;B France is held responsible for the concerted practice consisting of a telephone exchange of information on September 2, 2010, regarding the anticipated overall percentage increase in rates communicated six months prior to distributors for the year 2011.</w:t>
      </w:r>
    </w:p>
    <w:p>
      <w:r>
        <w:rPr>
          <w:b/>
        </w:rPr>
        <w:t>[Pages 37–39]</w:t>
      </w:r>
    </w:p>
    <w:p>
      <w:r>
        <w:t xml:space="preserve">D. ON THE ATTRIBUTION OF PRACTICES  </w:t>
        <w:br/>
        <w:t xml:space="preserve">1. ON THE APPLICABLE LAW  </w:t>
        <w:br/>
        <w:t xml:space="preserve">191. The concept of an undertaking and the rules of attribution fall under the substantive rules of Union competition law. The interpretation given by the Union courts therefore binds the national competition authority and the national courts when they apply Articles 101 and 102 TFEU in parallel with the internal competition rules of the commercial code (judgments of the Court of Justice of June 4, 2009, T-Mobile Netherlands e.a., C-8/08, Rec. 2009 p. I-4529, paragraphs 49 and 50, and of the Paris Court of Appeal of March 29, 2012, Lacroix Signalisation e.a., no. 2011/01228, p. 18).  </w:t>
        <w:br/>
        <w:t xml:space="preserve">a) On attribution within a group of companies  </w:t>
        <w:br/>
        <w:t xml:space="preserve">192. It follows from consistent case law that Articles L. 420-1 and L. 420-2 of the commercial code and Articles 101 and 102 TFEU target infringements committed by undertakings, understood as entities engaging in economic activity.  </w:t>
        <w:br/>
        <w:t xml:space="preserve">193. The Union judge has clarified that the concept of an undertaking must be understood as designating an economic unit, even if, from a legal perspective, it consists of several natural or legal persons (judgments of the Court of Justice of September 10, 2009, Akzo Nobel e.a./Commission, C-97/08 P, Rec. 2009 p. I-8237, paragraph 55, of March 29, 2011, ArcelorMittal Luxembourg/Commission and Commission/ArcelorMittal Luxembourg e.a., C-201/09 P and C-216/09 P, Rec. 2011 p. I-2239, paragraph 95, of September 29, 2011, Elf Aquitaine/Commission, C-521/09 P, not yet published in the Recueil, paragraph 53, and of the Paris Court of Appeal of March 29, 2012, Lacroix Signalisation e.a., no. 2011/01228, p. 18).  </w:t>
        <w:br/>
        <w:t xml:space="preserve">194. It also follows from established European case law that it is this economic entity that must, when it infringes competition rules, be held accountable for this infringement, in accordance with the principle of personal responsibility (judgments Akzo Nobel e.a./Commission, cited above, paragraph 56, ArcelorMittal Luxembourg/Commission and Commission/ArcelorMittal Luxembourg e.a., cited above, paragraph 95, Elf Aquitaine/Commission, cited above, paragraph 53), on which Union competition law is based (judgment of the Court of Justice of January 20, 2011, General Química e.a./Commission, C-90/09 P, Rec. p. I-1, paragraph 52).  </w:t>
        <w:br/>
        <w:t xml:space="preserve">195. Under both domestic law and Union law, within a group of companies, the behavior of a subsidiary can be attributed to the parent company particularly when, although having a distinct legal personality, the subsidiary does not autonomously determine its behavior in the market, but essentially follows the instructions given to it by the parent company, particularly in light of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thus form a single undertaking within the meaning of competition law (see in particular the judgments of the Court of Justice, Akzo Nobel e.a./Commission, cited above, paragraph 58, Arcelor Mittal Luxembourg/Commission and Commission/Arcelor Mittal Luxembourg e.a., cited above, paragraph 96, Elf Aquitaine/Commission, cited above, paragraph 54, and the judgment of the Paris Court of Appeal, Lacroix Signalisation e.a., cited above, pp. 18 and 19).  </w:t>
        <w:br/>
        <w:t xml:space="preserve">196. National courts have thus ruled that the practices implemented by a subsidiary are only attributable to it when it is able to define its own commercial, financial, and technical strategy, and to free itself from the hierarchical control of the company to which it is dependent (see the judgment of the Paris Court of Appeal of March 25, 2008, Cemex Bétons Sud-Est, not overturned on this point; Paris Court of Appeal of June 26, 2007, Guerlain, not overturned on this point, concerning sister companies and the judgment of the Court of Cassation of June 4, 1996, Jean Lefebvre, concerning branches; see also, for a reminder of the decision-making practice of the Competition Authority on this point, decision no. 09-D-36 of December 9, 2009, relating to practices implemented by Orange Caraïbe and France Télécom in various electronic communications services markets in the departments of Martinique, Guadeloupe, and Guyana, paragraphs 408 and following). Conversely, the Paris Court of Appeal ruled that "the attribution of a subsidiary's practices to its parent company, which is merely a possibility, can occur when the subsidiary does not autonomously determine its course of action in the market, but follows the instructions given to it by the parent company" (judgment of October 28, 2010, Maquet).  </w:t>
        <w:br/>
        <w:t xml:space="preserve">197. It is not required to prove that the parent company was directly involved in the incriminated behaviors or that it was aware of them in order to attribute to a parent company the acts committed by its subsidiary. As noted by the Union judge, "it is not a relationship of instigation regarding the infringement between the parent company and its subsidiary nor, even more so, an involvement of the former in the said infringement, but the fact that they constitute a single undertaking within the meaning of Article 81 EC that allows the Commission to address the decision imposing fines to the parent company of a group of companies (...)" (judgment of October 27, 2010, Alliance One International e.a./Commission, T-24/05, Rec. 2010 p. II-5329, paragraph 169; in the same sense, judgment Akzo Nobel, cited above, paragraph 59).  </w:t>
        <w:br/>
        <w:t xml:space="preserve">b) On attribution in the event of transformation of the undertaking  </w:t>
        <w:br/>
        <w:t xml:space="preserve">198. As established by consistent case law, when the existence of an infringement is established, it is necessary to determine the natural or legal person who was responsible for the operation of the undertaking in question at the time the infringement was committed, so that it can be held accountable for this infringement (see, in particular, judgments of the Tribunal of December 17, 1991, Enichem Anic/Commission, T-6/89, Rec. p. II-1623, paragraph 236, and of the Court of Cassation of June 23, 2004, BNP Paribas e.a., no. 01-17896 and 02-10066). The infringement must also be unequivocally attributed to a legal person who will be liable to be sanctioned (judgment of the Court of Justice of September 10, 2009, Akzo Nobel e.a./Commission, C-97/08 P, Rec. p. I-8237, paragraph 57).  </w:t>
        <w:br/>
        <w:t xml:space="preserve">199. As long as the legal person responsible for the operation of the undertaking that implemented practices infringing competition rules legally exists, it is that person who must be held responsible for these practices. In particular, it continues to be so even if the material and human elements that contributed to the commission of the infringement have been transferred to a third party (judgment of the Court of Cassation of November 20, 2001, SACER e.a., no. 99-16776 and 99-18253; see also decision no. 08-D-09 of May 6, 2008, relating to practices implemented in the funeral services sector in Lyon and its metropolitan area, paragraph 211, confirmed by judgment of the Paris Court of Appeal of March 31, 2009, Agence funéraire lyonnaise pompes funèbres Viollet, no. 2008/11 353, p. 24).  </w:t>
        <w:br/>
        <w:t xml:space="preserve">200. If this legal person has changed its corporate name or legal form, it nonetheless continues to be liable for the infringement committed (judgment of the Court of Justice of January 7, 2004, Aalborg Portland e.a./Commission, C-204/00 P, C-205/00 P, C-211/00 P, C-213/00 P, C-217/00 P and C-219/00 P, Rec. p. I-123, paragraph 59; see also decision no. 01-D-14 of May 4, 2001, relating to practices identified during contracts for the manufacture and implementation of bituminous mixtures on the departmental roads of Isère, p. 20).  </w:t>
        <w:br/>
        <w:t xml:space="preserve">201. Conversely, when the legal person responsible for the operation of the undertaking that committed the practices has ceased to exist legally, these practices must be attributed to the legal person to which the undertaking has been legally transferred, that is to say, the one that has received the rights and obligations of the person responsible for the infringement, and, in the absence of such a transfer, to the one that ensures its economic and functional continuity in fact (judgments BNP Paribas e.a., cited above, and of the Paris Court of Appeal of January 14, 2009, Eurelec Midi Pyrénées e.a., no. 2008/01095, p. 5).  </w:t>
        <w:br/>
        <w:t xml:space="preserve">202. This is particularly the case when a legal person is absorbed by another. In this case, the practices for which the absorbed company is responsible are attributed to the legal person that has absorbed it (judgment of the Tribunal of December 14, 2006, Raiffeisen Zentralbank Österreich/Commission, T-259/02 to T-264/02 and T-271/02, Rec. p. II-5169, paragraph 326). The same may also apply to the company resulting from the merger between the perpetrator of the practices and another entity.  </w:t>
        <w:br/>
        <w:t xml:space="preserve">203. In the specific case where a company has been acquired during the practices in question, each of the two successive parent companies may be attributed the practices for the period of control of the subsidiary that is specific to it (see in particular the judgment of the Court of Justice of April 10, 2014, Areva e.a./Commission, joined cases C-247/11 P and C-253/11 P, paragraph 133).  </w:t>
        <w:br/>
        <w:t xml:space="preserve">2. ASSESSMENT IN THE CASE AT HAND  </w:t>
        <w:br/>
        <w:t xml:space="preserve">a) Regarding the company Rasch Germany  </w:t>
        <w:br/>
        <w:t xml:space="preserve">204. The company Rasch France is the 100% operational French subsidiary of Rasch Germany (company Tapetenfabrik Gebr. Rasch GmbH &amp; Co. KG).  </w:t>
        <w:br/>
        <w:t xml:space="preserve">205. It follows from the principles recalled above that Rasch Germany is presumed to exert a determining influence on the behavior of its subsidiary in the market, which is not contested by the parties concerned.  </w:t>
        <w:br/>
        <w:t xml:space="preserve">206. Therefore, the practices of Rasch France should be attributed to its parent company Rasch Germany.  </w:t>
        <w:br/>
        <w:t xml:space="preserve">b) Regarding the company Gimv N.V.  </w:t>
        <w:br/>
        <w:t xml:space="preserve">207. The company Gimv N.V. contests the attribution to it of the practices attributed to its subsidiary Grandeco from the time of its acquisition on July 12, 2007.  </w:t>
        <w:br/>
        <w:t xml:space="preserve">208. The Paris Court of Appeal ruled that "the attribution of a subsidiary's practices to its parent company, which is merely a possibility, can occur when the subsidiary does not autonomously determine its course of action in the market, but follows the instructions given to it by the parent company" (judgment of October 28, 2010, Maquet).  </w:t>
        <w:br/>
        <w:t>209. In the present case, the elements of the file do not allow establishing that Grandeco did not autonomously determine its course of action in the market. Therefore, there is no basis for attributing the practices of Grandeco to its parent company Gimv N.V.</w:t>
      </w:r>
    </w:p>
    <w:p>
      <w:r>
        <w:rPr>
          <w:b/>
        </w:rPr>
        <w:t>[Pages 40–42]</w:t>
      </w:r>
    </w:p>
    <w:p>
      <w:r>
        <w:t>infractions.</w:t>
      </w:r>
    </w:p>
    <w:p>
      <w:r>
        <w:t>233. En conséquence, la valeur des ventes à retenir pour le calcul de la sanction est celle des ventes de papiers peints réalisées par les sociétés concernées durant leur dernier exercice comptable complet de participation à ces infractions.</w:t>
      </w:r>
    </w:p>
    <w:p>
      <w:r>
        <w:t>234. Il est précisé que la valeur des ventes doit être déterminée sur la base des chiffres d'affaires hors taxes, conformément aux dispositions du code de commerce.</w:t>
      </w:r>
    </w:p>
    <w:p>
      <w:r>
        <w:t>235. Enfin, il convient de rappeler que les entreprises concernées ont la possibilité de contester les éléments de calcul de la valeur des ventes qui leur sont notifiés, dans le cadre de la procédure de sanction.</w:t>
      </w:r>
    </w:p>
    <w:p>
      <w:r>
        <w:t>F. SUR LA PROCÉDURE</w:t>
        <w:br/>
        <w:t>236. La procédure a été menée conformément aux dispositions du code de commerce et aux règlements applicables, garantissant ainsi le respect des droits de la défense des entreprises concernées.</w:t>
      </w:r>
    </w:p>
    <w:p>
      <w:r>
        <w:t>237. Les entreprises ont été informées des griefs retenus à leur encontre et ont eu l'opportunité de présenter leurs observations, tant sur le fond que sur la forme, dans le cadre de la procédure.</w:t>
      </w:r>
    </w:p>
    <w:p>
      <w:r>
        <w:t>238. Les décisions prises par l'Autorité de la concurrence sont motivées et tiennent compte des éléments de preuve fournis par les parties ainsi que des arguments avancés par celles-ci.</w:t>
      </w:r>
    </w:p>
    <w:p>
      <w:r>
        <w:t>239. En conséquence, la procédure a été conduite de manière transparente et équitable, respectant les principes fondamentaux du droit à un procès équitable.</w:t>
      </w:r>
    </w:p>
    <w:p>
      <w:r>
        <w:rPr>
          <w:b/>
        </w:rPr>
        <w:t>[Pages 43–45]</w:t>
      </w:r>
    </w:p>
    <w:p>
      <w:r>
        <w:t>involving exchanges of information on prices, as they undermine the very essence of competition.</w:t>
      </w:r>
    </w:p>
    <w:p>
      <w:r>
        <w:t>251. In light of the above considerations, the Authority concludes that the coordinated practices in question, particularly those related to future price increases, represent a significant infringement of competition law, warranting a serious assessment of their impact on the market and the economy as a whole.</w:t>
      </w:r>
    </w:p>
    <w:p>
      <w:r>
        <w:t>2. ON THE DETERMINATION OF THE BASE AMOUNT</w:t>
      </w:r>
    </w:p>
    <w:p>
      <w:r>
        <w:t>237. In application of I of Article L. 464-2 of the Commercial Code, the base amount of the sanction imposed on each of the companies involved will be determined based on the severity of the facts and the extent of the damage caused to the economy, criteria that both relate to the established practices. The Authority's assessments in this regard will find a numerical translation in the choice of a proportion of the sales value retained for each company involved, a process that, as indicated above, will allow for the sanction's basis to be proportionate to the economic reality of the infringements, on the one hand, and the relative weight on the affected sector of each participant, on the other hand. A global assessment must be made of both the extent of the damage caused to the economy and the severity of the facts, before taking into account, in an individualized manner, the situation of each company and its personal contribution to the practices (judgment of the Paris Court of Appeal of October 11, 2012, cited above, p. 68).</w:t>
      </w:r>
    </w:p>
    <w:p>
      <w:r>
        <w:t>238. The duration of the practices, which constitutes a relevant factor for assessing both the severity of the facts (judgment of the Court of Cassation of May 30, 2012, Orange France, no. 11-22144) and the extent of the damage caused to the economy (judgment of the Court of Cassation of July 12, 2011, Lafarge ciments e.a., no. 10-17482 and 10-17791), will be taken into account from this dual perspective according to the practical modalities described in the press release of May 16, 2011.</w:t>
      </w:r>
    </w:p>
    <w:p>
      <w:r>
        <w:t>a) On the proportion of the sales value</w:t>
      </w:r>
    </w:p>
    <w:p>
      <w:r>
        <w:t>On the severity of the three practices referred to in the grievance</w:t>
      </w:r>
    </w:p>
    <w:p>
      <w:r>
        <w:t>239. The companies involved have implemented coordinated practices consisting of exchanges of information on commercial conditions regarding common collections, the foreseeable levels of annual price evolution concerning wallpaper prices, and finally, the levels of evolution of their monthly and quarterly sales figures.</w:t>
      </w:r>
    </w:p>
    <w:p>
      <w:r>
        <w:t>240. The Authority conducts a global assessment of both the extent of the damage caused to the economy and the severity of the facts, before taking into account, in an individualized manner, the situation of each company or party and its personal contribution to the practices (see the judgment of the Paris Court of Appeal of October 11, 2012, Entreprise H. Chevalier Nord, no. 2011/03298, p. 68, not overturned on this point). This global assessment is the same for all companies participating in the same infringement.</w:t>
      </w:r>
    </w:p>
    <w:p>
      <w:r>
        <w:t>241. To assess the severity of the facts, the Authority notably takes into account the following elements, depending on their relevance:</w:t>
        <w:br/>
        <w:t>- the nature of the infringement or infringements in question and the facts retained to characterize them (collusion between competitors, abuse of dominant position, etc.), as well as the nature of the parameters of competition concerned (price, clientele, production, etc.) and, where applicable, their combination; these elements are of central importance in the case of anti-competitive practices expressly referred to in Articles L. 420-1 and L. 420-2 of the Commercial Code and Articles 101 and 102 of the TFEU, considering their intrinsic severity;</w:t>
        <w:br/>
        <w:t>- the nature of the activities, sectors, or markets involved (public service activity, public market, sector recently opened to competition, etc.) and, where applicable, their combination;</w:t>
        <w:br/>
        <w:t>- the nature of the persons likely to be affected (small and medium-sized enterprises [SMEs], vulnerable consumers, etc.); and</w:t>
        <w:br/>
        <w:t>- the objective characteristics of the infringement or infringements (secret or not, degree of sophistication, existence of policing mechanisms or retaliatory measures, circumvention of legislation, etc.).</w:t>
      </w:r>
    </w:p>
    <w:p>
      <w:r>
        <w:t>242. In this case, it is appropriate to successively address the nature of the infringements in question, the nature of the sector and services concerned, and the concrete characteristics of these practices.</w:t>
      </w:r>
    </w:p>
    <w:p>
      <w:r>
        <w:t>On the nature of the infringements in question</w:t>
      </w:r>
    </w:p>
    <w:p>
      <w:r>
        <w:t>243. Regarding first the coordinated practices concerning common collections (first branch), it should be recalled that these consisted of exchanges of information concerning future data, namely the commercial conditions of common collections for several clients, the most important being DOD. This information particularly concerned the flat price of one of the collections, the sales discount per cut roll, as well as the level of participation in the cut roll and the amortization discounts of 12.5%. These practices thus aimed at a concertation among competitors on the sales conditions to wholesalers of the rolls necessary for the realization of the common collections, as well as on commercial cooperation, instead of leaving these competitive parameters to the free appreciation of each company, within the framework of an autonomous determination of its commercial policy and behavior in the market.</w:t>
      </w:r>
    </w:p>
    <w:p>
      <w:r>
        <w:t>244. Regarding more specifically the amortization discounts, the companies MCF, S.C.E., and their successive parent companies argue that the severity should be tempered in that the consultations on common collections did not touch on a determinant of wallpaper prices but only the amount of the pass-through of the cost of a promotional tool.</w:t>
      </w:r>
    </w:p>
    <w:p>
      <w:r>
        <w:t>245. Although the amortization discount may indeed affect the final price of wallpapers, the file does not present enough elements to demonstrate the actual consequences on the final prices of exchanges regarding these discounts. Therefore, concerning the coordinated practices regarding common collections, only the manipulation of the wholesale prices of wallpapers will be taken into account in terms of severity.</w:t>
      </w:r>
    </w:p>
    <w:p>
      <w:r>
        <w:t>246. Secondly, regarding the exchanges of information on the levels of evolution of their monthly and quarterly sales figures (third branch), it should be noted that these are past information. These practices correspond to a simple one-off exchange of retrospective information within the meaning of paragraph 26 of the press release of May 16, 2011, and thus present a lower degree of intrinsic severity.</w:t>
      </w:r>
    </w:p>
    <w:p>
      <w:r>
        <w:t>247. Thirdly and finally, regarding the coordinated practices concerning forecasts of price increases (second branch), they consisted of exchanges of information concerning future price-setting data.</w:t>
      </w:r>
    </w:p>
    <w:p>
      <w:r>
        <w:t>248. These horizontal practices of price coordination replace the free appreciation by each company of its pricing strategy. This coordination on future price increases not only reduced the uncertainty of the behavior of the concerned operators during future negotiations with distributors but also contributed to setting a final price at a level higher than that which would have resulted from a non-distorted competitive situation.</w:t>
      </w:r>
    </w:p>
    <w:p>
      <w:r>
        <w:t>249. The practices regarding future price increases thus aimed, by their very nature, to manipulate an essential parameter of competition in the concerned market. In this regard, it should be recalled that horizontal coordinated practices of exchanges of information regarding prices can be considered as part of violations of particular severity within the meaning of the aforementioned press release of May 16, 2011, even if they do not constitute price agreements or price-fixing collusions stricto sensu (see in this sense the Commission's decision of September 3, 2014, Smart Cards, point 408: "price coordination arrangements are, by their very nature, among the most serious violations" of Article 101 of the TFEU).</w:t>
      </w:r>
    </w:p>
    <w:p>
      <w:r>
        <w:t>250. These coordinated practices on prices can indeed only aim to confiscate, to the benefit of the authors of the infringement, the profit that operators downstream of the value chain and consumers are entitled to expect from a competitive functioning of the economy. It follows from the case law of European courts that the qualification of very serious infringements applies to agreements but also to coordinated practices involving exchanges of information on prices, as they undermine the very essence of competition.</w:t>
      </w:r>
    </w:p>
    <w:p>
      <w:r>
        <w:rPr>
          <w:b/>
        </w:rPr>
        <w:t>[Pages 46–48]</w:t>
      </w:r>
    </w:p>
    <w:p>
      <w:r>
        <w:t>(arrêt du Tribunal du 13 juillet 2011, Polimeri Europa SpA / Commission, T-59/07, §225; arrêt du Tribunal du 14 mars 2013, Fresh del Monte Produce, T-587/08, §771 et 772). In the same way, the finding of the very serious nature of a horizontal price-fixing agreement also applies when such an infringement materializes through exchanges of information (Court of the European Union, Tate &amp; Lyle plc. v. Commission, July 12, 2001, case T-202/98, 204/98 and 207/98, paragraph 103; Court of the European Union, Fresh del Monte Produce, Inc. v. Commission, March 14, 2013, T-587/08, paragraph 778).</w:t>
      </w:r>
    </w:p>
    <w:p>
      <w:r>
        <w:t>251. The company Zambaiti alleges that the exchanges of information would not be considered by the Paris Court of Appeal and the Authority as being, by nature, very serious.</w:t>
      </w:r>
    </w:p>
    <w:p>
      <w:r>
        <w:t>252. However, it has already been stated that the practices in question, in this case, are horizontal concerted practices regarding future prices and not mere exchanges of information, in the sense of point 26 of the press release of May 16, 2011, which would concern past data.</w:t>
      </w:r>
    </w:p>
    <w:p>
      <w:r>
        <w:t>253. The companies MCF, S.C.E. and their successive parent companies argue that the consultations on the pricing levels of wallpapers only concerned percentage increases whose application would not have been certain, as Zambaiti points out, the companies in question would be in a position of weakness against the distributors with whom they negotiate prices.</w:t>
      </w:r>
    </w:p>
    <w:p>
      <w:r>
        <w:t>254. However, it should be recalled that these practices aim to prevent, restrict, or distort competition in the French wallpaper market, without the possible circumstance that the expected result is not achieved in all cases being able to call into question the intrinsic seriousness of the practice. It is only at the stage of assessing the importance of the damage to the economy that the arguments put forward by the companies MCF and S.C.E. can be examined.</w:t>
      </w:r>
    </w:p>
    <w:p>
      <w:r>
        <w:t>On the situation of the sector in which the practices occurred</w:t>
      </w:r>
    </w:p>
    <w:p>
      <w:r>
        <w:t>255. It should be noted that the practices were implemented by companies that were among the main publishing, manufacturing, and marketing companies of wallpapers present in the national territory at the time of the facts, representing the majority of wallpaper sales in value in France.</w:t>
      </w:r>
    </w:p>
    <w:p>
      <w:r>
        <w:t>256. The company Zambaiti believes that the difficult situation of the sector should be taken into account to mitigate the seriousness of the facts.</w:t>
      </w:r>
    </w:p>
    <w:p>
      <w:r>
        <w:t>257. However, the difficult situation of a sector cannot justify the establishment of an anticompetitive agreement. Indeed, it follows from European case law that arguments regarding the crisis in the sector and the fact that the consultation allowed the survival of the companies cannot, under any circumstances, justify anticompetitive consultations (judgment of the Court of April 6, 1995, Sté métallurgique de Normandie et autres/Commission, T-147/89). The same applies at the national level as noted by the Competition Council in several decisions (decision no. 88-D-13 of March 15, 1988, relating to practices identified in the sector of transformed aluminum sheets for the packaging and conditioning of fresh dairy products, decision no. 05-D-03 relating to practices implemented in the bleach sector; see also the judgment of the Court of Appeal of January 26, 2010, no. 2009/03532, p. 23, confirmed on this point by the judgment of the Court of Cassation of March 29, 2011, no. T 10-12.913).</w:t>
      </w:r>
    </w:p>
    <w:p>
      <w:r>
        <w:t>On the concrete characteristics of the practices</w:t>
      </w:r>
    </w:p>
    <w:p>
      <w:r>
        <w:t>♦ The secret nature of the practices</w:t>
      </w:r>
    </w:p>
    <w:p>
      <w:r>
        <w:t>258. The consultation that took place between the companies in question had a secret character, an element that made the practices particularly difficult to detect and reflects their deliberate nature.</w:t>
      </w:r>
    </w:p>
    <w:p>
      <w:r>
        <w:t>259. The companies MCF, S.C.E., A.S. Création France and A.S. Création Tapeten AG and Décoralis believe that, regarding the concerted practices on common collections, the seriousness should be tempered on the grounds of the absence of a secret character since these collections were made at the request of the clients.</w:t>
      </w:r>
    </w:p>
    <w:p>
      <w:r>
        <w:t>260. However, it should be recalled that only the technical development of the common collections was requested by the common client D.O.D and that the consultations between competitors took place outside of these technical meetings, without the presence of any representative of the common client. The secret nature of the concerted practices consisting of exchanges of information must therefore be considered as established.</w:t>
      </w:r>
    </w:p>
    <w:p>
      <w:r>
        <w:t>♦ The sophistication of the infringements</w:t>
      </w:r>
    </w:p>
    <w:p>
      <w:r>
        <w:t>261. The practices in question exhibited a low degree of sophistication, an element that tempers the intrinsic seriousness of the facts.</w:t>
      </w:r>
    </w:p>
    <w:p>
      <w:r>
        <w:t>262. Indeed, it should first be noted the relatively low frequency of meetings or contacts regarding the alleged exchanges. Furthermore, the organization of the meetings was poorly structured: discussions mainly took place on the sidelines of the realization of the common collections.</w:t>
      </w:r>
    </w:p>
    <w:p>
      <w:r>
        <w:t>263. Regarding particularly the concerted practices concerning price increases, no monitoring mechanism between competitors has been evidenced in the file.</w:t>
      </w:r>
    </w:p>
    <w:p>
      <w:r>
        <w:t>On the importance of the damage caused to the economy</w:t>
      </w:r>
    </w:p>
    <w:p>
      <w:r>
        <w:t>264. It is established case law that the importance of the damage caused to the economy is assessed globally for the practices in question, that is to say, in light of the cumulative action of all participants, without the need to identify the share attributable to each of them taken separately (judgments of the Court of Cassation of February 18, 2004, CERP e.a., no. 02-11754, and of the Paris Court of Appeal of September 17, 2008, Agricultural Cooperative L’Ardéchoise, no. 2007/10 371, p. 6).</w:t>
      </w:r>
    </w:p>
    <w:p>
      <w:r>
        <w:t>265. This legal criterion is not to be confused with the harm that the victims of the practices in question may have suffered, but is assessed based on the general disruption they are likely to cause to the economy (see, for example, judgment of the Paris Court of Appeal of October 8, 2008, SNEF, no. 2007/18 040, p. 4).</w:t>
      </w:r>
    </w:p>
    <w:p>
      <w:r>
        <w:t>266. The Authority, which is not required to precisely quantify the damage caused to the economy, must carry out an assessment of its existence and importance, based on as complete an analysis as possible of the elements of the file and seeking the various aspects of the general disruption of the normal functioning of the economy caused by the practices in question (judgments of the Paris Court of Appeal of June 30, 2011, Orange France, no. 2010/12 049, p. 5, confirmed on appeal by the judgment of the Court of Cassation of May 30, 2012, cited above, and of January 26, 2012, Beauté Prestige International e.a., no. 2012/23 945, p. 89). The existence of damage to the economy cannot therefore be presumed (judgment of the Court of Cassation of April 7, 2010, Orange France e.a., no. 09-12984, 09-13163 and 09-65940).</w:t>
      </w:r>
    </w:p>
    <w:p>
      <w:r>
        <w:t>267. Based on established case law, the Authority takes into account, in particular, to assess the economic impact of the practice in question, the extent of the infringement, characterized, among other things, by its geographical coverage or by the cumulative market share of the participants in the relevant sector or market, its conjunctural or structural consequences, as well as the relevant economic characteristics of the relevant sector or market (see, for example, judgments of the Paris Court of Appeal of June 30, 2011, cited above, p. 5 and of January 26, 2012, cited above, p. 89; see also, in this sense, judgment of the Court of Cassation of May 30, 2012, cited above). Both the proven and potential effects of the practice may be taken into consideration in this regard (see, in this sense, judgment of the Court of Cassation of June 28, 2005, Novartis Pharma, no. 04-13910).</w:t>
      </w:r>
    </w:p>
    <w:p>
      <w:r>
        <w:t>268. In this case, it is appropriate, first, to examine the extent of the practices, secondly, the economic characteristics of the sector in question, and finally, the conjunctural consequences of the practices.</w:t>
      </w:r>
    </w:p>
    <w:p>
      <w:r>
        <w:t>On the extent of the practices</w:t>
      </w:r>
    </w:p>
    <w:p>
      <w:r>
        <w:t>♦ Regarding the characteristics of the practices themselves</w:t>
      </w:r>
    </w:p>
    <w:p>
      <w:r>
        <w:t>269. The concerted practices consist, first of all, of exchanges of information on the commercial conditions relating to the common collections (first branch) which, concerning the sampling and participation in the cut roll, affected a small share of the market, since the manufacturing of the common collections represented barely 2% of the turnover of the wallpaper supply activity.</w:t>
      </w:r>
    </w:p>
    <w:p>
      <w:r>
        <w:t>270. On the other hand, the practice of exchanges on the amortization discounts may have marginally affected, depending on the conditions offered to different clients, the formation of wholesale prices for at least some of the wallpapers sold by the participants in the infringement.</w:t>
      </w:r>
    </w:p>
    <w:p>
      <w:r>
        <w:t>271. Next, concerning the isolated exchange of information on the levels of revenue growth during the past quarter (third branch), it is sporadic and concerns past and poorly detailed data, which does not allow for monitoring any deviations from a common course of action that would have concerned price increases. Indeed, the simple comparison of revenue trends does not allow for precise knowledge of the evolution of the prices charged.</w:t>
      </w:r>
    </w:p>
    <w:p>
      <w:r>
        <w:t>272. Finally, regarding the concerted practice consisting of exchanges of information on intentions for price increases for the coming year (second branch), the exchanged information concerns a percentage of general annual increase of the "base rates" (the general tariff list of a supplier by product category), all distributors combined.</w:t>
      </w:r>
    </w:p>
    <w:p>
      <w:r>
        <w:t>273. Such consultation has strategic importance, since each year, suppliers announce the general increase of base rates to all their distributors. Consequently, the exchanges of information on the percentage increase between competing suppliers allow them to display relatively similar increases, which limits the negotiating capacity of the distributors. Thus, while it is true, as the companies MCF, S.C.E. and their successive parent companies point out (references nos 16990 and 17030), that there is a margin for negotiation between the increases announced generally to all distributors and the actual increase applied to each distributor and negotiated individually, it remains that the exchange affects the negotiation process and the competition among suppliers by the distributors.</w:t>
      </w:r>
    </w:p>
    <w:p>
      <w:r>
        <w:rPr>
          <w:b/>
        </w:rPr>
        <w:t>[Pages 49–51]</w:t>
      </w:r>
    </w:p>
    <w:p>
      <w:r>
        <w:t>274. Furthermore, in a market where prices are heterogeneous and numerous, it is more relevant to coordinate on price increases than on price levels. Consequently, the fact that the exchanges of information concerned average price increases and not prices is not in itself likely to call into question the extent of the damage to the economy. Similarly, contrary to what the companies MCF and S.C.E. state in their response submissions (references nos 16980 to 16981 and 17020 to 17021), this practice may have affected all collections and not just the old collections that were renewed, since the exchange of information concerned the increase in the base rate, which corresponds to an average rate per product category, mixing old and new collections. The consultation therefore concerned the increase of an average price of a product category whose composition could vary from year to year, depending on the arrival of new collections or the renewal of old collections.</w:t>
      </w:r>
    </w:p>
    <w:p>
      <w:r>
        <w:t>275. On the other hand, as mentioned at the stage of assessing the severity, it appears from the file that these consultations are poorly structured and that the existence of monitoring mechanisms is not established. In the absence of these mechanisms, the effectiveness of the practice is less assured, as the market is not very transparent, negotiations with distributors - whose purchasing power can be significant as mentioned by the companies MCF and S.C.E. (references nos 16990 and 17030) - are individual, and discounts are deducted from the base rate. Furthermore, in a declining market such as that of wallpaper, in the absence of regular and frequent exchanges of information on volumes, it is difficult for members of a collusion to know whether the decrease in demand they face is due to a decrease in overall demand for wallpaper products or a deviation from one of the competitors.</w:t>
      </w:r>
    </w:p>
    <w:p>
      <w:r>
        <w:t>276. Although the cumulative market shares of the members of the information exchange represent significantly more than half of wallpaper sales in value in France, the extent of the three practices targeted by the grievance and the importance of the damage they may have caused to the economy are limited by the existence of significant competitors who did not participate in the alleged practices. Thus, some significant suppliers did not participate in the practices, including the Texdecor group and its subsidiary Casadeco, which would be the leader in the French wallpaper market according to the statements of the commercial and administrative director of Zambaiti, and the Marburg group, which presents itself as a global leader in the manufacture of wallpapers and wall coverings.</w:t>
      </w:r>
    </w:p>
    <w:p>
      <w:r>
        <w:t>277. To assess the damage to the economy, the Authority also focuses on taking into account the objective economic characteristics of the sector in question, as these are likely to influence the conjunctural or structural consequences of the practices.</w:t>
      </w:r>
    </w:p>
    <w:p>
      <w:r>
        <w:t>278. In this case, wallpaper seems to face strong competition from other wall covering products, such as paint, which would be the reason for the crisis in this sector (references nos 8709 and 8710).</w:t>
      </w:r>
    </w:p>
    <w:p>
      <w:r>
        <w:t>279. Regarding the coordinated practices on price increases, the overprice caused has not been estimated. However, the annual changes in average price per roll of each supplier are heterogeneous, which tends to show that the exchanges of information did not allow for an alignment of price increases on average.</w:t>
      </w:r>
    </w:p>
    <w:p>
      <w:r>
        <w:t>280. Consequently, both the extent of the practices and the objective economic characteristics of the sector, as well as the conjunctural and structural consequences of the practices, allow us to conclude that the practices attributed to the companies in question have caused certain but limited damage to the economy.</w:t>
      </w:r>
    </w:p>
    <w:p>
      <w:r>
        <w:t>281. Given the assessment made above of the severity of the facts and the importance of the damage caused to the economy, it is appropriate to retain, for determining the base amount of the sanction imposed on the companies in question, a proportion of 10% of the value of their sales.</w:t>
      </w:r>
    </w:p>
    <w:p>
      <w:r>
        <w:t>b) On the duration of the practices</w:t>
      </w:r>
    </w:p>
    <w:p>
      <w:r>
        <w:t>282. As previously indicated, the duration of an infringement of competition rules is a factor that should be taken into account in the assessment of both the severity of the facts and the importance of the damage caused to the economy. Indeed, the longer such an infringement lasts, the more substantial and persistent the harm it causes to the competitive process and the disruption it entails for the functioning of the sector or market in question, and more generally for the economy, can be. The Union's case law on this point notes that “[i]f an agreement fixes the state of the market at the time it is concluded, its long duration may rigidify its structures [...]. The return to a state of free competition will be all the more difficult and lengthy the longer the agreement itself has lasted” (judgment of the Court of Justice of December 8, 2011, KME Germany e.a./Commission, case C-389/10 P, Rec. p. I-13125, paragraph 75).</w:t>
      </w:r>
    </w:p>
    <w:p>
      <w:r>
        <w:t>283. In cases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full year of implementation of the behavior in question, to the reference sales value, then to half of that value, for each of the subsequent full years of implementation. Beyond this last full year, the remaining period is taken into account on a monthly basis, to the extent that the elements of the file allow it.</w:t>
      </w:r>
    </w:p>
    <w:p>
      <w:r>
        <w:t>284. In each specific case, this method results in a multiplier coefficient, defined proportionally to the individual duration of participation of each of the companies in the practices and applied to the proportion of the value of sales made by each of them during the accounting year retained as a reference.</w:t>
      </w:r>
    </w:p>
    <w:p>
      <w:r>
        <w:t>285. In the present case, the notified grievance concerns, for all the companies in question except G&amp;B France, the period from May 17, 2006, to November 30, 2010.</w:t>
      </w:r>
    </w:p>
    <w:p>
      <w:r>
        <w:t>286. It is therefore appropriate to retain for the companies that participated in the three branches of the grievance a coefficient taking into account the duration of 4 years, 6 months, and 13 days.</w:t>
      </w:r>
    </w:p>
    <w:p>
      <w:r>
        <w:t>287. The G&amp;B companies emphasize the occasional nature of their participation in the alleged practice (references nos 16938 to 16959).</w:t>
      </w:r>
    </w:p>
    <w:p>
      <w:r>
        <w:t>288. As already mentioned in paragraph 147 above, the more or less regular attendance of the company at meetings between companies with an anti-competitive purpose, the duration of its participation in the agreement, as well as the more or less complete implementation of the agreed measures may have consequences not on the existence of its liability, but on the extent of it and therefore on the level of the sanction (see, in this sense, the judgment of the Court of Justice Dansk Rørindustri e.a./Commission, cited above, paragraph 145).</w:t>
      </w:r>
    </w:p>
    <w:p>
      <w:r>
        <w:t>289. In the present case, G&amp;B participated in a telephone exchange on September 2, 2010, and coordinated with all its competitors on the foreseeable levels of annual price evolution concerning wallpaper prices.</w:t>
      </w:r>
    </w:p>
    <w:p>
      <w:r>
        <w:t>290. However, G&amp;B France did not participate in all the practices denounced by the grievance, which has consequences, as mentioned in paragraph 288 above, not on the existence of its liability but on the extent of it, which will be assessed later, at the stage of individual participation in the infringement.</w:t>
      </w:r>
    </w:p>
    <w:p>
      <w:r>
        <w:t>291. Under the principles mentioned above, it is established that G&amp;B France fully participated in the coordinated practice consisting of an exchange of information on the price increases for the coming year. Therefore, it is appropriate to retain as the duration the period from G&amp;B France's entry into the concerned coordinated practice until the end of this practice, as it has been set for all the other companies involved, namely November 30, 2010.</w:t>
      </w:r>
    </w:p>
    <w:p>
      <w:r>
        <w:t>292. Consequently, the duration of G&amp;B France's participation in the second branch of the notified grievance is set at 3 months.</w:t>
      </w:r>
    </w:p>
    <w:p>
      <w:r>
        <w:t>c) Conclusion on the determination of the base amount</w:t>
      </w:r>
    </w:p>
    <w:p>
      <w:r>
        <w:t>293. It follows from all of the above that, given the severity of the facts and the importance of the damage caused to the economy by the practices in question, the base amount of the monetary sanction determined in proportion to the sales related to the marketing of the services in connection with the infringements committed by the companies in question, on the one hand, and the duration of the practices, on the other hand, is as follows:</w:t>
      </w:r>
    </w:p>
    <w:p>
      <w:r>
        <w:rPr>
          <w:b/>
        </w:rPr>
        <w:t>[Pages 52–54]</w:t>
      </w:r>
    </w:p>
    <w:p>
      <w:r>
        <w:t xml:space="preserve">Société Montant de base (en euros)  </w:t>
        <w:br/>
        <w:t xml:space="preserve">L’Éditeur 468 050  </w:t>
        <w:br/>
        <w:t xml:space="preserve">Grandeco 4 525 361  </w:t>
        <w:br/>
        <w:t xml:space="preserve">MCF 2 200 163  </w:t>
        <w:br/>
        <w:t xml:space="preserve">S.C.E. 5 538 557  </w:t>
        <w:br/>
        <w:t xml:space="preserve">Rasch France 2 311 095  </w:t>
        <w:br/>
        <w:t xml:space="preserve">Zambaiti 1 348 820  </w:t>
        <w:br/>
        <w:t xml:space="preserve">G&amp;B France 290 900  </w:t>
        <w:br/>
        <w:t>Total 16 682 946</w:t>
      </w:r>
    </w:p>
    <w:p>
      <w:r>
        <w:t xml:space="preserve">3. ON THE INDIVIDUALIZATION OF SANCTIONS  </w:t>
        <w:br/>
        <w:t xml:space="preserve">294. The Authority then committed to adapting the base amounts retained above in light of the legal criterion concerning the individual situation of each of the parties involved, whether they are organizations or companies, belonging, where applicable, to larger groups.  </w:t>
        <w:br/>
        <w:t xml:space="preserve">295. To this end, and based on the elements specific to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  </w:t>
        <w:br/>
        <w:t xml:space="preserve">a) On the individual participation of companies  </w:t>
        <w:br/>
        <w:t xml:space="preserve">296. The Authority committed to adapting the base amounts retained above in light of the legal criterion concerning the individual situation of each of the parties involved, whether they are organizations or companies, belonging, where applicable, to larger groups.  </w:t>
        <w:br/>
        <w:t>297. To this end, and based on the elements specific to each case, it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adjusting the sanction both upwards and downwards.</w:t>
      </w:r>
    </w:p>
    <w:p>
      <w:r>
        <w:t xml:space="preserve">298. The companies G&amp;B argue that the short duration of participation in the anti-competitive practices, the low market shares held by their French establishment, and the absence of involvement in two of the three branches of the grievance should be taken into account as mitigating circumstances (case nos. 16938 to 16 959).  </w:t>
        <w:br/>
        <w:t xml:space="preserve">299. The brevity of the company's participation in the infringement has already been taken into account regarding the duration of the practices.  </w:t>
        <w:br/>
        <w:t xml:space="preserve">300. On the other hand, it is established that the company G&amp;B France is only held responsible for the second branch of the grievance, namely the concerted practice consisting of exchanges on the price increases for the coming year, which is, moreover, the most serious practice.  </w:t>
        <w:br/>
        <w:t xml:space="preserve">301. Thus, since G&amp;B France is not held responsible for all the practices referred to in the notified grievance, the base amount of the sanction should be reduced to 247,265 euros.  </w:t>
        <w:br/>
        <w:t xml:space="preserve">b) Other elements of individualization  </w:t>
        <w:br/>
        <w:t xml:space="preserve">302. According to paragraph 48 of the sanctions press release of May 16, 2011, the Authority may reduce the sanction imposed on a company to take into account the fact that this company conducts most of its activity in the sector or market related to the infringement (a "single-product" company).  </w:t>
        <w:br/>
        <w:t xml:space="preserve">303. Based on the data provided by the interested parties, the Authority notes that the companies L’Éditeur and Zambaiti generated almost all of their revenue in the market related to the infringement during the duration of the practices.  </w:t>
        <w:br/>
        <w:t xml:space="preserve">304. It appears from the case files that, concerning L’Éditeur, the sales related to the infringement amounted to 1,702,000 euros in 2009, which represents 94% of the company's revenue, which was 1,815,000 euros. Under these conditions, the company L’Éditeur, which conducted most of its activity in the sector or market related to the infringement at the time of the facts, constitutes a single-product company within the meaning of point 48 of the sanctions press release. It is appropriate to grant it a 70% reduction in the amount of the sanction.  </w:t>
        <w:br/>
        <w:t xml:space="preserve">305. Regarding Zambaiti, the sales related to the infringement amounted to 4,904,800 euros in 2009, which represents 82% of the company's revenue, which was 5,967,269 euros. Under these conditions, the company Zambaiti, which conducted most of its activity in the sector or market related to the infringement at the time of the facts, constitutes a single-product company within the meaning of point 48 of the sanctions press release. It is appropriate to grant it a 70% reduction in the amount of the sanction.  </w:t>
        <w:br/>
        <w:t xml:space="preserve">306. The companies MCF, S.C.E., A.S. Création France, and A.S. Création Tapeten AG believe that the amount of the financial sanction should be lowered considering that A.S. Création operates solely in the wallpaper sector.  </w:t>
        <w:br/>
        <w:t>307. However, it appears that the accounts of the group formed by MCF and A.S. Création France and A.S. Création Tapeten AG, on one side, and the group formed by S.C.E., A.S. Création, and A.S. Création Tapeten AG, on the other side, do not allow for a conclusion of "single-product" activity.</w:t>
      </w:r>
    </w:p>
    <w:p>
      <w:r>
        <w:t xml:space="preserve">c) Conclusion on the determination of the individualized amount  </w:t>
        <w:br/>
        <w:t xml:space="preserve">308. It follows from all of the above that, taking into account the mitigating and aggravating circumstances, the individualized amount of the financial sanction is as follows:  </w:t>
        <w:br/>
        <w:t xml:space="preserve">Société Montant individualisé (en euros)  </w:t>
        <w:br/>
        <w:t xml:space="preserve">L’Éditeur 140 415  </w:t>
        <w:br/>
        <w:t xml:space="preserve">Grandeco 4 525 361  </w:t>
        <w:br/>
        <w:t xml:space="preserve">MCF 2 200 161  </w:t>
        <w:br/>
        <w:t xml:space="preserve">S.C.E. 5 538 556  </w:t>
        <w:br/>
        <w:t xml:space="preserve">Rasch France 2 311 095  </w:t>
        <w:br/>
        <w:t xml:space="preserve">Zambaiti 404 646  </w:t>
        <w:br/>
        <w:t xml:space="preserve">G&amp;B France 247 265  </w:t>
        <w:br/>
        <w:t>Total 15 367 498</w:t>
      </w:r>
    </w:p>
    <w:p>
      <w:r>
        <w:t xml:space="preserve">4. ON FINAL ADJUSTMENTS  </w:t>
        <w:br/>
        <w:t xml:space="preserve">a) On the verification of compliance with the legal maximum  </w:t>
        <w:br/>
        <w:t xml:space="preserve">309. Article L. 464-2 of the Commercial Code states that "The maximum amount of the sanction is, for a company, 10% of the highest amount of worldwide revenue excluding taxes achieved during one of the fiscal years closed since the fiscal year preceding the one during which the practices were implemented. If the accounts of the concerned company have been consolidated or combined under the applicable texts to its legal form, the revenue taken into account is that appearing in the consolidated or combined accounts of the consolidating or combining company."  </w:t>
        <w:br/>
        <w:t xml:space="preserve">310. Furthermore, III of Article L. 464-2 of the Commercial Code states that in the case of non-contestation of the grievance " […] the maximum amount of the sanction incurred is reduced by half."  </w:t>
        <w:br/>
        <w:t xml:space="preserve">Concerning the company L’Éditeur  </w:t>
        <w:br/>
        <w:t xml:space="preserve">311. The highest known worldwide revenue excluding taxes achieved by L’Éditeur S.A. was 5,463,000 euros in 2005. The maximum amount of the sanction is 546,300 euros concerning L’Éditeur. This amount exceeds the amount mentioned in point 308 above.  </w:t>
        <w:br/>
        <w:t xml:space="preserve">Concerning the company Grandeco  </w:t>
        <w:br/>
        <w:t>312. The highest known consolidated worldwide revenue excluding taxes achieved by the GIMV NV group was 1,053,209,000 euros in 2011. The maximum amount of the sanction is 105,320,900 euros concerning the companies Grandeco Wallfashion Group NV Suce France and Grandeco Wallfashion Group NV. This amount exceeds the amount mentioned in point 308 above.</w:t>
      </w:r>
    </w:p>
    <w:p>
      <w:r>
        <w:rPr>
          <w:b/>
        </w:rPr>
        <w:t>[Pages 55–57]</w:t>
      </w:r>
    </w:p>
    <w:p>
      <w:r>
        <w:t xml:space="preserve">Regarding the companies MCF and S.C.E.  </w:t>
        <w:br/>
        <w:t xml:space="preserve">For the sanction targeting the companies MCF, S.C.E., A.S. Création France, and A.S. Création Tapeten AG.  </w:t>
        <w:br/>
        <w:t xml:space="preserve">313. The highest known consolidated worldwide turnover excluding taxes achieved by the group A.S. Création Tapeten AG was 199,818,000 euros in 2013. Due to the implementation of the procedure for not contesting the grievances, the maximum amount of the sanction is 9,990,900 euros concerning the companies MCF, S.C.E., A.S. Création France, and A.S. Création Tapeten AG. This amount is higher than the amount mentioned in paragraph 308 above.  </w:t>
        <w:br/>
        <w:t xml:space="preserve">For the sanction targeting the companies MCF, S.C.E., and Décoralis  </w:t>
        <w:br/>
        <w:t xml:space="preserve">314. The highest known consolidated worldwide turnover excluding taxes achieved by the group DECORALIS S.A. was 65,667,255 euros in 2007. Due to the implementation of the procedure for not contesting the grievances, the maximum amount of the sanction is 3,283,363 euros concerning the company Décoralis. This amount will be compared to the amount of the final sanction, for which Décoralis is jointly liable with the companies MCF and S.C.E., in paragraph 349 below.  </w:t>
        <w:br/>
        <w:t xml:space="preserve">Regarding the company Rasch  </w:t>
        <w:br/>
        <w:t xml:space="preserve">315. The highest known consolidated worldwide turnover excluding taxes achieved by the Rasch group was 123,761,128 euros in 2008. In its responses, Rasch specifies that "Rasch Germany is not required, in accordance with applicable German regulations, to prepare and does not prepare consolidated accounts, and its corrected turnover figures from sales made to its subsidiaries ("intragroup sales") are also provided, as would have been the case if Rasch Germany had decided to prepare consolidated accounts. For the sake of transparency, the calculations in this regard are specified in a second table also attached." (file 16199). The maximum amount of the sanction is 12,376,113 euros concerning the companies Rasch France and Rasch Germany. This amount is higher than the amount mentioned in paragraph 308 above.  </w:t>
        <w:br/>
        <w:t xml:space="preserve">Regarding the company Zambaiti  </w:t>
        <w:br/>
        <w:t xml:space="preserve">316. The highest known worldwide turnover excluding taxes achieved by Zambaiti France was 6,939,093 euros in 2008. Due to the implementation of the procedure for not contesting the grievances, the maximum amount of the sanction is 346,955 euros concerning the company Zambaiti France (also attributed to Zambaiti International). This amount being lower than the amount mentioned in paragraph 308 above, it must be retained.  </w:t>
        <w:br/>
        <w:t xml:space="preserve">Regarding the company G&amp;B  </w:t>
        <w:br/>
        <w:t xml:space="preserve">317. The highest known consolidated worldwide turnover excluding taxes achieved by the G&amp;B Limited group was 90,560,000 pounds sterling or 104,344,660 euros in 2011 (average annual euro/pound exchange rate of 0.867893 in 2011). The maximum amount of the sanction is 10,434,466 euros concerning the companies G&amp;B France and G&amp;B Limited. This amount is higher than the amount mentioned in paragraph 308 above.  </w:t>
        <w:br/>
        <w:t xml:space="preserve">b) On the consideration of the leniency procedure  </w:t>
        <w:br/>
        <w:t xml:space="preserve">318. By minutes dated June 9, 2010, the deputy general rapporteur of the Authority received a request from the companies Rasch France and Rasch Germany seeking the application of a leniency measure in the wallpaper sector in France based on Article L.464-2 IV of the Commercial Code (file nos. 2 to 3 of referral no. 10/0058 AC).  </w:t>
        <w:br/>
        <w:t xml:space="preserve">319. By notice no. 10-AC-05 of November 4, 2010 (file nos. 761 to 767 of referral no. 10/0058 AC) and in accordance with the procedural communication of April 2, 2009, relating to the French leniency program, paragraph 14, the Authority noted that:  </w:t>
        <w:br/>
        <w:t xml:space="preserve">"The companies Rasch France and Rasch Germany reported practices of exchanging strategic information, intertwined with concerted practices regarding the definition of price variations. They also reported concerted practices related to the resale prices of products by wholesalers (distributor clients) and distributors. If proven, such practices are likely to fall within the scope of Articles L. 420-1 of the Commercial Code and, where applicable, 101 §1 TFEU.  </w:t>
        <w:br/>
        <w:t xml:space="preserve">The operational modalities, the period concerned, and the participants in the reported practices were described in detail by the leniency applicants.  </w:t>
        <w:br/>
        <w:t xml:space="preserve">In support of the statements made by the applicants, the following documents were notably provided:  </w:t>
        <w:br/>
        <w:t xml:space="preserve">a) emails exchanged between competitors attesting to the reality of the meetings;  </w:t>
        <w:br/>
        <w:t xml:space="preserve">b) expense reports reinforcing the credibility of regular contacts;  </w:t>
        <w:br/>
        <w:t xml:space="preserve">c) handwritten notes showing the reality and nature of exchanges or agreements made in person or by telephone contact;  </w:t>
        <w:br/>
        <w:t xml:space="preserve">d) a bailiff's report attesting to the reality of a telephone contact and the content of the exchanged elements;  </w:t>
        <w:br/>
        <w:t xml:space="preserve">e) email exchanges attesting to discussions regarding the prices practiced and showing the age and relevance of the practices;  </w:t>
        <w:br/>
        <w:t xml:space="preserve">f) email exchanges confirming the communication of pricing recommendations or price levels granted to competing distributors;  </w:t>
        <w:br/>
        <w:t xml:space="preserve">g) email exchanges attesting to requests or monitoring regarding the resale prices of distributor clients or distributors;  </w:t>
        <w:br/>
        <w:t xml:space="preserve">The leniency applicants are the first to have reported these practices to the Competition Authority, which did not have, at the time of the leniency application, sufficient information or evidence to proceed or to initiate targeted investigative measures on its own initiative under Article L. 450-4 of the Commercial Code."  </w:t>
        <w:br/>
        <w:t xml:space="preserve">320. And granted to the companies Rasch France and Rasch Germany:  </w:t>
        <w:br/>
        <w:t xml:space="preserve">"the conditional benefit of leniency with a total exemption from any sanctions that may be incurred in France for the practices reported by them in the wallpaper market, subject to the following conditions:  </w:t>
        <w:br/>
        <w:t xml:space="preserve">The companies Rasch France SARL and Tapetenfabrik Gebr. Rasch Gmbh &amp; Co. KG must provide the Competition Authority with total, ongoing, and prompt cooperation throughout the investigation procedure, namely:  </w:t>
        <w:br/>
        <w:t xml:space="preserve">- promptly provide the Authority with all information and evidence that may come into their possession or that they may have regarding the alleged agreement;  </w:t>
        <w:br/>
        <w:t xml:space="preserve">- be available to respond quickly to any request aimed at contributing to the establishment of the facts in question;  </w:t>
        <w:br/>
        <w:t xml:space="preserve">- make available to the Authority, for questioning, their legal representatives and current employees, as well as, to the extent possible, their former legal representatives and employees.  </w:t>
        <w:br/>
        <w:t xml:space="preserve">The Authority will pay particular attention to compliance with this condition, as long as there are nuances or discrepancies between certain statements communicated.  </w:t>
        <w:br/>
        <w:t xml:space="preserve">- The companies Rasch France SARL and Tapetenfabrik Gebr. Rasch Gmbh &amp; Co. KG must not have taken measures to compel other companies to participate in the offenses.  </w:t>
        <w:br/>
        <w:t xml:space="preserve">- Rasch France SARL and Tapetenfabrik Gebr. Rasch Gmbh &amp; Co. KG must not have destroyed or falsified evidence of the alleged agreement, nor disclosed their intention to submit an application or the content thereof, except to other competition authorities.  </w:t>
        <w:br/>
        <w:t xml:space="preserve">- Rasch France SARL and Tapetenfabrik Gebr. Rasch Gmbh &amp; Co. KG must have effectively ceased their participation in the alleged illegal activities. In order to preserve the effectiveness of the investigative measures, the end date of participation in the practices is set to the day of the visits and seizures that will be conducted by the Competition Authority."  </w:t>
        <w:br/>
        <w:t xml:space="preserve">321. Regarding the first condition, the companies Rasch France and Rasch Germany provided total, ongoing, and prompt cooperation, notably by communicating documents related to the reported practices and explaining both the scope, duration, as well as the purpose and modalities of application of the agreement during hearings, requests for information from the rapporteurs, or in their writings. No evidence collected indicates that these companies refrained from immediately communicating any evidence that came into their possession. This cooperation having covered all the reported practices, the fact that the notification of grievances only retained a part of the reported practices cannot undermine the compliance with this first condition by the interested parties.  </w:t>
        <w:br/>
        <w:t xml:space="preserve">322. Regarding the second condition, no evidence collected indicates that the companies Rasch France and Rasch Germany took measures to compel other companies to participate in the offenses.  </w:t>
        <w:br/>
        <w:t xml:space="preserve">323. Regarding the third condition, no evidence collected indicates that the companies Rasch France and Rasch Germany destroyed or falsified evidence of the alleged agreement, nor disclosed their intention to submit an application, except to other competition authorities.  </w:t>
        <w:br/>
        <w:t xml:space="preserve">324. Regarding the fourth condition, it results from the notification of grievances and the elements produced by the companies Rasch France and Rasch Germany during the investigation and in their observations that these companies ceased their participation in the alleged illegal activities after the visit and seizure operation that took place at their premises on French territory on November 30, 2010, and this, in accordance with the obligations set by the Authority in its notice.  </w:t>
        <w:br/>
        <w:t xml:space="preserve">325. It follows that the four conditions set by the Authority in its aforementioned notice must be considered as fulfilled.  </w:t>
        <w:br/>
        <w:t>326. Consequently, the leniency applicants benefit from total exemption from sanctions incurred for the practices they reported.</w:t>
      </w:r>
    </w:p>
    <w:p>
      <w:r>
        <w:rPr>
          <w:b/>
        </w:rPr>
        <w:t>[Pages 58–60]</w:t>
      </w:r>
    </w:p>
    <w:p>
      <w:r>
        <w:t xml:space="preserve">c) On the consideration of the non-contestation of the grievances  </w:t>
        <w:br/>
        <w:t xml:space="preserve">327. III of Article L. 464-2 of the Commercial Code allows the rapporteur general to propose to the Authority to take into account, in the context of determining the sanction, the fact that a company or organization chooses not to contest the grievances that have been notified to it. The rapporteur general may also propose to take into account the fact that the interested party further commits to modifying its behavior for the future.  </w:t>
        <w:br/>
        <w:t xml:space="preserve">328. In this case, the companies MCF, S.C.E., Décoralis, A.S. Création France, and A.S. Création Tapeten AG signed a record of non-contestation of grievances on September 5, 2013 (reference numbers 14874 to 14 877).  </w:t>
        <w:br/>
        <w:t xml:space="preserve">329. Similarly, the companies Zambaiti and Zambaiti International signed a record of non-contestation of grievances on September 24, 2013 (reference numbers 15004 to 15 007).  </w:t>
        <w:br/>
        <w:t xml:space="preserve">330. The waiver to contest the grievances, which primarily serves to lighten and expedite the investigation work, particularly by exempting the investigation services from drafting a report when it is done by all the companies involved, cannot lead to granting the interested parties more than a relatively limited reduction of the sanction.  </w:t>
        <w:br/>
        <w:t xml:space="preserve">331. The companies MCF, S.C.E., Décoralis, A.S. Création France, A.S. Création Tapeten AG, Zambaiti, and Zambaiti International will be granted a reduction of 10%.  </w:t>
        <w:br/>
        <w:t xml:space="preserve">d) On the share of the sanction to be attributed to each of the successive parent companies of MCF and S.C.E.  </w:t>
        <w:br/>
        <w:t xml:space="preserve">332. MCF and S.C.E. were predominantly owned by two successive companies during the practices: by Décoralis until December 18, 2008, and then by A.S. Création France (and A.S. Création Tapeten AG) from that date. None of the parent companies contested their joint liability for the period in question.  </w:t>
        <w:br/>
        <w:t xml:space="preserve">333. In cases where a company that is the author of the practices has been acquired during the contested practices, the two successive parent companies, brought into the procedure solely in their capacity as parent companies, are each jointly liable with their subsidiary for the payment of the fine (judgment of the Court of Justice of April 14, 2014, Areva e.a. / Commission joined cases C-247/11 P and C-253/11 P). The successive parent companies cannot be jointly liable to each other for the fine, as joint liability can only operate within the same economic unit, whether that unit still exists or not (see point 129 of the aforementioned judgment). Consequently, the company that is the author of the practices cannot be imposed a fine jointly with its two successive parent companies, without establishing a share.  </w:t>
        <w:br/>
        <w:t>334. The durations of ownership of the successive parent companies during the period of the practices and the associated percentages are as follows:</w:t>
      </w:r>
    </w:p>
    <w:p>
      <w:r>
        <w:t>| Company     | Start Date | End Date   | Years | Months | Percentage |</w:t>
        <w:br/>
        <w:t>|-------------|------------|------------|-------|--------|------------|</w:t>
        <w:br/>
        <w:t>| Décoralis   | 17/05/2006 | 18/12/2008 | 2     | 7      | 57%        |</w:t>
        <w:br/>
        <w:t>| A.S. Creation | 18/12/2008 | 30/11/2010 | 1     | 11     | 43%        |</w:t>
        <w:br/>
        <w:t>| Total Duration | 17/05/2006 | 30/11/2010 | 4     | 6      | 100%       |</w:t>
      </w:r>
    </w:p>
    <w:p>
      <w:r>
        <w:t xml:space="preserve">e) On the financial situation of the companies  </w:t>
        <w:br/>
        <w:t xml:space="preserve">335. Regarding the specific elements of the situation of each company or organization involved, the Authority has finally committed to assessing the particular financial difficulties that may diminish the contributory capacity that the parties claim to exist, according to the practical modalities indicated in the press release of May 16, 2011.  </w:t>
        <w:br/>
        <w:t xml:space="preserve">336. In a letter dated April 18, 2014, the Competition Authority invited all the parties involved to send it any documents justifying potential financial difficulties that could impact their contributory capacity. It is indeed up to the company to justify the existence of such difficulties based on reliable, complete, and objective evidence attesting to their reality and their concrete consequences on its contributory capacity (see, in this sense, judgment of the Paris Court of Appeal of October 11, 2012, cited above, p. 73).  </w:t>
        <w:br/>
        <w:t xml:space="preserve">337. The examination of the financial and accounting elements provided reveals that:  </w:t>
        <w:br/>
        <w:t xml:space="preserve">- the company L’Éditeur was subject to judicial liquidation, which was pronounced on February 16, 2011, and published in the BODACC on March 3, 2011;  </w:t>
        <w:br/>
        <w:t xml:space="preserve">- concerning Grandeco, a judicial liquidation procedure was opened on January 29, 2013;  </w:t>
        <w:br/>
        <w:t xml:space="preserve">- the company Zambaiti has ceased operations since December 16, 2013;  </w:t>
        <w:br/>
        <w:t xml:space="preserve">338. Regarding these companies, and in light of the preceding elements, in accordance with the Authority's consistent practice in the event of liquidation, there is no need to impose a sanction on the companies L’Éditeur and Grandeco.  </w:t>
        <w:br/>
        <w:t xml:space="preserve">339. Given the individualized amount of the sanction recalled in paragraph 308 and the financial situation of Zambaiti, it is appropriate to set a flat-rate sanction of 50,000 euros against it.  </w:t>
        <w:br/>
        <w:t xml:space="preserve">340. The companies MCF, S.C.E., Décoralis, A.S. Création France, and A.S. Création Tapeten AG did not report any particular financial difficulties and did not submit any documents to the Authority.  </w:t>
        <w:br/>
        <w:t xml:space="preserve">341. However, concerning the former group constituted by the companies MCF, S.C.E., and Décoralis, it appears that two factors, the combination of which is particular to the case at hand, must be taken into account to adjust the level of the sanction.  </w:t>
        <w:br/>
        <w:t xml:space="preserve">342. Firstly, the company Décoralis has undergone significant transformations since 2008, when Décoralis became a financial holding company that no longer generates revenue and has ceased to prepare consolidated accounts.  </w:t>
        <w:br/>
        <w:t xml:space="preserve">343. The legal ceiling of Décoralis calculated, in accordance with Article 464-2, paragraph 4, of the Commercial Code, based on the highest global turnover excluding tax of the fiscal year preceding the start of the practices to date is based on its consolidated turnover achieved in 2007. This legal ceiling of 3.28 million euros recalled in paragraph 314 above is disconnected from the current financial situation of the holding Décoralis.  </w:t>
        <w:br/>
        <w:t xml:space="preserve">344. Although it is very regrettable that this company did not spontaneously raise these difficulties before the Authority, it follows that Décoralis will not be able to assume its joint liability towards its former subsidiaries, which will therefore have to pay this sanction alone for the period during which Décoralis was deemed jointly responsible.  </w:t>
        <w:br/>
        <w:t xml:space="preserve">345. The difficulty of this situation for the subsidiaries is compounded by the rapid decline of the wallpaper market, severely affected by the disaffection caused by a fashion effect that favors paints and coatings. As recalled in paragraph 20 above, wallpaper sales were halved between 2005 and 2011, and the difficulties in the construction sector in recent years have only exacerbated this phenomenon.  </w:t>
        <w:br/>
        <w:t xml:space="preserve">346. Under these conditions and in line with what the Authority determined in decision no. 11-D-19 concerning practices implemented in the distribution sector of gadgets and fancy goods, it is appropriate to take into account the significant decrease in turnover and results of these companies between the period of commission of the practices and the date on which the sanction must be paid.  </w:t>
        <w:br/>
        <w:t xml:space="preserve">347. It is therefore appropriate to set the sanction imposed jointly on the companies MCF, S.C.E., and Décoralis at 1,985,000 euros.  </w:t>
        <w:br/>
        <w:t xml:space="preserve">348. Consequently, the sanction for MCF is reduced to 1,415,000 euros and the sanction for S.C.E. to 3,564,000 euros.  </w:t>
        <w:br/>
        <w:t xml:space="preserve">5. ON THE FINAL AMOUNT OF SANCTIONS  </w:t>
        <w:br/>
        <w:t xml:space="preserve">349. The total final sanction for MCF and S.C.E. amounts to 4,979,000 euros. In accordance with the shares highlighted in paragraphs 334 and 347, the successive parent companies of MCF and S.C.E., namely Décoralis on the one hand, and A.S. Création France and A.S. Création Tapeten AG on the other hand, are jointly liable for respective amounts of 1,985,000 euros for the former and 2,994,000 euros for the latter.  </w:t>
        <w:br/>
        <w:t xml:space="preserve">350. In comparison with the legal ceiling applicable to them, the Authority observes that the final amount of the sanction of the company Décoralis for which it is jointly responsible, namely 1,985,000 euros, is lower than its legal ceiling of 3,283,362 euros (paragraph 308 above).  </w:t>
        <w:br/>
        <w:t>351. In light of all the elements described above, it is appropriate to impose the following sanctions on the companies involved:</w:t>
      </w:r>
    </w:p>
    <w:p>
      <w:r>
        <w:rPr>
          <w:b/>
        </w:rPr>
        <w:t>[Pages 61–62]</w:t>
      </w:r>
    </w:p>
    <w:p>
      <w:r>
        <w:t>Amount Amount adjusted</w:t>
        <w:br/>
        <w:t>individualized after ceiling and</w:t>
        <w:br/>
        <w:t>Final sanction</w:t>
        <w:br/>
        <w:t>Company after non-</w:t>
        <w:br/>
        <w:t>(in euros)</w:t>
        <w:br/>
        <w:t>(in euros)</w:t>
        <w:br/>
        <w:t>contestation of</w:t>
        <w:br/>
        <w:t>grievances (in euros)</w:t>
        <w:br/>
        <w:t>L’Éditeur 140,415 140,415 0</w:t>
        <w:br/>
        <w:t>Grandeco 4,525,360 4,525,360 0</w:t>
        <w:br/>
        <w:t>MCF 2,200,161 1,980,145 1,415,000</w:t>
        <w:br/>
        <w:t>S.C.E. 5,538,556 4,984,700 3,564,000</w:t>
        <w:br/>
        <w:t>4,979,000</w:t>
        <w:br/>
        <w:t>(jointly with</w:t>
        <w:br/>
        <w:t>Décoralis and A.S.</w:t>
        <w:br/>
        <w:t>Total MCF and S.C.E. 7,738,717 6,964,845</w:t>
        <w:br/>
        <w:t>Création up to their</w:t>
        <w:br/>
        <w:t>respective share)</w:t>
        <w:br/>
        <w:t>1,985,000</w:t>
        <w:br/>
        <w:t>of which Décoralis - 3,283,362 (jointly with</w:t>
        <w:br/>
        <w:t>MCF and S.C.E.)</w:t>
        <w:br/>
        <w:t>of which A.S. Création 2,994,000</w:t>
        <w:br/>
        <w:t>France and A.S. - 2,994,883 (jointly with</w:t>
        <w:br/>
        <w:t>Création Tapeten AG MCF and S.C.E.)</w:t>
        <w:br/>
        <w:t>Rasch France and</w:t>
        <w:br/>
        <w:t>Rasch Germany 2,311,095 0 0</w:t>
        <w:br/>
        <w:t>(jointly)</w:t>
        <w:br/>
        <w:t>Zambaiti and Zambaiti</w:t>
        <w:br/>
        <w:t>International 404,646 312,259 50,000</w:t>
        <w:br/>
        <w:t>(jointly)</w:t>
        <w:br/>
        <w:t>G&amp;B France and G&amp;B</w:t>
        <w:br/>
        <w:t>Limited 247,265 247,265 247,000</w:t>
        <w:br/>
        <w:t>(jointly)</w:t>
        <w:br/>
        <w:t>TOTAL 15,367,498 12,190,144 5,276,000</w:t>
      </w:r>
    </w:p>
    <w:p>
      <w:r>
        <w:t>DECISION</w:t>
        <w:br/>
        <w:t>Article 1: It is established that the companies L’Éditeur S.A, Grandeco Wallfashion Group N.V, MCF Investissement SAS, Société de Conception et d’Édition S.A.S, Rasch France S.A.R.L, Zambaiti France S.A.S and Graham &amp; Brown France S.A.R.L have violated the provisions of Articles L. 420-1 of the Commercial Code and 101, paragraph 1 of the TFEU.</w:t>
        <w:br/>
        <w:t>Article 2: The following financial sanctions are imposed:</w:t>
        <w:br/>
        <w:t> on the company MCF Investissement S.A.S, a sanction of 1,415,000 euros;</w:t>
        <w:br/>
        <w:t> on the Société de Conception et d’Édition S.A.S., a sanction of 3,564,000 euros;</w:t>
        <w:br/>
        <w:t> on the company Zambaiti France S.A.S, jointly with its parent company Zambaiti International, a sanction of 50,000 euros;</w:t>
        <w:br/>
        <w:t> on the company Graham &amp; Brown France S.A.R.L, jointly with its parent company Graham &amp; Brown Limited, a sanction of 247,000 euros.</w:t>
        <w:br/>
        <w:t>Article 3: The companies Décoralis S.A, A.S. Création France S.A.S and A.S. Création Tapeten AG are declared jointly liable for the payment of the sanctions imposed on the companies MCF Investissement S.A.S and Société de Conception et d’Édition S.A.S under the following conditions and up to:</w:t>
        <w:br/>
        <w:t> 1,985,000 euros for the company Décoralis S.A regarding the payment of the sanctions imposed on the companies MCF Investissement S.A.S and Société de Conception et d’Édition S.A.S;</w:t>
        <w:br/>
        <w:t> 2,994,000 euros for the companies A.S. Création France S.A.S and A.S. Création Tapeten AG regarding the payment of the sanctions imposed on the companies MCF Investissement S.A.S and Société de Conception et d’Édition S.A.S.</w:t>
        <w:br/>
        <w:t>Article 4: There is no need to impose a financial sanction on the companies L’Éditeur S.A and Grandeco Wallfashion Group N.V.</w:t>
        <w:br/>
        <w:t>Article 5: The company Rasch France S.A.R.L and its parent company Tapetenfabrik Gebr. Rasch GmbH &amp; Co. KG are exempt from financial sanction for the practices referred to in Article 1, by application of IV of Article L. 464-2 of the Commercial Code.</w:t>
        <w:br/>
        <w:t>Deliberated on the oral report of Ms. Catherine Gonzales, and the intervention of Ms. Juliette Théry-Schultz, deputy general rapporteur, by Ms. Élisabeth Flüry-Hérard, vice-president, session chair, Ms. Pierrette Pinot and Ms. Séverine Larere, Mr. Noël Diricq and Mr. Philippe Choné, members.</w:t>
        <w:br/>
        <w:t>The session secretary, The president,</w:t>
        <w:br/>
        <w:t>Caroline Chéron 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