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https://www.autoritedelaconcurrence.fr/fr/decision/relative-des-pratiques-mises-en-oeuvre-dans-le-secteur-du-tampon-encreur</w:t>
      </w:r>
    </w:p>
    <w:p>
      <w:r>
        <w:t>Pages translated : 5</w:t>
      </w:r>
    </w:p>
    <w:p/>
    <w:p>
      <w:r>
        <w:rPr>
          <w:b/>
        </w:rPr>
        <w:t>[Pages 1–3]</w:t>
      </w:r>
    </w:p>
    <w:p>
      <w:r>
        <w:t>FRENCH REPUBLIC</w:t>
        <w:br/>
        <w:t>Decision No. 14-D-15 of October 10, 2014</w:t>
        <w:br/>
        <w:t>regarding practices implemented in the ink stamp sector</w:t>
        <w:br/>
        <w:t>The Competition Authority (single judge),</w:t>
        <w:br/>
        <w:t>Having regard to the letter registered on November 8, 2013, under number 13/0082F, by which the company Empreinte Océane referred to the Competition Authority practices implemented in the ink stamp sector;</w:t>
        <w:br/>
        <w:t>Having regard to Book IV of the Commercial Code;</w:t>
        <w:br/>
        <w:t>Having regard to Decision No. 14-JU-04 dated September 29, 2014, by which the president of the Competition Authority designated, based on the last paragraph of Article L. 461-3 of the Commercial Code, Mr. Thierry Dahan, vice-president, to adopt alone the decision to be rendered on the above-mentioned referral;</w:t>
        <w:br/>
        <w:t>Having regard to the other documents in the file;</w:t>
        <w:br/>
        <w:t>The rapporteur and the deputy general rapporteur heard during the session of October 2, 2014, the government commissioner and the representative of the company Empreinte Océane having been regularly summoned;</w:t>
        <w:br/>
        <w:t>Adopts the following decision:</w:t>
      </w:r>
    </w:p>
    <w:p>
      <w:r>
        <w:t>I. Findings</w:t>
        <w:br/>
        <w:t>1. THE SECTOR CONCERNED</w:t>
        <w:br/>
        <w:t>1. The referral of the company Empreinte Océane concerns the sector of ink stamps. This office accessory is composed of two elements: a mount which constitutes the mechanism allowing an inscription to be affixed on a medium, and a rubber stamp which is manufactured and customized at the request of the final customer and integrated into the mount.</w:t>
        <w:br/>
        <w:t>2. The manufacturers of mounts are subsidiaries of a few international groups such as Trodat, Colop, or Shiny. On the other hand, the market for the plates of personalized stamp stamps, which is very fragmented, consists of SMEs located throughout the territory. Finally, some large office supply distributors internalize the manufacturing of personalized stamps while others resort to subcontracting.</w:t>
        <w:br/>
        <w:t>3. This sector thus comprises two levels of market involving very different players, and its organization follows the scheme below:</w:t>
        <w:br/>
        <w:t>2. THE ALLEGED PRACTICES</w:t>
        <w:br/>
        <w:t>4. The Austrian company Trodat, through its subsidiary Trodat France, markets its mounts to text plate manufacturers according to two rates: the so-called "reseller" rate, accessible to any company wishing to distribute Trodat mounts, and the so-called "professional" rate, more advantageous than the previous one, the benefit of which is subject to several conditions, including being a signatory to a cooperation agreement.</w:t>
        <w:br/>
        <w:t>5. The referring company, which benefited from a cooperation agreement with Trodat France between 1999 and 2013, claims that this company is in a dominant position in the French ink stamp market and accuses it of three abusive practices: price discrimination, withdrawal of the benefit of the professional rate, and a "clandestine" commercial policy, which could amount to disparagement.</w:t>
        <w:br/>
        <w:t>6. Firstly, Empreinte Océan argues that public contracts are "systematically captured by the following five companies: EFTG, TYMIX, SMTT, RCA, and ITM with products of the Trodat brand" and that if its own offers are rejected, it is because its competitors "benefit from a more favorable rate than that resulting from the cooperation agreement and the professional rate" due to capital ties with Trodat, which could be characterized as anti-competitive discrimination.</w:t>
        <w:br/>
        <w:t>7. Secondly, Empreinte Océane, in response to this discrimination, has presented "new commercial offers at competitive prices but with products of the Colop or Shiny brands, which have proven to be systematically less expensive than those of the Trodat brand." These new offers allowed it to win the tenders of the City of Paris and the General Council of Nord-Pas-De-Calais. Trodat would then have reacted by terminating, as of September 1, 2013, the cooperation agreement with the seizing party. Empreinte Océane is thus forced to purchase Trodat products at the reseller rate, which disadvantages it compared to competitors who benefit from the professional rate.</w:t>
        <w:br/>
        <w:t>8. Thirdly, to counter the successes of Empreinte Océane with its new offer in Colop and Shiny products, Trodat would have then "conceived a sly campaign of disparagement of competing products that would not be technically reliable, not up to standard, or, in its expression, not eco-responsible. Thus, we now see open tender markets requiring eco-responsible products, a pre-selection that results solely from Trodat's marketing and has no legal and technical significance." Trodat would also have contacted the main client of Empreinte Océane, the company Alter Buro, to exclude the seizing party.</w:t>
        <w:br/>
        <w:t>II. Discussion</w:t>
        <w:br/>
        <w:t>9. Article L. 462-8 of the Commercial Code provides that the Competition Authority: "[m]ay also reject the referral by reasoned decision when it considers that the facts invoked are not supported by sufficiently probative elements."</w:t>
        <w:br/>
        <w:t>1. ON THE DISCRIMINATION OF EMPREINTE OCÉANE BY TRODAT</w:t>
        <w:br/>
        <w:t>10. Contrary to what the seizing party claims, the companies TYMIX, EFTG, SMTT, RCA, and ITM are independent companies whose capital is wholly owned by their manager (and their family if applicable), with no ties to Trodat, either directly or through another company. Consultation of the commercial and companies register has shown that the allegations of Empreinte Océane are unfounded.</w:t>
        <w:br/>
        <w:t>11. Similarly, Empreinte Océane claims that its competitors, thanks to the privileged rates they would have benefited from Trodat, would have "systematically captured all public contracts." However, it appears from the award notices published in the Official Bulletin of Public Market Announcements that, out of the 51 public tenders concerning either supply contracts for stamps or contracts for the purchase of office supplies including specific lots for the supply of stamps, published between January 1, 2011, and December 31, 2013, Empreinte Océane was awarded 16 of them, compared to 20 for all five aforementioned companies.</w:t>
      </w:r>
    </w:p>
    <w:p>
      <w:r>
        <w:rPr>
          <w:b/>
        </w:rPr>
        <w:t>[Pages 4–5]</w:t>
      </w:r>
    </w:p>
    <w:p>
      <w:r>
        <w:t>12. Consequently, the claims by the seizing party alleging discrimination by Trodat and exclusionary effects appear unfounded.</w:t>
      </w:r>
    </w:p>
    <w:p>
      <w:r>
        <w:t>2. ON THE TERMINATION OF THE COOPERATION AGREEMENT</w:t>
      </w:r>
    </w:p>
    <w:p>
      <w:r>
        <w:t>13. The cooperation agreement was terminated by Trodat due to the significant decrease in purchases by Empreinte Océane, which, starting in 2012, chose to change suppliers to source from Colop and Shiny frames.</w:t>
      </w:r>
    </w:p>
    <w:p>
      <w:r>
        <w:t>14. Since changing suppliers, Empreinte Océane claims to be able to present "economically more advantageous offers and technically as, if not more, rewarding than those proposed by Trodat's captives." As the seizing party benefits from advantageous rates with its new suppliers for products of a quality equivalent to Trodat products, it cannot argue that the termination of the cooperation agreement by Trodat should be considered, as such and in the absence of other elements, as an abusive practice.</w:t>
      </w:r>
    </w:p>
    <w:p>
      <w:r>
        <w:t>3. ON THE HIDDEN COMMERCIAL POLICY</w:t>
      </w:r>
    </w:p>
    <w:p>
      <w:r>
        <w:t>15. Empreinte Océane primarily argues that Trodat, due to its power, influences customers, particularly administrations that "mostly but without true justification require Trodat products." This situation would lead to a closure of public markets as "buyers have developed habits or are particularly susceptible or influenced."</w:t>
      </w:r>
    </w:p>
    <w:p>
      <w:r>
        <w:t>16. However, the checks carried out on the calls for tenders in question have shown that these do not require, except in exceptional cases, Trodat products. The opposite would indeed be illegal since Article 6 of the Public Procurement Code states that technical specifications cannot refer "to a brand, a patent, or a type, as long as such mention or reference would have the effect of favoring or eliminating certain economic operators or certain products." The same article, however, provides for exceptions in particular cases that can be justified: "However, such mention or reference is possible if it is justified by the object of the contract."</w:t>
      </w:r>
    </w:p>
    <w:p>
      <w:r>
        <w:t>17. In this regard, the two exceptions cited by the seizing party, the CPAM market of Loire Atlantique and the market of the Public Assistance of the Hospitals of Marseille, did indeed require Trodat products, but they concerned very specific products intended for limited use, which explains the very low amounts of the contracts in question (1500 euros and 400 euros).</w:t>
      </w:r>
    </w:p>
    <w:p>
      <w:r>
        <w:t>18. In any case, if the seizing party believes that public contracts have been distorted by an abusive mention of Trodat products, it is up to it to bring this situation before the administrative judge.</w:t>
      </w:r>
    </w:p>
    <w:p>
      <w:r>
        <w:t>19. The presence of environmental criteria in the calls for tenders cannot constitute a "pre-selection that results solely from Trodat's marketing and has no legal and technical significance" since the circular of December 29, 2009, relating to the "Guide to Good Practices in Public Procurement" reminds the contracting authority that it can take into account environmental requirements during a call for tenders.</w:t>
      </w:r>
    </w:p>
    <w:p>
      <w:r>
        <w:t>20. Similarly, the seizing company claims without further justification that, in the context of a call for tenders from RATP, it encountered "the manifest will of its representative to conclude with Trodat brand products, despite a very competitive offer for Colop brand products," but does not provide any evidence to demonstrate that this alleged behavior of RATP would be attributable to a "hidden commercial policy" of Trodat.</w:t>
      </w:r>
    </w:p>
    <w:p>
      <w:r>
        <w:t>21. Finally, Empreinte Océane provides no concrete evidence to demonstrate the existence of maneuvers by Trodat France with Alter Buro to dissuade this client from working with it. On the contrary, it acknowledges that Alter Buro continues to call upon it for the supply of customized Trodat ink stamps.</w:t>
      </w:r>
    </w:p>
    <w:p>
      <w:r>
        <w:t>4. CONCLUSION</w:t>
      </w:r>
    </w:p>
    <w:p>
      <w:r>
        <w:t>22. The referral of the company Empreinte Océane, lacking sufficient supporting evidence, must be rejected in application of paragraph 2 of Article L. 462-8 of the Commercial Code.</w:t>
      </w:r>
    </w:p>
    <w:p>
      <w:r>
        <w:t>Decision</w:t>
      </w:r>
    </w:p>
    <w:p>
      <w:r>
        <w:t>Sole Article: the referral registered under number 13/0082F is rejected.</w:t>
      </w:r>
    </w:p>
    <w:p>
      <w:r>
        <w:t>Deliberated on the oral report of Mr. Julien Barbot, rapporteur, and the intervention of Mr. Umberto Berkani, deputy general rapporteur, by Mr. Thierry Dahan, vice-president, president of the session.</w:t>
      </w:r>
    </w:p>
    <w:p>
      <w:r>
        <w:t>The session secretary, The session president,</w:t>
        <w:br/>
        <w:t>Béatrice Déry-Rosot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