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https://www.autoritedelaconcurrence.fr/fr/decision/relative-des-pratiques-mises-en-oeuvre-dans-le-secteur-du-traitement-de-la-degenerescence</w:t>
      </w:r>
    </w:p>
    <w:p>
      <w:r>
        <w:t>Pages translated : 205</w:t>
      </w:r>
    </w:p>
    <w:p/>
    <w:p>
      <w:r>
        <w:rPr>
          <w:b/>
        </w:rPr>
        <w:t>[Pages 1–3]</w:t>
      </w:r>
    </w:p>
    <w:p>
      <w:r>
        <w:t xml:space="preserve">FRENCH REPUBLIC  </w:t>
        <w:br/>
        <w:t xml:space="preserve">Decision No. 20-D-11 of September 9, 2020  </w:t>
        <w:br/>
        <w:t xml:space="preserve">regarding practices implemented in the sector of treatment for age-related macular degeneration (AMD)  </w:t>
        <w:br/>
        <w:t xml:space="preserve">The Competition Authority (section IB),  </w:t>
        <w:br/>
        <w:t xml:space="preserve">Having regard to decision No. 15-SO-12 of September 17, 2015, registered under number 15/0083F, by which the Competition Authority initiated proceedings ex officio regarding practices implemented in the sector of treatment for age-related macular degeneration (AMD);  </w:t>
        <w:br/>
        <w:t xml:space="preserve">Having regard to Article 102 of the Treaty on the Functioning of the European Union;  </w:t>
        <w:br/>
        <w:t xml:space="preserve">Having regard to Book IV of the Commercial Code, and in particular its Article L. 420-2;  </w:t>
        <w:br/>
        <w:t xml:space="preserve">Having regard to the trade secret decisions No. 18-DSA-191 of June 15, 2018, No. 18-DSA-254 of August 6, 2018, No. 18-DEC-393 of November 14, 2018, No. 18-DSA-196 of June 18, 2018, No. 19-DECR-080 of February 26, 2019, No. 16-DSA-27 of February 29, 2016, No. 16-DSA-28 of February 29, 2016, No. 19-DSA-075 of February 27, 2019, No. 19-DEC-006 of January 9, 2019, No. 19-DECR-536 of September 26, 2019, No. 19-DEC-021 of October 16, 2018, No. 18-DSA-209 of July 9, 2018, No. 18-DSA-142 of May 23, 2018, No. 18-DSA-210 of July 10, 2018, No. 18-DSA-222 of July 16, 2018, No. 18-DSA-227 of July 16, 2018, No. 18-DSA-238 of July 26, 2018, No. 19-DSA-143 of May 17, 2019, No. 19-DSA-185 of May 24, 2019, No. 19-DSA-249 of July 12, 2019, No. 19-DECR-251 of July 12, 2019, No. 19-DECR-253 of July 12, 2019, No. 19-DSA-711 of December 11, 2019, No. 19-DSA-712 of December 11, 2019;  </w:t>
        <w:br/>
        <w:t xml:space="preserve">Having regard to the other documents in the file;  </w:t>
        <w:br/>
        <w:t xml:space="preserve">Having regard to the observations presented by the companies Novartis Pharma SAS, Novartis Groupe France SA, Novartis AG, Roche SAS, Genentech Inc., Roche Holding AG, and the Government Commissioner;  </w:t>
        <w:br/>
        <w:t xml:space="preserve">The rapporteur, the deputy rapporteur general, representatives of the General Directorate of Health (for the Minister of Health), representatives of the companies Novartis Pharma SAS, Novartis Groupe France SA, Novartis AG, Roche SAS, Genentech Inc., and Roche Holding AG, and the Government Commissioner heard during the session of the Competition Authority on March 12, 2020;  </w:t>
        <w:br/>
        <w:t>Adopts the following decision:</w:t>
      </w:r>
    </w:p>
    <w:p>
      <w:r>
        <w:t xml:space="preserve">Summary1  </w:t>
        <w:br/>
        <w:t xml:space="preserve">Under the terms of the following decision, several companies of the Novartis group (Novartis Pharma SAS, Novartis Groupe France SA, and Novartis AG, hereinafter "Novartis") and the Roche group (Roche SAS, Genentech Inc., and Roche Holding AG, hereinafter "Roche," or "Genentech," or "Roche/Genentech") have been sanctioned in the amount of 444 million euros for having abused their collective dominant position in the French market for the treatment of exudative AMD by implementing several practices contrary to Articles L. 420-2 of the Commercial Code and 102 of the Treaty on the Functioning of the European Union.  </w:t>
        <w:br/>
        <w:t xml:space="preserve">The case was investigated by the Competition Authority (hereinafter, "the Authority") following a report submitted by the interregional competition investigation brigade (hereinafter "BIEC") of Lyon.  </w:t>
        <w:br/>
        <w:t xml:space="preserve">The Authority found that Novartis, Roche, and Genentech formed a collective entity for the purposes of marketing Lucentis and Avastin, holding a dominant position in the market for the treatment of exudative AMD, given, on the one hand, the existence of significant and strategic structural links between the laboratories (in particular, the licensing agreements binding Genentech and Novartis for the marketing of Lucentis, and Genentech and Roche for the marketing of Avastin) and, on the other hand, the existence of cross-shareholdings between Genentech, Roche, and Novartis. The contractual and shareholding structure existing between Genentech, Roche, and Novartis allowed them to adopt a common course of action in the relevant market aimed at limiting the prescriptions of Avastin "off-label" in ophthalmology. In particular, the Authority found that there was a strong financial incentive for the three laboratories to adopt a common line of conduct, the implementation of which was facilitated by the structural links. Indeed, given the price differences between the two specialties and the practice of manufacturing several syringes from a single vial of Avastin, any use of Avastin instead of Lucentis for an injection in the eye was likely to result in a significant loss of earnings for each of the three concerned laboratories: (i) for Novartis, first, which receives, as a licensee, the proceeds from the sales of Lucentis in the relevant market, (ii) for Genentech, next, which receives, as a licensor, the royalties from the sales of Lucentis in the relevant market, and (iii) for Roche, finally, which, as the principal and then sole shareholder since March 2009 of Genentech, benefits from the profits of the American laboratory.  </w:t>
        <w:br/>
        <w:t xml:space="preserve">Novartis was sanctioned under grievance No. 1 for having disseminated, relying on the collective dominant position held with Roche and Genentech in the market for the treatment of AMD, a disparaging discourse, unjustifiably exaggerating the risks associated with the use of Avastin "off-label" for the treatment of AMD, and more generally in ophthalmology, compared to the safety and tolerance of Lucentis for the same use. This practice was likely to have and had the effect of limiting the prescriptions of Avastin "off-label" for the treatment of AMD and, more generally in ophthalmology. It is also likely to have had the effect of maintaining Lucentis at a supra-competitive price or even fixing the price of Eylea, a competing specialty that entered the French market at the end of 2013, at an artificially high level. It began on March 10, 2008, and ended in early November 2013, with the arrival on the market of the competing specialty Eylea, marketed by Bayer in Europe, which ended the dominant position of the collective entity.  </w:t>
        <w:br/>
        <w:t>1 This summary is strictly indicative. Only the reasons for the decision numbered below are authoritative.</w:t>
      </w:r>
    </w:p>
    <w:p>
      <w:r>
        <w:t xml:space="preserve">Novartis, Roche, and Genentech were sanctioned under grievance No. 2 for having disseminated, relying on the collective dominant position held by the three laboratories in the market for the treatment of AMD, and more generally in ophthalmology, an alarmist, even misleading discourse regarding the risks associated with the use of Avastin for the treatment of AMD, in order to unduly block or slow down public authorities' initiatives that aimed to promote and secure its use for the treatment of AMD. More specifically, Genentech participated in the practices, as it allowed for the coordination, notably regarding scientific data, of the discourse of Novartis and Roche concerning the two specialties. In this context, Roche and Novartis were able to develop a very similar discourse, based on the same technical elements, largely provided by Genentech, to the health authorities. The infringement was likely to discourage public authorities from promoting a wider "off-label" use of Avastin in the treatment of AMD and, consequently, to limit the prescriptions of Avastin "off-label" for the treatment of AMD and, more generally in ophthalmology. It is also likely to have had the effect of maintaining Lucentis at a supra-competitive price or even fixing the price of Eylea at an artificially high level. It began on April 7, 2008, concerning Roche, on April 28, 2011, concerning Genentech, and on May 9, 2011, concerning Novartis, and ended in early November 2013, with the arrival on the market of the competing specialty Eylea, marketed in Europe by Bayer, which ended the dominant position of the collective entity.  </w:t>
        <w:br/>
        <w:t>To determine the amount of the sanctions imposed, the Authority notably took into account the seriousness of the practices in question and the certain damage they caused to the economy. In particular, the behaviors of the sanctioned laboratories under the two grievances occurred in the health sector where competition is limited, and more specifically in a context of public debate regarding the extremely high price of Lucentis and its impact on social finances, for which the 100% reimbursement of Lucentis constituted a significant expense item, while there was a drug, Avastin, significantly cheaper, that could be used in ophthalmology.</w:t>
      </w:r>
    </w:p>
    <w:p>
      <w:r>
        <w:rPr>
          <w:b/>
        </w:rPr>
        <w:t>[Pages 4–6]</w:t>
      </w:r>
    </w:p>
    <w:p>
      <w:r>
        <w:t xml:space="preserve">SUMMARY  </w:t>
        <w:br/>
        <w:t xml:space="preserve">I. Findings .................................................................................. 11  </w:t>
        <w:br/>
        <w:t xml:space="preserve">A. THE PROCEDURE ........................................................................................................................... 11  </w:t>
        <w:br/>
        <w:t xml:space="preserve">B. THE SECTOR OF ACTIVITY ......................................................................................................... 11  </w:t>
        <w:br/>
        <w:t xml:space="preserve">1. THE LEGAL AND REGULATORY FRAMEWORK FOR THE MARKETING OF THE RELEVANT MEDICINES IN FRANCE ........................................................................................................ 11  </w:t>
        <w:br/>
        <w:t xml:space="preserve">a) The regulation of the marketing of a medicine ................................................. 12  </w:t>
        <w:br/>
        <w:t xml:space="preserve">The issuance of a marketing authorization (hereinafter, "MA") for one or more indications ...................................................................................................... 12  </w:t>
        <w:br/>
        <w:t xml:space="preserve">b) The modalities of sale in the community and in hospitals .................................. 16  </w:t>
        <w:br/>
        <w:t xml:space="preserve">The modalities of sale in the community ................................................................ 16  </w:t>
        <w:br/>
        <w:t xml:space="preserve">The modalities of sale in hospitals ......................................................................... 18  </w:t>
        <w:br/>
        <w:t xml:space="preserve">The links between the distribution of medicines in hospitals and in the community ............................................................................................................................. 19  </w:t>
        <w:br/>
        <w:t xml:space="preserve">2. THE RELEVANT PRODUCTS ...................................................................................................... 20  </w:t>
        <w:br/>
        <w:t xml:space="preserve">a) General information on anti-VEGF ......................................................................... 20  </w:t>
        <w:br/>
        <w:t xml:space="preserve">Anti-VEGF .................................................................................................................. 20  </w:t>
        <w:br/>
        <w:t xml:space="preserve">AMD and its treatment with anti-VEGF ................................................................. 20  </w:t>
        <w:br/>
        <w:t xml:space="preserve">b) The medicines developed by the Genentech laboratory ....................................... 21  </w:t>
        <w:br/>
        <w:t xml:space="preserve">Avastin ......................................................................................................................... 21  </w:t>
        <w:br/>
        <w:t xml:space="preserve">Lucentis ....................................................................................................................... 23  </w:t>
        <w:br/>
        <w:t xml:space="preserve">c) Other medicines used in the treatment of AMD ................................................... 24  </w:t>
        <w:br/>
        <w:t xml:space="preserve">Eylea ........................................................................................................................... 24  </w:t>
        <w:br/>
        <w:t xml:space="preserve">Macugen ...................................................................................................................... 25  </w:t>
        <w:br/>
        <w:t xml:space="preserve">Visudyne ...................................................................................................................... 25  </w:t>
        <w:br/>
        <w:t xml:space="preserve">3. THE SCIENTIFIC FRAMEWORK CONCERNING THE USE OF AVASTIN IN THE TREATMENT OF OCULAR PATHOLOGIES .......................................................................................... 25  </w:t>
        <w:br/>
        <w:t xml:space="preserve">a) Scientific studies on the comparative efficacy and safety of Avastin and Lucentis in ophthalmology .................................................................................... 25  </w:t>
        <w:br/>
        <w:t xml:space="preserve">Retrospective studies ............................................................................................... 26  </w:t>
        <w:br/>
        <w:t xml:space="preserve">Comparative studies .................................................................................................. 27  </w:t>
        <w:br/>
        <w:t xml:space="preserve">Meta-analyses ............................................................................................................. 30  </w:t>
        <w:br/>
        <w:t xml:space="preserve">b) The positions of health authorities on the comparative efficacy and safety of Avastin and Lucentis in ophthalmology .......................................................... 30  </w:t>
        <w:br/>
        <w:t xml:space="preserve">Analysis by European health authorities ................................................................. 31  </w:t>
        <w:br/>
        <w:t xml:space="preserve">Analysis by French health authorities ................................................................... 33  </w:t>
        <w:br/>
        <w:t xml:space="preserve">4. THE EVOLUTION OF SALES OF THE RELEVANT PRODUCTS IN THE COMMUNITY AND IN HOSPITALS .................................................................................................................. 36  </w:t>
        <w:br/>
        <w:t xml:space="preserve">a) Events that impacted the use of Avastin by ophthalmologists in ophthalmology .................................................................................................................. 36  </w:t>
        <w:br/>
        <w:t xml:space="preserve">b) Events that impacted the use of Lucentis by ophthalmologists in ophthalmology .................................................................................................................. 38  </w:t>
        <w:br/>
        <w:t xml:space="preserve">C. THE RELEVANT ACTORS ............................................................................................................. 39  </w:t>
        <w:br/>
        <w:t xml:space="preserve">1. THE RELATIONS BETWEEN THE RELEVANT LABORATORIES .................................................. 39  </w:t>
        <w:br/>
        <w:t xml:space="preserve">a) The relevant laboratories ....................................................................................... 39  </w:t>
        <w:br/>
        <w:t xml:space="preserve">The Genentech laboratory ....................................................................................... 39  </w:t>
        <w:br/>
        <w:t xml:space="preserve">The Novartis laboratory ............................................................................................ 39  </w:t>
        <w:br/>
        <w:t xml:space="preserve">The Roche laboratory ............................................................................................... 39  </w:t>
        <w:br/>
        <w:t xml:space="preserve">b) The contractual relations between Genentech, Roche, and Novartis for the marketing of Avastin and Lucentis ................................................................. 40  </w:t>
        <w:br/>
        <w:t xml:space="preserve">The licensing agreement between Genentech and Roche for Avastin .................. 40  </w:t>
        <w:br/>
        <w:t xml:space="preserve">The licensing agreement between Genentech and Novartis for Lucentis ............ 42  </w:t>
        <w:br/>
        <w:t xml:space="preserve">c) Summary diagram of the capital and contractual links between Genentech, Roche, and Novartis .......................................................................................... 43  </w:t>
        <w:br/>
        <w:t xml:space="preserve">2. THE RELATIONS BETWEEN PHARMACEUTICAL LABORATORIES AND HEALTH PROFESSIONALS ................................................................................................................... 43  </w:t>
        <w:br/>
        <w:t xml:space="preserve">a) The rules regarding the promotion of the medicine to health professionals ................................................................................................................... 44  </w:t>
        <w:br/>
        <w:t xml:space="preserve">b) The relations of pharmaceutical laboratories with "Key Opinion Leaders" ................................................................................................................... 45  </w:t>
        <w:br/>
        <w:t xml:space="preserve">D. THE ITALIAN CASE ...................................................................................................................... 46  </w:t>
        <w:br/>
        <w:t xml:space="preserve">E. OBSERVED PRACTICES ............................................................................................................... 47  </w:t>
        <w:br/>
        <w:t xml:space="preserve">1. PRACTICES IMPLEMENTED BY NOVARTIS TOWARDS OPHTHALMOLOGISTS, PATIENT ASSOCIATIONS, THE GENERAL PUBLIC, AND HEALTH AUTHORITIES .................................................................................................................. 48  </w:t>
        <w:br/>
        <w:t xml:space="preserve">a) Communication elements during the year 2008 .................................................. 48  </w:t>
        <w:br/>
        <w:t xml:space="preserve">The email of March 10, 2008 .................................................................................. 48  </w:t>
        <w:br/>
        <w:t xml:space="preserve">The presentation of March 17, 2008 "Lucentis: Major Issues &amp; Strategies" ... 48  </w:t>
        <w:br/>
        <w:t xml:space="preserve">The presentation of March 2008 "Lucentis vs Avastin total treatment cost" ..... 49  </w:t>
        <w:br/>
        <w:t xml:space="preserve">The documents "preparation of media training / Lucentis" ................................. 49  </w:t>
        <w:br/>
        <w:t xml:space="preserve">The document "Follow-up Business Retina" dated April 24, 2008 ...................... 49  </w:t>
        <w:br/>
        <w:t xml:space="preserve">The "2009 Retina Business Plan" of July 2008 ...................................................... 50  </w:t>
        <w:br/>
        <w:t xml:space="preserve">b) Communication elements during the year 2009 ................................................ 51  </w:t>
        <w:br/>
        <w:t xml:space="preserve">The meeting of June 19, 2009 between Novartis Pharma and the group's headquarters ........................................................................................................ 51  </w:t>
        <w:br/>
        <w:t xml:space="preserve">The "Lucentis C4 Plan 2009-2014 wAMD [wet age-related macular degeneration]" of July 2009 .................................................................................... 51  </w:t>
        <w:br/>
        <w:t xml:space="preserve">c) Communication elements during the year 2010 .................................................. 52  </w:t>
        <w:br/>
        <w:t xml:space="preserve">The ACUITY guide for the year 2010 .................................................................... 52  </w:t>
        <w:br/>
        <w:t xml:space="preserve">The document "Lucentis Defense Workshop" ....................................................... 53  </w:t>
        <w:br/>
        <w:t xml:space="preserve">The presentation "Lucentis advocacy plan" of May 25, 2010 .............................. 53  </w:t>
        <w:br/>
        <w:t xml:space="preserve">The meeting "Advocacy Lucentis" of May 26, 2010 .............................................. 54  </w:t>
        <w:br/>
        <w:t xml:space="preserve">The meeting "M3PH" of June 2010 ....................................................................... 54  </w:t>
        <w:br/>
        <w:t xml:space="preserve">The meetings "LBT" (or "Local Brand Team") of July and September 2010 ............................................................................................................................. 56  </w:t>
        <w:br/>
        <w:t xml:space="preserve">The preparatory meeting for the "ophthalmology seminar" of July 1, 2010 ....... 57  </w:t>
        <w:br/>
        <w:t xml:space="preserve">The presentation of September 28, 2010 ............................................................... 57  </w:t>
        <w:br/>
        <w:t xml:space="preserve">The argumentation of medical delegates from September 2010 .......................... 58  </w:t>
        <w:br/>
        <w:t xml:space="preserve">d) Communication elements during the year 2011 .................................................. 59  </w:t>
        <w:br/>
        <w:t xml:space="preserve">The "Lucentis Defend plan" of April 2011 .............................................................. 59  </w:t>
        <w:br/>
        <w:t xml:space="preserve">The "action plan in anticipation of the publication of the CATT study" .............. 59  </w:t>
        <w:br/>
        <w:t xml:space="preserve">The economic argument on the cost of Lucentis and Avastin ............................ 60  </w:t>
        <w:br/>
        <w:t xml:space="preserve">The "regional tactical plan Market Access" for Île-de-France ......................... 60  </w:t>
        <w:br/>
        <w:t xml:space="preserve">The regional tactical plan Market Access for Burgundy, Franche-Comté, Île de la Réunion, and Mayotte ............................................................................... 61  </w:t>
        <w:br/>
        <w:t xml:space="preserve">e) Communication elements during the year 2012 .................................................. 61  </w:t>
        <w:br/>
        <w:t xml:space="preserve">The meeting of European teams of Novartis on January 24, 2012 ....................... 61  </w:t>
        <w:br/>
        <w:t xml:space="preserve">The conference call of January 31, 2012 and the "key messages" regarding Lucentis/Avastin ............................................................................................ 62  </w:t>
        <w:br/>
        <w:t xml:space="preserve">The "Counter Avastin Materials" .......................................................................... 63  </w:t>
        <w:br/>
        <w:t xml:space="preserve">The update of the "Elevator Speech" and the document "CATT: key messages" .................................................................................................................... 63  </w:t>
        <w:br/>
        <w:t xml:space="preserve">The document "Integrated Product Strategy (IPS) 2013 – Lucentis" ................. 64  </w:t>
        <w:br/>
        <w:t xml:space="preserve">The "MAREG Franche-Comté" meeting of June 29, 2012 ................................. 64  </w:t>
        <w:br/>
        <w:t xml:space="preserve">The "MAREG Burgundy" meeting of July 3, 2012 ............................................... 64  </w:t>
        <w:br/>
        <w:t xml:space="preserve">The implementation of the "Avastin Action Plan" in September 2012 ............... 65  </w:t>
        <w:br/>
        <w:t xml:space="preserve">The "LBT" (or "Local Brand Team") meeting of December 2012 ......................... 65  </w:t>
        <w:br/>
        <w:t xml:space="preserve">The report from the director of the Ophthalmology franchise of Novartis for the year 2012 ........................................................................................................ 66  </w:t>
        <w:br/>
        <w:t xml:space="preserve">f) Communication elements during the year 2013 .................................................. 66  </w:t>
        <w:br/>
        <w:t xml:space="preserve">The document "Lucentis 2013 draft IPS" ............................................................... 66  </w:t>
        <w:br/>
        <w:t xml:space="preserve">The "GEFAL Action Plan – PAG [Gefal Action Plan]" ......................................... 67  </w:t>
        <w:br/>
        <w:t xml:space="preserve">The document "Key messages Lucentis/Avastin" updated in March 2013 ......... 67  </w:t>
        <w:br/>
        <w:t>The presentation of April 10, 2013 ....................................................................... 68</w:t>
      </w:r>
    </w:p>
    <w:p>
      <w:r>
        <w:rPr>
          <w:b/>
        </w:rPr>
        <w:t>[Pages 7–9]</w:t>
      </w:r>
    </w:p>
    <w:p>
      <w:r>
        <w:t xml:space="preserve">The presentation "Lucentis H2H Action Plan" of April 2013 ................................... 68  </w:t>
        <w:br/>
        <w:t xml:space="preserve">The exchange of emails from April 2013 and the "GEFAL action plan for ophthalmologists" .................................................................................................................. 68  </w:t>
        <w:br/>
        <w:t xml:space="preserve">The document "ARVO 2013 Global activity guide" of May 2013 ............................ 69  </w:t>
        <w:br/>
        <w:t xml:space="preserve">The program of Novartis teams during the ARVO congress .................................. 69  </w:t>
        <w:br/>
        <w:t xml:space="preserve">The minutes of the national advisory committee of May 8, 2013 ......................... 70  </w:t>
        <w:br/>
        <w:t xml:space="preserve">The press release from Novartis dated May 14, 2013 ............................................. 70  </w:t>
        <w:br/>
        <w:t xml:space="preserve">The minutes of the national advisory committee of May 22, 2013 ....................... 71  </w:t>
        <w:br/>
        <w:t xml:space="preserve">The document "Integrated Product Strategy (IPS) 2014 Lucentis / Ophthalmology" of June 2013 ........................................................................................................... 71  </w:t>
        <w:br/>
        <w:t xml:space="preserve">The "Questions and Answers Avastin / Lucentis" of June 2013 ............................ 71  </w:t>
        <w:br/>
        <w:t xml:space="preserve">The report from the director of the Ophthalmology franchise of Novartis for the year 2013 .................................................................................................................. 72  </w:t>
        <w:br/>
        <w:t xml:space="preserve">g) Communication elements during the year 2014 .................................................. 72  </w:t>
        <w:br/>
        <w:t xml:space="preserve">The presentation "AMD Action Plan" of February 2014 ....................................... 72  </w:t>
        <w:br/>
        <w:t xml:space="preserve">The document "Budget Book 2014" ........................................................................ 73  </w:t>
        <w:br/>
        <w:t xml:space="preserve">The "questions/answers" from March 2014 ............................................................ 73  </w:t>
        <w:br/>
        <w:t xml:space="preserve">The visit report of February 10, 2014 ..................................................................... 73  </w:t>
        <w:br/>
        <w:t xml:space="preserve">h) Conclusion ........................................................................................................... 73  </w:t>
        <w:br/>
        <w:t xml:space="preserve">2. THE PRACTICES IMPLEMENTED BY ROCHE AND NOVARTIS, WITH THE HELP OF GENENTECH, TOWARDS PUBLIC AUTHORITIES .......................................................... 73  </w:t>
        <w:br/>
        <w:t xml:space="preserve">a) The relationships between Genentech, Roche, and Novartis regarding the use of Avastin in ophthalmology .................................................................................. 74  </w:t>
        <w:br/>
        <w:t xml:space="preserve">The relationships between Roche and Genentech .................................................. 74  </w:t>
        <w:br/>
        <w:t xml:space="preserve">The relationships between Novartis and Genentech ............................................. 75  </w:t>
        <w:br/>
        <w:t xml:space="preserve">b) The exchanges between Roche and Novartis with public authorities .............. 76  </w:t>
        <w:br/>
        <w:t xml:space="preserve">The exchanges between Roche and AFSSAPS regarding the possibility of a stability study during the year 2008 ................................................................. 76  </w:t>
        <w:br/>
        <w:t xml:space="preserve">The communication from Roche and Novartis after the publication of the first results of CATT during the year 2011 ............................................................ 78  </w:t>
        <w:br/>
        <w:t xml:space="preserve">The communication from Genentech, Roche, and Novartis at the time of the announcement of RTU projects by the government during the year 2012 .......... 81  </w:t>
        <w:br/>
        <w:t xml:space="preserve">The communication from Genentech, Roche, and Novartis after the adoption of LFSS 2013 during the year 2013 ................................................................. 89  </w:t>
        <w:br/>
        <w:t xml:space="preserve">c) Conclusion ........................................................................................................... 90  </w:t>
        <w:br/>
        <w:t xml:space="preserve">F. THE NOTIFIED GRIEVANCES ......................................................................................... 90  </w:t>
        <w:br/>
        <w:t xml:space="preserve">II. Discussion ............................................................................................................. 91  </w:t>
        <w:br/>
        <w:t xml:space="preserve">A. ON JURISDICTION ........................................................................................................ 92  </w:t>
        <w:br/>
        <w:t xml:space="preserve">B. ON PROCEDURE ......................................................................................................... 93  </w:t>
        <w:br/>
        <w:t xml:space="preserve">1. REGARDING THE DURATION OF THE PROCEDURE .................................................. 93  </w:t>
        <w:br/>
        <w:t xml:space="preserve">2. REGARDING THE MEETING WITH REPRESENTATIVES OF HAS ............................ 94  </w:t>
        <w:br/>
        <w:t xml:space="preserve">3. REGARDING MATERIAL ERRORS AFFECTING THE NOTIFICATION OF GRIEVANCES 97  </w:t>
        <w:br/>
        <w:t xml:space="preserve">4. REGARDING IMPARTIALITY AND FAIRNESS OF THE INSTRUCTION PROCEDURE . 97  </w:t>
        <w:br/>
        <w:t xml:space="preserve">5. REGARDING THE ALLEGED MODIFICATION OF NOTIFIED GRIEVANCES ................ 98  </w:t>
        <w:br/>
        <w:t xml:space="preserve">6. REGARDING THE SCOPE OF NOTIFIED GRIEVANCES .............................................. 99  </w:t>
        <w:br/>
        <w:t xml:space="preserve">C. ON THE APPLICABILITY OF UNION LAW ................................................................ 100  </w:t>
        <w:br/>
        <w:t xml:space="preserve">1. APPLICABLE PRINCIPLES .......................................................................................... 100  </w:t>
        <w:br/>
        <w:t xml:space="preserve">2. ASSESSMENT IN THE SPECIFIC CASE ..................................................................... 101  </w:t>
        <w:br/>
        <w:t xml:space="preserve">D. ON THE MERITS OF THE NOTIFIED GRIEVANCES .................................................... 102  </w:t>
        <w:br/>
        <w:t xml:space="preserve">1. REGARDING THE DELIMITATION OF THE RELEVANT MARKET ............................ 102  </w:t>
        <w:br/>
        <w:t xml:space="preserve">a) The market for products .................................................................................... 102  </w:t>
        <w:br/>
        <w:t xml:space="preserve">Applicable principles ........................................................................................... 102  </w:t>
        <w:br/>
        <w:t xml:space="preserve">Assessment in the specific case ......................................................................... 104  </w:t>
        <w:br/>
        <w:t xml:space="preserve">b) The distinction between the city market and the hospital market .................. 111  </w:t>
        <w:br/>
        <w:t xml:space="preserve">Applicable principles ........................................................................................... 111  </w:t>
        <w:br/>
        <w:t xml:space="preserve">Assessment in the specific case ......................................................................... 111  </w:t>
        <w:br/>
        <w:t xml:space="preserve">c) The geographical market .................................................................................. 113  </w:t>
        <w:br/>
        <w:t xml:space="preserve">Applicable principles ........................................................................................... 113  </w:t>
        <w:br/>
        <w:t xml:space="preserve">Assessment in the specific case ......................................................................... 113  </w:t>
        <w:br/>
        <w:t xml:space="preserve">d) Conclusion regarding the relevant market ....................................................... 114  </w:t>
        <w:br/>
        <w:t xml:space="preserve">2. REGARDING THE COLLECTIVE DOMINANCE OF ROCHE, NOVARTIS, AND GENENTECH .................................................................................................................. 114  </w:t>
        <w:br/>
        <w:t xml:space="preserve">a) Applicable principles ......................................................................................... 114  </w:t>
        <w:br/>
        <w:t xml:space="preserve">On the existence of a collective entity ................................................................. 114  </w:t>
        <w:br/>
        <w:t xml:space="preserve">On the existence of a dominant position ............................................................. 115  </w:t>
        <w:br/>
        <w:t xml:space="preserve">b) Assessment in the specific case ....................................................................... 117  </w:t>
        <w:br/>
        <w:t xml:space="preserve">On the existence of a collective entity comprising Genentech, Roche, and Novartis .................................................................................................................. 117  </w:t>
        <w:br/>
        <w:t xml:space="preserve">On the dominant position held by the collective entity ..................................... 121  </w:t>
        <w:br/>
        <w:t xml:space="preserve">Conclusion ............................................................................................................ 125  </w:t>
        <w:br/>
        <w:t xml:space="preserve">3. REGARDING THE QUALIFICATION OF PRACTICES .................................................. 125  </w:t>
        <w:br/>
        <w:t xml:space="preserve">a) Preliminary remarks on the context of the practices ...................................... 126  </w:t>
        <w:br/>
        <w:t xml:space="preserve">b) Regarding the practice targeted by grievance No. 1 ....................................... 127  </w:t>
        <w:br/>
        <w:t xml:space="preserve">Applicable principles ........................................................................................... 127  </w:t>
        <w:br/>
        <w:t xml:space="preserve">Assessment in the specific case ......................................................................... 129  </w:t>
        <w:br/>
        <w:t xml:space="preserve">c) Regarding the practice targeted by grievance No. 2 ....................................... 150  </w:t>
        <w:br/>
        <w:t xml:space="preserve">Applicable principles ........................................................................................... 150  </w:t>
        <w:br/>
        <w:t xml:space="preserve">Assessment in the specific case ......................................................................... 151  </w:t>
        <w:br/>
        <w:t xml:space="preserve">E. ON THE ATTRIBUTION OF PRACTICES ..................................................................... 176  </w:t>
        <w:br/>
        <w:t xml:space="preserve">1. THE APPLICABLE PRINCIPLES .................................................................................. 176  </w:t>
        <w:br/>
        <w:t xml:space="preserve">2. ASSESSMENT IN THE SPECIFIC CASE ..................................................................... 177  </w:t>
        <w:br/>
        <w:t xml:space="preserve">a) Regarding the Novartis group .......................................................................... 177  </w:t>
        <w:br/>
        <w:t xml:space="preserve">b) Regarding the Roche group .............................................................................. 177  </w:t>
        <w:br/>
        <w:t xml:space="preserve">F. ON SANCTIONS ........................................................................................................... 178  </w:t>
        <w:br/>
        <w:t xml:space="preserve">1. GRIEVANCE NO. 1 ..................................................................................................... 178  </w:t>
        <w:br/>
        <w:t xml:space="preserve">a) On the determination of the base amount of monetary sanctions .................. 178  </w:t>
        <w:br/>
        <w:t xml:space="preserve">On the value of sales ............................................................................................ 179  </w:t>
        <w:br/>
        <w:t xml:space="preserve">On the proportion of the value of sales ............................................................... 180  </w:t>
        <w:br/>
        <w:t xml:space="preserve">On the duration ..................................................................................................... 187  </w:t>
        <w:br/>
        <w:t xml:space="preserve">Conclusion on the determination of the base amount ....................................... 187  </w:t>
        <w:br/>
        <w:t xml:space="preserve">b) On the individualization of the sanction ............................................................ 187  </w:t>
        <w:br/>
        <w:t xml:space="preserve">Regarding aggravating and mitigating circumstances ....................................... 188  </w:t>
        <w:br/>
        <w:t xml:space="preserve">Regarding other elements of individualization .................................................. 188  </w:t>
        <w:br/>
        <w:t xml:space="preserve">c) On reiteration ...................................................................................................... 190  </w:t>
        <w:br/>
        <w:t xml:space="preserve">Applicable principles ........................................................................................... 190  </w:t>
        <w:br/>
        <w:t xml:space="preserve">Assessment in the specific case ......................................................................... 191  </w:t>
        <w:br/>
        <w:t xml:space="preserve">d) Conclusion on the amount of the monetary sanction ...................................... 191  </w:t>
        <w:br/>
        <w:t xml:space="preserve">e) On the legal maximum ....................................................................................... 192  </w:t>
        <w:br/>
        <w:t xml:space="preserve">2. GRIEVANCE NO. 2 ..................................................................................................... 192  </w:t>
        <w:br/>
        <w:t xml:space="preserve">a) On the determination of the base amount of monetary sanctions .................. 192  </w:t>
        <w:br/>
        <w:t xml:space="preserve">On the value of sales ............................................................................................ 192  </w:t>
        <w:br/>
        <w:t xml:space="preserve">On the proportion of the value of sales ............................................................... 194  </w:t>
        <w:br/>
        <w:t xml:space="preserve">On the duration ..................................................................................................... 200  </w:t>
        <w:br/>
        <w:t xml:space="preserve">Conclusion on the determination of the base amount ....................................... 201  </w:t>
        <w:br/>
        <w:t xml:space="preserve">b) On the individualization of sanctions ................................................................. 201  </w:t>
        <w:br/>
        <w:t xml:space="preserve">Regarding aggravating and mitigating circumstances ....................................... 201  </w:t>
        <w:br/>
        <w:t xml:space="preserve">Regarding aggravating and mitigating circumstances ....................................... 202  </w:t>
        <w:br/>
        <w:t>c) On reiteration ...................................................................................................... 203</w:t>
      </w:r>
    </w:p>
    <w:p>
      <w:r>
        <w:rPr>
          <w:b/>
        </w:rPr>
        <w:t>[Pages 10–12]</w:t>
      </w:r>
    </w:p>
    <w:p>
      <w:r>
        <w:t xml:space="preserve">d) Conclusion on the amount of the financial penalty .................................. 203  </w:t>
        <w:br/>
        <w:t xml:space="preserve">e) On the legal maximum ...................................................................................... 204  </w:t>
        <w:br/>
        <w:t xml:space="preserve">Regarding the Novartis group ........................................................................ 204  </w:t>
        <w:br/>
        <w:t xml:space="preserve">Regarding the Roche group ............................................................................ 204  </w:t>
        <w:br/>
        <w:t>DECISION ............................................................................................ 205</w:t>
      </w:r>
    </w:p>
    <w:p>
      <w:r>
        <w:t xml:space="preserve">I. Findings  </w:t>
        <w:br/>
        <w:t xml:space="preserve">1. The procedure (A), the sector of activity (B), the concerned parties (C), the Italian case (D), the observed practices (E), and the notified grievances (F) will be presented successively.  </w:t>
        <w:br/>
        <w:t xml:space="preserve">A. THE PROCEDURE  </w:t>
        <w:br/>
        <w:t xml:space="preserve">2. Following a report transmitted by the interregional competition investigation brigade (hereinafter, "BIEC") of Lyon, the Competition Authority (hereinafter, "the Authority") conducted, on April 8, 2014, search and seizure operations at the premises of Novartis Groupe France and Roche, authorized by an order from the judge of freedoms and detention of the Nanterre High Court dated April 1, 2014. The conduct of the search and seizure operations was subject to an appeal.  </w:t>
        <w:br/>
        <w:t xml:space="preserve">3. By decision No. 15-SO-12 dated September 17, 2015, the Authority initiated proceedings ex officio regarding practices implemented in the sector of treatment for age-related macular degeneration (hereinafter, "AMD").  </w:t>
        <w:br/>
        <w:t xml:space="preserve">4. On January 23, 2019, the general rapporteur of the Authority sent a notification of grievances concerning prohibited practices under Article 102 of the Treaty on the Functioning of the European Union (hereinafter, "TFEU") and Article L. 420-2 of the Commercial Code to Novartis Pharma SAS, Novartis Groupe France SA, Novartis AG (hereinafter, collectively, "Novartis"), Genentech Inc. (hereinafter, "Genentech"), and Roche SAS and Roche Holding AG (hereinafter, collectively, "Roche").  </w:t>
        <w:br/>
        <w:t xml:space="preserve">B. THE SECTOR OF ACTIVITY  </w:t>
        <w:br/>
        <w:t xml:space="preserve">5. The legal and regulatory framework for the marketing of the concerned medicines in France (1), the products involved in the practices (2), and the scientific framework regarding the use of Avastin in the treatment of ocular pathologies (3) will be examined successively.  </w:t>
        <w:br/>
        <w:t xml:space="preserve">1. THE LEGAL AND REGULATORY FRAMEWORK FOR THE MARKETING OF THE CONCERNED MEDICINES IN FRANCE  </w:t>
        <w:br/>
        <w:t xml:space="preserve">6. It is necessary to revisit the regulation of the marketing of a medicine (a) and the pricing modalities for medicines (b) in France.  </w:t>
        <w:br/>
        <w:t>2 Order of the Versailles Court of Appeal dated February 19, 2015 (withdrawal by Roche); order of the Versailles Court of Appeal dated May 7, 2015 (annulling the seizure of correspondence and messages unrelated to the practices or covered by the confidentiality of correspondence with a lawyer) and judgment of the Court of Cassation dated October 26, 2016 (rejecting Novartis's appeal).</w:t>
      </w:r>
    </w:p>
    <w:p>
      <w:r>
        <w:t xml:space="preserve">a) The regulation of the marketing of a medicine  </w:t>
        <w:br/>
        <w:t xml:space="preserve">The granting of a marketing authorization (hereinafter, "MA") for one or more indications  </w:t>
        <w:br/>
        <w:t xml:space="preserve">The principle of the obligation to obtain an MA for a given therapeutic indication in the European Union  </w:t>
        <w:br/>
        <w:t xml:space="preserve">7. Any medicine manufactured industrially and sold on a national market or in the European Union must be subject to an MA (Article 6, paragraph 1, of Directive No. 2001/83/EC of November 6, 2001, establishing a Community code relating to medicinal products for human use).  </w:t>
        <w:br/>
        <w:t xml:space="preserve">8. The procedures for granting MAs allow for the evaluation of the concerned medicines, particularly in terms of safety or efficacy. The health authorities competent to grant the MA rely on the results of studies conducted by the pharmaceutical laboratories applying for the authorization (clinical and preclinical trials regarding originator medicines). They do not, in principle, conduct the scientific experiments required for the analysis of a medicine's effects themselves.  </w:t>
        <w:br/>
        <w:t xml:space="preserve">9. Based on these scientific studies, the competent health authorities carry out an evaluation of the benefit/risk profile of the concerned specialty regarding the intended therapeutic indication(s). It is only in the event that the benefit/risk balance is favorable that the health authority will grant an MA for the targeted indication. In the event of a change in the therapeutic indication(s) of the concerned specialty, a new authorization must be granted.  </w:t>
        <w:br/>
        <w:t xml:space="preserve">The possibility of derogation for the targeted use of a specialty authorized for marketing  </w:t>
        <w:br/>
        <w:t xml:space="preserve">10. The granting of an MA corresponds to the authorization for the marketing of a specialty for one or more therapeutic indication(s). However, the issuance of an MA for specific indications does not prevent physicians from prescribing this specialty for other indications: the applicable Community framework thus provides for the possibility of prescribing a medicine "off-label," that is, for indications other than those for which the medicine has received its MA.  </w:t>
        <w:br/>
        <w:t xml:space="preserve">11. Article 5, paragraph 1, of Directive No. 2001/83/EC thus provides: "A Member State may, in accordance with the legislation in force and in order to meet special needs, exclude from the provisions of this directive medicines supplied to meet a bona fide and unsolicited order, prepared in accordance with the specifications of an authorized health professional and intended for his particular patients under his direct personal responsibility."  </w:t>
        <w:br/>
        <w:t xml:space="preserve">12. These provisions must be interpreted strictly (judgment of the Court of Justice of the European Union dated March 29, 2012, Commission v. Republic of Poland, C-185/10, point 31). According to the Court of Justice, "the derogation provided for by this provision can only concern situations in which the physician considers that the health condition of his particular patients requires the administration of a medicine for which there is no authorized equivalent on the national market or which is unavailable on the market" (point 36). Furthermore, "financial considerations alone cannot lead to the recognition of such special needs" (point 38).  </w:t>
        <w:br/>
        <w:t>13. Regarding specifically the preparation of ready-to-use syringes of Avastin, the Court of Justice ruled that "a physician may, faced with a given pathology and based on</w:t>
      </w:r>
    </w:p>
    <w:p>
      <w:r>
        <w:rPr>
          <w:b/>
        </w:rPr>
        <w:t>[Pages 13–15]</w:t>
      </w:r>
    </w:p>
    <w:p>
      <w:r>
        <w:t xml:space="preserve">only on therapeutic considerations specific to his patients, including with regard to the method of administration of the medicine, consider that an off-label treatment, according to the galenic form and the dosage he deems appropriate and using Avastin which has a community MA, is preferable to a treatment using Lucentis" (judgment of April 11, 2013, Novartis Pharma GmbH v. Apozyt GmbH, C-535/11, point 48). Similarly, it considered that "Article 6 of Directive 2001/83 must be interpreted as not opposing national measures such as those at issue in the main proceedings which define the conditions under which Avastin may be repackaged for use in the treatment of ophthalmological indications not covered by its MA" (judgment of November 21, 2018, Novartis v. AIFA, C-29/17, point 79).  </w:t>
        <w:br/>
        <w:t xml:space="preserve">14. Thus, EU regulation on pharmaceutical products does not prohibit the prescription of a medicine "off-label" nor its repackaging for such use, but makes them subject to compliance with certain conditions (judgment of the Court of Justice of January 23, 2018, F. Hoffmann-La Roche et al., C-179/16, point 59).  </w:t>
        <w:br/>
        <w:t xml:space="preserve">The physician's freedom of prescription  </w:t>
        <w:br/>
        <w:t xml:space="preserve">15. This possibility of "off-label" prescription is part of a well-established principle that is among the fundamental ethical principles applicable to the medical profession, the principle of freedom of prescription.  </w:t>
        <w:br/>
        <w:t xml:space="preserve">16. The principle of the physician's freedom of prescription is enshrined in Article L. 162-2 of the Social Security Code, which states, "In the interest of insured persons and public health, the respect for the freedom of practice and the professional and moral independence of physicians is ensured in accordance with the fundamental ethical principles which are the free choice of the physician by the patient, the freedom of prescription of the physician, professional secrecy, direct payment of fees by the patient, the freedom of establishment of the physician (...)." Article L. 162-4 of the same code requires the prescriber to indicate on the prescription, the support of the prescription, the non-reimbursable nature of the medicine when it has been prescribed outside the therapeutic indications that open the right to reimbursement or coverage by health insurance.  </w:t>
        <w:br/>
        <w:t xml:space="preserve">17. The medical code of ethics also recalls the scope of the principle, under which physicians have a legal obligation to provide the most appropriate treatment for each patient, taking into account the acquired scientific data (Article 8 of the medical code of ethics, codified in Article R. 4127-8 of the Public Health Code: "Within the limits set by law and taking into account the acquired scientific data, the physician is free in his prescriptions which will be those he considers most appropriate in the circumstances").  </w:t>
        <w:br/>
        <w:t xml:space="preserve">18. Thus, physicians have the option, when they deem it necessary, to prescribe to their patients a specialty benefiting from an MA, outside of its indication (see for example, clarifying this point, the judgments of the Council of State of October 19, 2001, D..., No. 210590 and of the Court of Cassation of January 4, 2005, No. 03-14206 and of September 18, 2008, No. 07-15427).  </w:t>
        <w:br/>
        <w:t xml:space="preserve">19. It should be noted that the practice of "off-label" prescription is relatively widespread. Thus, this type of prescription represented at the time of the practices in question (in 2011), about 15 to 20% of all prescriptions, across all fields.  </w:t>
        <w:br/>
        <w:t xml:space="preserve">3 Also called "pharmaceutical form": the form in which a treatment is administered.  </w:t>
        <w:br/>
        <w:t xml:space="preserve">4 Summary report of the "Assises du médicament," June 23, 2011, included in the impact study of the draft law on strengthening the health security of medicines and health products, July 2011.  </w:t>
        <w:br/>
        <w:t xml:space="preserve">The evolution of French regulation regarding "off-label" prescriptions  </w:t>
        <w:br/>
        <w:t xml:space="preserve">20. Until the end of 2011, "off-label" prescriptions fell under different regimes. Some "off-label" uses resulted from prescription recommendations issued by health authorities, while others were provided for by texts. This was the case for temporary authorizations for use (hereinafter "ATU") intended to treat rare diseases before the granting of an MA, temporary therapeutic protocols (hereinafter "PTT"), or certain medicines prescribed for the outpatient treatment of rare diseases and long-term conditions (report of the Law Commission on the draft law on strengthening the health security of medicines and health products, September 2011, page 137).  </w:t>
        <w:br/>
        <w:t xml:space="preserve">21. In response to the Mediator affair, revealed in 2009 following the use by physicians of an antidiabetic drug prescribed outside the indication provided for by its MA as an "appetite suppressant" to patients wishing to lose weight, the legislator decided not to prohibit "off-label" prescriptions – which would not only have been contrary to the freedom of prescription but would also have deprived patients of certain treatments – but to better regulate them (aforementioned report, page 138) in order to prevent health risks to patients.  </w:t>
        <w:br/>
        <w:t xml:space="preserve">22. Thus, Law No. 2011-202 of December 29, 2011, relating to the strengthening of the health security of medicines and health products (known as the "Bertrand law," named after the then Minister of Health, Xavier Bertrand) inserted into the Public Health Code Article L. 5121-12-1, creating a new legal category for the use of medicines "off-label," the temporary recommendations for use (hereinafter "RTU"), drafted as follows: "I. A pharmaceutical specialty may be prescribed in a manner not conforming to its marketing authorization in the absence of an appropriate medicinal alternative with a marketing authorization or a temporary authorization for use, subject to: 1° That the indication or conditions of use considered have been the subject of a temporary recommendation for use established by the National Agency for the Safety of Medicines and Health Products, this recommendation not being able to exceed three years; 2° Or that the prescriber deems it essential, in light of the acquired scientific data, to resort to this specialty to improve or stabilize the clinical condition of the patient" (emphasis added).  </w:t>
        <w:br/>
        <w:t xml:space="preserve">23. Seized in the litigation regarding the legality of the RTU adopted in June 2015 to authorize the use of Avastin outside its MA (see paragraph 72 below), the Council of State clarified the scope of these provisions. Thus, in its judgment of February 24, 2017, concerning the appeal against the Avastin RTU, it emphasized on this point: "Considering that, in view of the development of the practice of prescribing certain specialties outside the indications or conditions of use of their marketing authorization, the potential benefits to be expected as well as the risks incurred, the legislator intended, through the elaboration of temporary recommendations for use, and without the second paragraph of I of Article L. 5121-12-1 of the Public Health Code prohibiting these prescriptions in the absence of a recommendation, to strengthen the guarantees associated with this practice by providing physicians, through the National Agency for the Safety of Medicines and Health Products responsible for their elaboration, with information relating in particular to the expected benefits of the specialty and the risks incurred in the indication or conditions of use in question and by establishing patient monitoring" (emphasis added).  </w:t>
        <w:br/>
        <w:t xml:space="preserve">24. Thus, after the entry into force of the Bertrand law, a physician could still decide to prescribe a medicine outside its MA, as long as he deemed that resorting to this specialty was the most appropriate to treat his patient.  </w:t>
        <w:br/>
        <w:t xml:space="preserve">25. Article L. 5121-12-1 of the Public Health Code was subsequently amended to take into account the fact that certain laboratories made the commercial or industrial choice not to develop a specialty in a given indication. The legislator therefore decided to extend the possibility of adopting, on an exceptional basis, an RTU for a pharmaceutical specialty in cases where there is a therapeutic alternative in this indication, in response either to a public health imperative or to a requirement for controlling health insurance expenditures (impact study relating to the draft law on the financing of social security for 2013, October 2012, page 231).  </w:t>
        <w:br/>
        <w:t xml:space="preserve">26. Thus, Law No. 2012-1404 of December 17, 2012, on the financing of social security for 2013 (hereinafter, "LFSS 2013") created the so-called "economic RTU" regime, by adding the following provisions to Article L. 5121-12-1 of the Public Health Code: "V. By way of derogation from I and on an exceptional basis, in the presence of an appropriate medicinal alternative with a marketing authorization, a pharmaceutical specialty may be the subject of a temporary recommendation for use established under the conditions provided for in I to IV. This temporary recommendation for use may only be established with the objective of either remedying a proven risk to public health or avoiding expenditures that have a significant impact on the finances of health insurance" (emphasis added). However, the implementing decree was never published. Representatives of the national agency for the safety of medicines (hereinafter, "ANSM"), questioned by the investigating services, stated in hearings that the Council of State had expressed reservations about the conformity of the new Article L. 5121-12-1 of the Public Health Code with Union law, in that it could have authorized a "circumvention" of the MA obligation for economic reasons (reference 14274).  </w:t>
        <w:br/>
        <w:t xml:space="preserve">27. Article L. 5121-12-1 of the Public Health Code was therefore amended again by Law No. 2014-892 of August 8, 2014, on the corrective financing of social security for 2014, as follows: "I. A pharmaceutical specialty may be prescribed in a manner not conforming to its marketing authorization in the absence of a specialty with the same active ingredient, dosage, and pharmaceutical form with a marketing authorization or a temporary authorization for use in the indication or conditions of use considered, provided that a temporary recommendation for use established by the National Agency for the Safety of Medicines and Health Products secures the use of this specialty in this indication or these conditions of use and that the prescriber deems it essential to resort to this specialty to improve or stabilize the clinical condition of his patient" (emphasis added).  </w:t>
        <w:br/>
        <w:t>28. An implementing decree No. 2014-1703, creating Articles R. 5121-76-1 and following of the Public Health Code, was then adopted on December 30, 2014, to specify the conditions for the application of these provisions. The professional group "Les entreprises du médicament" (hereinafter, "LEEM"), Roche, and Novartis filed an appeal for excess of power against this decree before the Council of State, which was rejected by a judgment of June 29, 2016 (CE, LEEM, Roche SAS, Novartis Europharm Limited and others, No. 387890).</w:t>
      </w:r>
    </w:p>
    <w:p>
      <w:r>
        <w:rPr>
          <w:b/>
        </w:rPr>
        <w:t>[Pages 16–18]</w:t>
      </w:r>
    </w:p>
    <w:p>
      <w:r>
        <w:t xml:space="preserve">b) The terms of sale in the city and at the hospital  </w:t>
        <w:br/>
        <w:t xml:space="preserve">29. The pricing methods for medicines vary depending on the sales channel.  </w:t>
        <w:br/>
        <w:t xml:space="preserve">Terms of sale in the city  </w:t>
        <w:br/>
        <w:t xml:space="preserve">30. The pricing of medicines is framed within a complex legal framework involving several stakeholders.  </w:t>
        <w:br/>
        <w:t xml:space="preserve">31. The pharmaceutical company wishing to market a medicine and have it covered by health insurance must first submit a file to the Haute Autorité de santé (hereinafter, "HAS"), which triggers a series of procedures: (i) opinions from HAS regarding the medical service rendered by the medicine (hereinafter, "SMR"), the improvement of the medical service rendered (hereinafter, "ASMR") by the medicine, and the medico-economic effectiveness of the medicine; (ii) an opinion from the Economic Committee for Health Products (hereinafter, "CEPS") regarding the pricing of the medicine; (iii) a ministerial order admitting the medicine for reimbursement by health insurance; and (iv) the determination of the reimbursement rate by the Director General of the National Health Insurance Fund for Salaried Workers (hereinafter, "CNAMTS") in his capacity as Director of the National Union of Health Insurance Funds (hereinafter, "UNCAM").  </w:t>
        <w:br/>
        <w:t xml:space="preserve">32. Article L. 162-16-4 of the Social Security Code, which determines the rules for setting the price of medicines reimbursable by social security, specifies that "the determination of this price primarily takes into account the improvement of the medical service rendered by this medicine, the prices of medicines with the same therapeutic aim, the expected or observed sales volumes, as well as the foreseeable and actual usage forecasts of the medicine."  </w:t>
        <w:br/>
        <w:t xml:space="preserve">33. Given the non-exhaustive nature of the criteria set forth by the Social Security Code, other criteria are also taken into account, particularly those stemming from a multi-year framework agreement (three years) concluded since 1994 by CEPS (or its predecessor) with LEEM – the currently applicable agreement being dated December 31, 2015, extended by an amendment of July 23, 2020, until December 31, 2020 – from the "doctrine" formalized by CEPS in its annual activity report, and from periodic ministerial guidance letters.  </w:t>
        <w:br/>
        <w:t xml:space="preserve">34. Thus, initially, the medicine is evaluated by the Transparency Commission of HAS, which will issue an opinion regarding the SMR and the ASMR. HAS primarily evaluates the ASMR – which outlines the relative therapeutic progress provided by a medicine for a given therapeutic indication – in relation to the medicines already available on the market. Depending on the case, its opinion indicates a major therapeutic progress (ASMR I), important (ASMR II), moderate (ASMR III), minor (ASMR IV), or non-existent (ASMR V).  </w:t>
        <w:br/>
        <w:t xml:space="preserve">35. As emphasized by HAS, the evaluation of ASMR is based on a "relative approach," which presupposes that "1/ a comparison is available; 2/ a clinically 'relevant' comparator has been identified; 3/ and that the available scientific data allows for an assessment of the contribution of the medicine in relation to this comparator. A clinically 'relevant' comparator (...) is at the same level of the therapeutic strategy as the new medicine and is intended for the same patients. Thus, a medicine benefiting from a PTT, a temporary authorization for use (ATU), a temporary recommendation for use (RTU), or used off-label in routine practice for the evaluated indication may be considered by HAS as a clinically relevant comparator" (HAS, "Evaluation of Medicines / Doctrine of the Transparency Commission / Principles of Evaluation of the CT Relating to Medicines for Their Access to Reimbursement," September 2018). CEPS can thus legally take into account the innovation brought by the specialty in relation to previously used specialties with the same therapeutic aim, including those used off-label (see in particular the judgment of the Council of State of March 20, 2013, Addmedica, No. 356661; see also the CEPS annual report for the year 2018, page 34).  </w:t>
        <w:br/>
        <w:t xml:space="preserve">36. However, as recalled by the Court of Auditors in its report on social security in 2011, the Transparency Commission of HAS has "a legally only consultative role." Indeed, no legislative or regulatory provision requires that the pricing by CEPS of a reimbursable medicine occurs after the opinion of this Commission (see in particular the judgment of the Council of State of March 20, 2013, Addmedica, No. 356661; see also the report of the Court of Auditors on social security 2011, page 124). CEPS indicated in this sense in its annual report for the year 2010: "The ASMR is subject to an opinion from the Transparency Commission. This opinion is followed by the committee in almost all cases. Exceptionally, however, in accordance with jurisprudence, the committee may base its decision on a different assessment than that of the commission. The committee may consider a medicine without ASMR that the Transparency Commission had recognized one for, or recognize an ASMR for a medicine to which it had not assigned one" (page 61). However, the Social Security Financing Law for 2017 ended the ability for CEPS, "an administrative and not scientific body," to base its assessment of therapeutic interest on a more favorable evaluation than that assessed by HAS (Court of Auditors, report on the application of social security financing laws, September 2017; see also the CEPS annual report for the year 2016, page 107).  </w:t>
        <w:br/>
        <w:t xml:space="preserve">37. In a second phase, the public sale price is set by agreement between the company marketing the medicine and CEPS. In the absence of an agreement, the price may be set by unilateral decision of CEPS (Article L. 162-16-4 of the Public Health Code).  </w:t>
        <w:br/>
        <w:t xml:space="preserve">38. In its annual report for the year 2008, CEPS emphasized that: "The discussion of the price of a medicine with ASMR therefore constitutes an open negotiation where the demands of the company confront the necessity or urgency, more or less great, in terms of meeting health needs, for the medicine to be listed for reimbursement" (page 54).  </w:t>
        <w:br/>
        <w:t xml:space="preserve">39. For medicines with an ASMR I to IV, the price is set by comparison to the price of "comparators," namely medicines in the same therapeutic class. Thus, each medicine can obtain a pricing advantage that is all the greater as its ASMR is significant compared to the identified "comparators." For medicines that do not provide an ASMR (ASMR V), the price must allow for a treatment cost lower than that of the "comparators": they can only be admitted for reimbursement by health insurance on the condition that they provide "a saving in the cost of medicinal treatment" (Article R. 163-5-1-2 of the Social Security Code).  </w:t>
        <w:br/>
        <w:t xml:space="preserve">40. The regime of agreements concluded between the laboratory and CEPS to set the public sale price of a medicine benefiting from a marketing authorization is specified by the framework agreement signed between LEEM and CEPS. The 2003 framework agreement defined the main lines of a global medicine policy, still in force, notably providing for the recognition of innovation by granting stable prices for five years for products with an ASMR I, II, and III and, under certain conditions, an ASMR IV (called the "European price guarantee"). Most importantly, for these medicines, the discussion of the price for inclusion on the list of reimbursable medicines (called "list price") is most often accompanied by the discussion of contractual clauses, which are as important as the price itself since they most frequently aim to ensure the best possible alignment of the use of the medicine with identified needs or to provide, depending on the significance of the sums involved, quantity discounts (CEPS annual report for the year 2008). In 2017, the Court of Auditors emphasized that "There is no fixed scale of pricing advantages that CEPS can accept: their level is determined during each negotiation" (report on the application of social security financing laws, September 2017).  </w:t>
        <w:br/>
        <w:t xml:space="preserve">41. Framed by law (Article L. 162-18 of the Social Security Code), the discounts correspond to the sums due in execution of contractual clauses between CEPS and pharmaceutical companies. These are the sums paid by the laboratory to health insurance, which are deducted from the total cost incurred for the reimbursement of a given medicine for health insurance. In 2013, commitments of the "price/volume" type represented 75% of the discounts due, while the so-called "first box" discounts represented 13% of the sums due (CEPS annual report for the year 2013, page 47). In 2017, the share of discounts calculated based on volume thresholds in the total amount of contractual discounts remained predominant (Court of Auditors, report on the application of social security financing laws, September 2017, page 362). In its annual report for the year 2012, CEPS specified that discounts are gradually replaced by price reductions when the "European price guarantee" period of the concerned medicine has expired (pages 32 and 66).  </w:t>
        <w:br/>
        <w:t xml:space="preserve">42. Finally, prices set by agreement may be revised at the request of the pharmaceutical laboratory or CEPS. The latter emphasized in its annual report for the year 2012 that "Regarding products benefiting from a European price guarantee, the price and related clauses may nevertheless be revised as soon as there is a change in the conditions that justified them: European prices, significant variation in production costs, evaluation of the specialty, medico-economic analysis, and observed sales volumes" (page 100).  </w:t>
        <w:br/>
        <w:t xml:space="preserve">43. Concerning "me-too" medicines (i.e., those whose development was inspired, with a relatively low level of risk, by the success of their predecessors, thus arriving on the market many years after the first of the category), marketed by a competing company, they have an ASMR V (intended for medicines that provide no improvement in the service rendered). To set their price, CEPS's objective is "to achieve the greatest possible savings" (CEPS annual report for the year 2017, page 112).  </w:t>
        <w:br/>
        <w:t xml:space="preserve">Terms of sale at the hospital  </w:t>
        <w:br/>
        <w:t>44. The prices of medicines sold to hospitals are set freely, within the framework of tender procedures or negotiated contracts.</w:t>
      </w:r>
    </w:p>
    <w:p>
      <w:r>
        <w:rPr>
          <w:b/>
        </w:rPr>
        <w:t>[Pages 19–21]</w:t>
      </w:r>
    </w:p>
    <w:p>
      <w:r>
        <w:t xml:space="preserve">45. Governed by the Public Procurement Code, the purchasing procedure of public hospitals can be implemented either through calls for tenders, ensuring competition among suppliers, or through negotiated contracts, without competition, for pharmaceutical specialties protected by a patent or facing no competition (cases exhaustively provided for in 8° of II of Article 35 of the Public Procurement Code).  </w:t>
        <w:br/>
        <w:t xml:space="preserve">46. Furthermore, public hospitals and private clinics may, at their discretion, enter into individual contracts or collective contracts, within the framework of public procurement groups (purchasing groups), or resort to reference centers, which they mandate to issue a call for tenders on their behalf.  </w:t>
        <w:br/>
        <w:t xml:space="preserve">47. Generally, the financing of medicines in healthcare establishments subject to activity-based pricing (referred to as "T2A") is ensured under the tariffs for hospitalization services related to homogeneous stay groups (hereinafter, "GHS"). These tariffs are flat-rate and are intended to cover all costs incurred by the establishment for the care of the patient, including all medicines administered during their hospital stay, whether it is a full hospitalization or a day hospitalization (IGAS Report, "Evaluation of the financing system for medicines in addition to hospitalization services in healthcare establishments," April 2012, page 16).  </w:t>
        <w:br/>
        <w:t xml:space="preserve">48. Additionally, in 2004, a specific financing mechanism for innovative and expensive medicines in healthcare establishments was established during the implementation of activity-based pricing, in order to guarantee all patients access to these medicines, as the GHS tariffs could not adequately account for them. This mechanism, established by Law No. 2003-1199 of December 18, 2003, on the financing of social security for 2004, allowed these products to be covered at 100% by mandatory health insurance schemes if they were listed on a specific list, referred to as the "additional list" (Article L. 162-22-7 of the Social Security Code).  </w:t>
        <w:br/>
        <w:t xml:space="preserve">49. In 2008, at the time of the practices in question, medicines used in hospitals were financed at more than 40% under the GHS tariffs. Their prices are formed according to the rules related to public procurement, and thus the CEPS does not intervene (CEPS activity report for the year 2008, page 11).  </w:t>
        <w:br/>
        <w:t xml:space="preserve">The links between the distribution of medicines in hospitals and in the community  </w:t>
        <w:br/>
        <w:t xml:space="preserve">50. There are economic and factual links between the distribution of medicines in hospitals and in the community.  </w:t>
        <w:br/>
        <w:t xml:space="preserve">51. Firstly, the pharmaceutical sector is characterized by the existence of a "reputation effect," which corresponds to the reputation acquired by the laboratory marketing the medicine or patented specialty, facilitating its referencing by hospital establishments or its prescription by community doctors (decision No. 17-D-25 of December 20, 2017, regarding practices implemented in the sector of transdermal fentanyl devices, point 53).  </w:t>
        <w:br/>
        <w:t xml:space="preserve">52. Secondly, certain medicines, initially prescribed and dispensed in hospitals during a hospitalization, may subsequently be prescribed and dispensed in the community when the patient has returned home. This is referred to as the "source effect," which denotes the propensity of prescriptions issued in hospitals to generate sales in community pharmacies, particularly through renewals prescribed by community doctors (see decisions No. 10-D-02 of January 14, 2010, regarding practices implemented in the sector of low molecular weight heparins, point 73, and No. 17-D-25 of December 20, 2017, regarding practices implemented in the sector of transdermal fentanyl devices, point 50).  </w:t>
        <w:br/>
        <w:t xml:space="preserve">53. Thirdly, certain medicines may be prescribed in hospitals, for example upon discharge from hospitalization or during an outpatient consultation, but dispensed by a community pharmacy. In this case, the prescription act is issued by the hospital doctor, but the patient purchases the medicine at a pharmacy. Such a practice has been observed concerning "irreplaceable and expensive" medicines, reimbursed at 100% by social security. This is particularly the case for one of the specialties involved in this decision: Lucentis (references 13595, 13585, 13589, and 7089).  </w:t>
        <w:br/>
        <w:t xml:space="preserve">2. THE PRODUCTS CONCERNED  </w:t>
        <w:br/>
        <w:t xml:space="preserve">54. After a presentation of anti-VEGF (a), the medicines developed by the Genentech laboratory (b) and the other medicines used in the treatment of AMD (c) will be presented.  </w:t>
        <w:br/>
        <w:t xml:space="preserve">a) General information on anti-VEGF  </w:t>
        <w:br/>
        <w:t xml:space="preserve">Anti-VEGF  </w:t>
        <w:br/>
        <w:t xml:space="preserve">55. Angiogenesis is the process of growing new blood vessels from pre-existing vessels. In itself, it constitutes a normal physiological process (notably during embryonic development) but can also represent a pathological process, for example when it results in the growth of malignant tumors related to cancer and the development of metastases.  </w:t>
        <w:br/>
        <w:t xml:space="preserve">56. The medicines concerned, referred to as "anti-VEGF," are inhibitors of angiogenesis, allowing the blockage of blood vessel formation from pre-existing vessels in the human body.  </w:t>
        <w:br/>
        <w:t xml:space="preserve">57. They stem from the discovery in 1989 by Dr. Napoleone Ferrara, a biologist at the American laboratory Genentech, of a protein called vascular endothelial growth factor (hereinafter "VEGF"), which plays a crucial role in the formation of blood vessels. Thus, by inhibiting the production of this protein, it became possible to block the phenomenon of vascularization in the body. Researchers at Genentech then developed an antibody that allows the inhibition of the VEGF factor in humans.  </w:t>
        <w:br/>
        <w:t xml:space="preserve">58. Originally, anti-VEGF were used to treat certain types of cancers by inhibiting the vascular development of cancerous tumors. Subsequently, anti-VEGF also allowed the treatment of certain ophthalmological disorders related to excessive vascularization of the eye, such as age-related macular degeneration (hereinafter "AMD"), through intravitreal injections.  </w:t>
        <w:br/>
        <w:t xml:space="preserve">AMD and its treatment with anti-VEGF  </w:t>
        <w:br/>
        <w:t xml:space="preserve">59. AMD is the leading cause of visual impairment among the elderly in industrialized countries. In its late stage, AMD leads to severe impairment of central vision, which presents notably as dark spots perceived by the patient in the middle of their visual field. There are two forms of AMD: the atrophic form (referred to as "dry AMD") and the neovascular or exudative form (referred to as "wet or exudative AMD"). The latter is characterized by the abnormal growth of new blood vessels in the central part of the retina, the macula.  </w:t>
        <w:br/>
        <w:t xml:space="preserve">60. According to HAS recommendations, anti-VEGF are indicated as a first-line treatment for exudative AMD. To date, there is no treatment for dry AMD (references 14359 to 14410).  </w:t>
        <w:br/>
        <w:t xml:space="preserve">b) The medicines developed by the Genentech laboratory  </w:t>
        <w:br/>
        <w:t xml:space="preserve">61. Following its research on the inhibition of VEGF, the Genentech laboratory developed two molecules: bevacizumab (commercially known as Avastin) and ranibizumab (commercially known as Lucentis).  </w:t>
        <w:br/>
        <w:t xml:space="preserve">Avastin  </w:t>
        <w:br/>
        <w:t xml:space="preserve">62. Originally, the Genentech laboratory developed bevacizumab in 1996 for the treatment of certain cancers.  </w:t>
        <w:br/>
        <w:t xml:space="preserve">63. The Genentech laboratory markets the medicine Avastin in the United States. For the rest of the world, the laboratory has granted a license for the exploitation and marketing of Avastin to the Roche laboratory (see paragraphs 199 to 209 below).  </w:t>
        <w:br/>
        <w:t xml:space="preserve">64. Avastin is a hospital reserve medicine, marketed in France by the Roche laboratory, in accordance with the European MA granted on January 12, 2005, for the treatment of certain types of cancers.  </w:t>
        <w:br/>
        <w:t xml:space="preserve">65. However, some doctors, after administering Avastin in oncology, observed that the health status of patients suffering from both a cancerous tumor and AMD also improved regarding the latter pathology. They thus decided to use Avastin outside the indication provided in its MA, starting in 2006, but also after the arrival of Lucentis on the market in 2007, relying notably on scientific publications dating back to 2005 (references 7105 and 7106, reference 13584).  </w:t>
        <w:br/>
        <w:t xml:space="preserve">66. The practice of using Avastin for the treatment of AMD then developed in France, particularly given its lower cost compared to Lucentis (see paragraph 80 below), even after Lucentis was admitted for reimbursement (references 7105 and 7106, reference 7089, reference 7095). Indeed, doctors used a single vial of Avastin, which cost 348.10 euros in 2010 (reference 2138) to perform several injections, thus reducing the unit cost of the injection to about 30 euros (references 7104 and 2430). Furthermore, Avastin was used, still "off-label," for other ophthalmological indications for which Lucentis did not have, or did not yet have, an MA (reference 7096, reference 13584).  </w:t>
        <w:br/>
        <w:t xml:space="preserve">67. Given the significant development in various Western countries (such as Italy, Germany, or Spain, but also in the United States) of the use of Avastin to treat AMD and other ocular conditions, health authorities and medical teams developed various research projects aimed at testing the effectiveness and potential side effects associated with the prescription of Avastin for the treatment of AMD.  </w:t>
        <w:br/>
        <w:t>68. The Roche laboratory has never wished to apply for an MA for Avastin in the ophthalmic field.</w:t>
      </w:r>
    </w:p>
    <w:p>
      <w:r>
        <w:rPr>
          <w:b/>
        </w:rPr>
        <w:t>[Pages 22–24]</w:t>
      </w:r>
    </w:p>
    <w:p>
      <w:r>
        <w:t>69. At the end of 2011, the creation of RTUs by the Bertrand law (see paragraph 22 above) effectively reduced the possibilities for ophthalmologists to use Avastin for the treatment of AMD, as there was a specialty with a marketing authorization for this indication, namely Lucentis (references 5016 and 5017). However, when questioned by the investigating services, the ANSM stated during the hearing that "Even after the Bertrand law, a doctor may consider that Lucentis was not appropriate for their patient and choose Avastin, in the interest of the patient. The text is not intended to lock things down. It must be able to align with medical practice. This must be based on serious scientific elements. It is not an absolute prohibition. It must respect criteria: patient interest and transparency" (reference 14274).</w:t>
      </w:r>
    </w:p>
    <w:p>
      <w:r>
        <w:t>70. During the year 2012, public authorities began to discuss the possibility of implementing an RTU for Avastin. Thus, at the end of June 2012, Mr. X..., then president of the HAS, publicly announced considering referring to the ANSM for an RTU for Avastin in AMD (reference 5852).</w:t>
      </w:r>
    </w:p>
    <w:p>
      <w:r>
        <w:t>71. Nevertheless, in a letter dated July 31, 2012, addressed to Novartis, Mr. X... indicated that the HAS board had ultimately abandoned this request, referring to doubts about the legal possibility of adopting an RTU outside the case of the absence of a regularly authorized therapeutic alternative ("We ultimately decided not to take this initiative given the wording of Article L. 5121-12-1 which defines the criteria for developing an RTU. The decree of May 9, 2012, indeed specifies that an RTU can be developed for a different indication or under conditions of use not compliant with the MA in the absence of an appropriate authorized medicinal alternative. Although the term 'appropriate' may be subject to discussion, we did not wish to use the possibility offered to the HAS to refer to the ANSM, particularly pending the results of the GEFAL study," reference 3336).</w:t>
      </w:r>
    </w:p>
    <w:p>
      <w:r>
        <w:t>72. Today, the use of Avastin is regulated by an RTU, published on June 25, 2015, and came into effect on September 1, 2015. Due to Roche's refusal to ensure patient follow-up, the initial RTU was modified on September 11, 2015, to allow the Hospices Civils de Lyon to perform this patient follow-up function. Roche and Novartis filed a lawsuit for abuse of power before the Conseil d'État against the decision of the Director General of the ANSM establishing the RTU for Avastin, which was rejected by a ruling dated February 24, 2017 (CE, Sect. 1 and 6 combined, February 24, 2017, No. 392459, unpublished). The RTU was renewed for 3 years on September 1, 2018. The price of the Avastin syringe for the indication of its RTU was set by the decree of August 19, 2015, at an amount of 10 euros. By a decree of May 4, 2016, this price was modified and retroactively set from March 1, 2016, at an amount of 100 euros including tax. This specialty is financed according to the principle of the "list in addition," meaning it gives rise to a monetary payment to the hospital, with hospitalization services reimbursed through GHS, in accordance with the provisions of Article L. 162-17-2-1 of the Social Security Code.</w:t>
      </w:r>
    </w:p>
    <w:p>
      <w:r>
        <w:t>73. Since its publication, the RTU has effectively allowed some doctors to use Avastin again in the treatment of AMD. For example, the head of the clinical pharmacy department of the Paris University Hospitals group stated on this point: "We ceased all preparation of Avastin when we became aware of the DGS circular of July 2012. I only resumed this production from September 1, 2015, following the implementation of the RTU of June 24, 2015" (reference 7095; see also reference 13589).</w:t>
      </w:r>
    </w:p>
    <w:p>
      <w:r>
        <w:t>Lucentis</w:t>
      </w:r>
    </w:p>
    <w:p>
      <w:r>
        <w:t>74. The laboratory Genentech developed, in the mid-1990s, an antibody fragment specifically intended for use in injection into the eye (reference 47559). According to Genentech, ranibizumab is indicated for use in the eye due to its low molecular weight, as well as the absence of a so-called "Fc" fragment, this absence limiting the possibility of systemic passage – that is, into the bloodstream – of the antibody.</w:t>
      </w:r>
    </w:p>
    <w:p>
      <w:r>
        <w:t xml:space="preserve">75. Thus, while bevacizumab (Avastin) and ranibizumab (Lucentis) have the same molecular target, namely VEGF, they do not have the same form or molecular weight. Bevacizumab (Avastin) is a full monoclonal antibody, while ranibizumab (Lucentis) is an antibody fragment, with a significantly lower molecular weight:  </w:t>
        <w:br/>
        <w:t xml:space="preserve">Avastin (bevacizumab)  </w:t>
        <w:br/>
        <w:t>Lucentis (ranibizumab)</w:t>
      </w:r>
    </w:p>
    <w:p>
      <w:r>
        <w:t>76. The laboratory Genentech is responsible for marketing the drug Lucentis in the United States. For the rest of the world, it has granted a license for the exploitation and marketing of Lucentis to the laboratory Novartis (see paragraphs 210 to 220 below).</w:t>
      </w:r>
    </w:p>
    <w:p>
      <w:r>
        <w:t>77. Thus, Lucentis is marketed in France by the laboratory Novartis, in accordance with the European MA granted on January 22, 2007, for the treatment of AMD.</w:t>
      </w:r>
    </w:p>
    <w:p>
      <w:r>
        <w:t>78. Its indications were subsequently extended to the treatment of other ocular pathologies, by European MA granted on January 6, 2011, for the treatment of diabetic macular edema (hereinafter, "DME"), and then by European MA granted on May 27, 2011, for the treatment of retinal vein occlusions (more specifically, branch retinal vein occlusion, hereinafter, "BRVO" and central retinal vein occlusion, hereinafter "CRVO"), and visual impairment due to choroidal neovascularization (hereinafter, "CNV") secondary to high myopia.</w:t>
      </w:r>
    </w:p>
    <w:p>
      <w:r>
        <w:t>79. Lucentis is reimbursed at 100% in France for the treatment of AMD (references 15188 to 15194). The other indications were admitted for reimbursement in 2012. In a document related to the expenses of outpatient medications in 2012, the Health Insurance specifies that Lucentis became the first outpatient medication reimbursed by social security in France, with nearly 390 million euros reimbursed and a very strong increase of about 30% compared to 2011 (reference 14200).</w:t>
      </w:r>
    </w:p>
    <w:p>
      <w:r>
        <w:t>80. At the time of its launch in 2007, the price of Lucentis was 1,161 euros per injected dose. It subsequently underwent several price reductions between 2008 and 2013, reaching 789.50 euros per dose (reference 45091). According to the CEPS, the price was renegotiated at the end of the European price guarantee in 2012, as part of a single negotiation including the extensions of indications (reference 15186).</w:t>
      </w:r>
    </w:p>
    <w:p>
      <w:r>
        <w:t>81. More specifically, in an opinion dated March 28, 2007, the Transparency Commission of the HAS recognized Lucentis as having a significant ASMR level (level II), justifying that this specialty benefits from the "European price guarantee" for 5 years. In an opinion dated November 21, 2012, issued during the renewal of Lucentis's registration, whose indications were extended (see paragraph 78 above), the ASMR level was maintained. On both occasions, Avastin was not retained as a "comparator" for the evaluation of Lucentis. The CEPS indicated during the hearing on this point that "there was no comparator, so there was a price/volume agreement to control the budgetary impact. If there was no discount on the first box, it was because there was no comparator" (reference 15185).</w:t>
      </w:r>
    </w:p>
    <w:p>
      <w:r>
        <w:t>82. It was only after the adoption of the Avastin RTU (see paragraph 72 above) that the specialty Avastin was retained as a comparator for Lucentis. In its opinion dated October 11, 2017, titled "Place in the therapeutic strategy of Lucentis, Eylea, and their clinically relevant comparators in the neovascular (wet) form of age-related macular degeneration (AMD)," the Transparency Commission of the HAS concluded that: "in the treatment of the neovascular (wet) form of age-related macular degeneration, the clinically relevant comparator for Lucentis (ranibizumab) and Eylea (aflibercept) is Avastin (bevacizumab), within the framework of an RTU."</w:t>
      </w:r>
    </w:p>
    <w:p>
      <w:r>
        <w:t>c) Other medications used in the treatment of AMD</w:t>
      </w:r>
    </w:p>
    <w:p>
      <w:r>
        <w:t>83. The pharmaceutical industry has developed other medications for the treatment of ocular diseases, such as Eylea, Macugen, and Visudyne.</w:t>
      </w:r>
    </w:p>
    <w:p>
      <w:r>
        <w:t>Eylea</w:t>
      </w:r>
    </w:p>
    <w:p>
      <w:r>
        <w:t>84. The molecule aflibercept was developed by the American laboratory Regeneron. This same molecule has led to the development of two distinct products: on the one hand, Zaltrap, indicated for certain types of cancers, and marketed in Europe by the laboratory Sanofi, and on the other hand, Eylea, indicated for intravitreal ocular injection, and marketed in Europe by the laboratory Bayer.</w:t>
      </w:r>
    </w:p>
    <w:p>
      <w:r>
        <w:t>85. Eylea, which is a medication with the active substance aflibercept, is also classified as an anti-VEGF (reference 14378), even though its mode of action is different from that of ranibizumab and bevacizumab (reference 6210).</w:t>
      </w:r>
    </w:p>
    <w:p>
      <w:r>
        <w:t>86. Eylea received a European MA on November 22, 2012, for the treatment of AMD. It has been marketed in France since early November 2013. Its price, set at 710.55 euros excluding tax per dose, was established by an opinion published in the Official Journal on October 30, 2013. Its indications were subsequently extended to the treatment of other ocular pathologies: in 2014 for the treatment of CRVO; in 2015, for the treatment of DME; in 2016, for the treatment of BRVO and visual impairment due to CNV.</w:t>
      </w:r>
    </w:p>
    <w:p>
      <w:r>
        <w:rPr>
          <w:b/>
        </w:rPr>
        <w:t>[Pages 25–27]</w:t>
      </w:r>
    </w:p>
    <w:p>
      <w:r>
        <w:t xml:space="preserve">Macugen  </w:t>
        <w:br/>
        <w:t xml:space="preserve">87. Pegaptanib (commercial name Macugen) is the first anti-angiogenic drug indicated for the treatment of AMD (reference 14375).  </w:t>
        <w:br/>
        <w:t>88. Macugen, distributed by Pfizer, has had a marketing authorization for the treatment of the neovascular form of AMD since 2006.</w:t>
      </w:r>
    </w:p>
    <w:p>
      <w:r>
        <w:t xml:space="preserve">Visudyne  </w:t>
        <w:br/>
        <w:t xml:space="preserve">89. Verteporfin (commercial name Visudyne) was the first treatment available for retrofoveal lesions of AMD, known as photodynamic therapy (reference 14379, reference 3804).  </w:t>
        <w:br/>
        <w:t xml:space="preserve">90. Visudyne, marketed by Novartis, has had a European marketing authorization since July 27, 2000.  </w:t>
        <w:br/>
        <w:t>91. Today, treatment with Visudyne, alone or in combination with an anti-VEGF, is now considered by HAS to be applied only in cases where treatment with anti-VEGF alone is ineffective (references 14379 and 14380).</w:t>
      </w:r>
    </w:p>
    <w:p>
      <w:r>
        <w:t xml:space="preserve">3. THE SCIENTIFIC FRAMEWORK REGARDING THE USE OF AVASTIN IN THE TREATMENT OF OCULAR PATHOLOGIES  </w:t>
        <w:br/>
        <w:t xml:space="preserve">92. The comparative efficacy and safety of Avastin and Lucentis in ophthalmology have been the subject of various successive scientific studies (a), which have allowed health authorities to take a position on the use of Avastin for the treatment of AMD and other ocular pathologies (b).  </w:t>
        <w:br/>
        <w:t>93. A large number of scientific studies have been dedicated to this subject, due both to the public health stakes—AMD being one of the most widespread and serious ocular conditions—and to the major financial stakes for health systems, as the available treatments are particularly expensive.</w:t>
      </w:r>
    </w:p>
    <w:p>
      <w:r>
        <w:t xml:space="preserve">a) Scientific studies on the comparative efficacy and safety of Avastin and Lucentis in ophthalmology  </w:t>
        <w:br/>
        <w:t xml:space="preserve">94. Until 2010, there was little scientific data available regarding the safety and efficacy of Avastin in ophthalmology. Then, between 2010 and 2013, several medical studies published in various Western countries provided elements to compare the respective efficacy and tolerance of Avastin and Lucentis in ocular use.  </w:t>
        <w:br/>
        <w:t xml:space="preserve">95. Three categories of studies were conducted: retrospective studies (i.e., based on patients' medical records, listing events that occurred before the study was implemented, using the Medicare database in the United States), prospective comparative studies, also called "Head to Head" or "H2H" (i.e., which include patients at the beginning or during treatment and list events that occurred after the study was implemented), and meta-analyses (which compile and statistically analyze data from several similar studies based on the aforementioned clinical studies).  </w:t>
        <w:br/>
        <w:t>96. As indicated by representatives of ANSM, questioned by the investigative services in 2018 during a hearing: "On Avastin, the scientific debate has evolved. It is only gradually that the meta-analyses have stabilized in favor of Avastin. Knowledge has evolved. All of this is contemporary. The meta-analyses arrived at the time when we were studying the RTU. We used five major randomized studies (CATT, IVAN, GEFAL, MANTA, LUCAS) and two meta-analyses, Solomon (more focused on efficacy) and Moja (which provided determining safety elements)" (reference 14274).</w:t>
      </w:r>
    </w:p>
    <w:p>
      <w:r>
        <w:t xml:space="preserve">Retrospective studies  </w:t>
        <w:br/>
        <w:t>97. Initially, two retrospective studies using the Medicare database in the United States were conducted: the Curtis et al. study and the Gower et al. study.</w:t>
      </w:r>
    </w:p>
    <w:p>
      <w:r>
        <w:t xml:space="preserve">The Curtis et al. study (results published in October 2010)  </w:t>
        <w:br/>
        <w:t xml:space="preserve">98. The objective of the Curtis et al. study, published in October 2010, was to compare the safety profile of ranibizumab (Lucentis) and bevacizumab (Avastin) with previously used treatments based on phototherapy or using the pegaptanib molecule (Macugen) (references 14525 to 14531).  </w:t>
        <w:br/>
        <w:t xml:space="preserve">99. The main conclusion of this study is that both Lucentis and Avastin do not present an increased risk of serious side effects compared to previous treatments. However, the study notes that a comparison between Lucentis and Avastin shows a lower risk of mortality and stroke for patients treated with Lucentis than for those treated with Avastin.  </w:t>
        <w:br/>
        <w:t>100. To verify that this difference was not related to the socio-economic characteristics of the studied population (patients treated with Lucentis possibly coming from a more affluent socio-professional background, given the cost of treatment), the authors analyzed a smaller sample of patients treated in centers providing exclusively either Lucentis or Avastin. For this sample, no statistically relevant difference between the two treatments was noted ("There were no significant differences in study outcomes between the treatment groups," reference 14529).</w:t>
      </w:r>
    </w:p>
    <w:p>
      <w:r>
        <w:t xml:space="preserve">The Gower et al. study (results made public in April 2011)  </w:t>
        <w:br/>
        <w:t xml:space="preserve">101. The Gower et al. study, funded by Genentech, focused on the retrospective analysis of adverse effects after an injection of Avastin or Lucentis in the treatment of AMD. It was not published in its entirety in a medical journal, only a summary having been published in April 2011 (references 14532 and 14533; references 5612 to 5616; reference 16737).  </w:t>
        <w:br/>
        <w:t xml:space="preserve">102. The conclusion of this study is, according to the available summary, that data from Medicare suggest differences between Lucentis and Avastin regarding their tolerance profile. However, the authors acknowledge that this study has limitations due to incomplete information regarding comorbidity factors16 ("Data from this Medicare claims analysis suggest differences in the safety profile of Bev [Avastin] vs Ran [Lucentis]. However, this study is limited by incomplete information on some important confounding factors, e.g., smoking, lipid and blood pressure levels, which would further clarify the relative safety of these treatments in wet AMD," reference 14533).  </w:t>
        <w:br/>
        <w:t>103. More specifically, the summary highlights, regarding systemic effects17, an 11% higher risk of mortality and a 57% higher risk of hemorrhagic stroke with Avastin. Regarding ocular effects, it notes an 80% higher risk of ocular inflammation with Avastin. However, the summary specifies that these differences were attenuated in a secondary analysis covering a longer period ("Differences in overall mortality and hemorrhagic CVA were attenuated in secondary analyses that included use of Bev [Avastin] or Ran [Lucentis] on unclassified drug codes and data back to 2006," reference 14533).</w:t>
      </w:r>
    </w:p>
    <w:p>
      <w:r>
        <w:t xml:space="preserve">Comparative studies  </w:t>
        <w:br/>
        <w:t>104. Several independent clinical trials published between 2011 and 2014 compared the efficacy and safety of Avastin and Lucentis in the treatment of AMD. Among these, the CATT, IVAN, and GEFAL studies held a particularly important place in the public debate.</w:t>
      </w:r>
    </w:p>
    <w:p>
      <w:r>
        <w:t xml:space="preserve">The CATT study (results at one year published in May 2011 and at two years in July 2012)  </w:t>
        <w:br/>
        <w:t xml:space="preserve">105. The CATT study was a multicenter (44 sites) so-called "non-inferiority" trial conducted in the United States between February 2008 and December 2009. Its main objective was to demonstrate the non-inferiority of Avastin compared to Lucentis in terms of clinical efficacy at one and two years on the visual acuity of patients with AMD.  </w:t>
        <w:br/>
        <w:t xml:space="preserve">106. The results of the one-year study were published in May 2011 (references 53 to 78), and those of the two-year study in July 2012 (references 14514 to 14524).  </w:t>
        <w:br/>
        <w:t xml:space="preserve">107. At one year, the conclusion of the study is that bevacizumab (Avastin) and ranibizumab (Lucentis) have equivalent effects on the visual acuity of patients treated according to the same protocol. In other words, the authors of the study concluded the non-inferiority of Avastin compared to Lucentis in terms of clinical efficacy on the visual acuity of patients.  </w:t>
        <w:br/>
        <w:t xml:space="preserve">108. Regarding tolerance data, observed as a secondary criterion in the study, the CATT study indicates that it found no significant difference between the two molecules in terms of mortality, arteriothrombotic events, or venous thrombotic events. However, the overall rate of systemic adverse events was higher for patients treated with Avastin than for those treated with Lucentis (24.1% vs. 19%). In this regard, the authors note that these adverse effects concerned various conditions, most of which had not been identified during the tests for the use of Avastin against cancer. They therefore conclude that further studies are needed to determine the cause of these differences in terms of tolerance ("Differences in rates of serious adverse events require further study," reference 53). Generally, the authors note that the statistical power of their study is limited regarding the detection of certain important adverse events ("With a limited statistical power to detect important adverse events, we found no significant differences between the two drugs in rates of death, arteriothrombotic events, or venous thrombotic events," reference 63).  </w:t>
        <w:br/>
        <w:t xml:space="preserve">109. At two years, the overall conclusion of the study on the comparative efficacy of bevacizumab (Avastin) and ranibizumab (Lucentis) is the same: both specialties have equivalent effects on the visual acuity of patients.  </w:t>
        <w:br/>
        <w:t>110. In terms of tolerance, the overall conclusion is that there is no difference between the two molecules regarding mortality rates and arteriothrombotic events ("Rates of death and arteriothrombotic events were similar for both drugs," reference 15514). Furthermore, the authors believe that the interpretation of the persistence of a higher rate of adverse events for Avastin (31.7% of patients treated with Lucentis, compared to 39.9% of patients treated with Avastin) is uncertain, due to the fact that these effects cannot be</w:t>
      </w:r>
    </w:p>
    <w:p>
      <w:r>
        <w:rPr>
          <w:b/>
        </w:rPr>
        <w:t>[Pages 28–30]</w:t>
      </w:r>
    </w:p>
    <w:p>
      <w:r>
        <w:t xml:space="preserve">related to conditions generally associated with VEGF inhibition ("The interpretation of the persistence of higher rates of serious adverse events with bevacizumab [Avastin] is uncertain because of the lack of specificity to conditions associated with inhibition of VEGF," reference 14514).  </w:t>
        <w:br/>
        <w:t xml:space="preserve">The IVAN Study (one-year results published in 2012 and two-year results in July 2013)  </w:t>
        <w:br/>
        <w:t xml:space="preserve">111. The IVAN study is a multicenter non-inferiority trial conducted in Great Britain between March 2008 and October 2010. Its main objective was to compare, at two years, the efficacy and safety of ranibizumab (Lucentis) and bevacizumab (Avastin) in intravitreal injections for the treatment of AMD.  </w:t>
        <w:br/>
        <w:t xml:space="preserve">112. The one-year results of the study were published in July 2012 (references 66 to 78), and the two-year results in July 2013 (references 47135 to 47145). The authors specify that since the primary results are at two years, the results presented at one year are provisional.  </w:t>
        <w:br/>
        <w:t xml:space="preserve">113. In their article presenting the one-year results, the authors find that bevacizumab (Avastin) is neither inferior nor equivalent to ranibizumab (Lucentis), and therefore, the comparison of the specialties is inconclusive ("The comparison is inconclusive; bevacizumab [Avastin] was neither inferior nor equivalent to ranibizumab [Lucentis] using the 3.5 letter limit," reference 73). However, they emphasize that the mean difference between the two molecules is two letters in favor of ranibizumab (Lucentis), noting that this is a small difference from a clinical perspective ("The mean difference between the drugs was 2 letters in favor of ranibizumab [Lucentis], a small difference from a clinical perspective," reference 74).  </w:t>
        <w:br/>
        <w:t xml:space="preserve">114. Regarding tolerance data, the authors note that the safety profile of both molecules is reassuring ("The safety profiles of the drugs were reassuring," reference 75). Concerning arterial thromboembolic events or cardiac problems, which constituted a primary safety criterion for the study, these adverse effects remained rare (less than 2%) but occurred more frequently with ranibizumab (Lucentis) than with bevacizumab (Avastin). Finally, the authors find that there was no difference between the two molecules in the percentages experiencing systemic adverse events ("There was no difference between drugs in the proportion experiencing a serious systemic adverse event," reference 66). Regarding the passage of the product into the bloodstream, after noting that bevacizumab (Avastin) reduces systemic levels of VEGF to a greater extent than ranibizumab (Lucentis), the study indicates that it is possible that the consequences of this difference may only become apparent after longer follow-up ("it is possible that consequences of differential suppression of circulating VEGF will only become apparent after longer follow-up," reference 75).  </w:t>
        <w:br/>
        <w:t xml:space="preserve">115. Taking into account the results of other available studies (in particular, the aforementioned CATT study), the authors conclude that ranibizumab (Lucentis) and bevacizumab (Avastin) have equivalent benefits in terms of visual functions. Furthermore, they note that both specialties have similar safety profiles and do not demonstrate an increased risk of arterial thromboembolic events with bevacizumab (Avastin). In contrast, they emphasize that both the CATT and IVAN studies demonstrated a higher proportion of systemic adverse events with bevacizumab (Avastin).  </w:t>
        <w:br/>
        <w:t xml:space="preserve">116. At two years, the authors again find that the criterion of non-inferiority in terms of visual acuity between the two molecules is inconclusive, for the same reasons as in the one-year analysis. They note that the average difference observed between the groups, in favor of ranibizumab (Lucentis), is small, emphasizing that according to the less strict criteria of the CATT study (a difference of five letters, instead of 3.5 letters for the present study), non-inferiority would have been established ("Non-inferiority for both comparisons would have been established had we used the CATT non-inferiority margin of 5 letters," reference 47142).  </w:t>
        <w:br/>
        <w:t xml:space="preserve">117. Regarding tolerance and safety data, the authors indicate a preference for a combined analysis of the CATT and IVAN studies for reasons of statistical power. They thus confirm that at two years, the comparison between the two molecules is reassuring, emphasizing that no difference has been identified in terms of mortality or arterial thromboembolic events, which may be related to the use of anti-VEGF. They note that the combined analysis of severe systemic adverse events seems to confirm an increased risk for bevacizumab (Avastin), as identified in the CATT study, while emphasizing that the combination of results from the two studies obscures the differences observed between the estimates of the different studies ("The pooled analysis for any systemic SAE [systemic adverse events] seems to confirm an increased risk with bevacizumab [Avastin], which was first reported in CATT. However, the pooled analysis disguises the inconsistency between the separate trial estimates," reference 47143).  </w:t>
        <w:br/>
        <w:t xml:space="preserve">118. In conclusion, the authors find, in light of the IVAN study and the meta-analyses of the CATT and IVAN data, that ranibizumab (Lucentis) and bevacizumab (Avastin) have similar efficacy and can be considered equivalent for the treatment of AMD.  </w:t>
        <w:br/>
        <w:t xml:space="preserve">The GEFAL Study (results made public in May 2013)  </w:t>
        <w:br/>
        <w:t xml:space="preserve">119. The GEFAL study is a multicenter (38 sites) non-inferiority study conducted in France between March 2009 and July 2012 by the Hospices Civils de Lyon. It was funded by the Ministry of Health and the National Health Insurance Fund as part of the clinical research hospital program for 2008. Its main objective was to "demonstrate the non-inferiority, in terms of clinical efficacy at 12 months, of bevacizumab [Avastin] compared to ranibizumab [Lucentis] on the visual acuity of patients with neovascular age-related macular degeneration (AMD)." The study also included a set of secondary objectives, notably: "to evaluate and compare the tolerance at 12 months of treatments with bevacizumab [Avastin] and ranibizumab [Lucentis] at the local and systemic levels" (reference 2282).  </w:t>
        <w:br/>
        <w:t xml:space="preserve">120. Its results were published in November 2013 (references 14547 to 14556), but were made public by Professor Y..., the study director, as early as May 2013, during the ARVO ("Association for Research in Vision and Ophthalmology") congress (references 15846 to 15877).  </w:t>
        <w:br/>
        <w:t xml:space="preserve">121. In the article presenting the one-year results, the authors find that bevacizumab (Avastin) is non-inferior to ranibizumab (Lucentis).  </w:t>
        <w:br/>
        <w:t xml:space="preserve">122. In terms of tolerance, the authors emphasize that the respective safety profiles of the two specialties appear similar. They note that no difference in terms of mortality, arterial thromboembolic events, or venous thrombotic events has been identified. The proportion of patients experiencing serious adverse events is 12.6% for bevacizumab (Avastin) and 12.1% for ranibizumab (Lucentis). The proportions of patients experiencing serious systemic or ocular events were similar for both specialties.  </w:t>
        <w:br/>
        <w:t xml:space="preserve">123. In conclusion, the authors of the article indicate that the GEFAL study is the second study to demonstrate the similarity of Avastin and Lucentis in terms of efficacy and that no difference in terms of safety could be identified. However, they remind that this study, like other comparative studies, does not have the statistical power necessary to reliably identify differences in terms of safety.  </w:t>
        <w:br/>
        <w:t xml:space="preserve">124. During a presentation at the ARVO congress in May 2013, Professor Y... also presented the results of the meta-analysis, including CATT, IVAN, and GEFAL (references 15846 to 15877). He emphasized on this occasion that the results of the GEFAL study were consistent with previous studies: while they reinforce the initial findings of non-inferiority regarding visual acuity and a higher proportion of serious systemic adverse events with bevacizumab (Avastin), no difference is observed in terms of mortality and arterial thromboembolic events, and an individual meta-analysis is therefore necessary before drawing conclusions. In this regard, Professor Y... stated during the hearing: "In the meta-analysis, we included GATT, IVAN, MANTA, and GEFAL. These were only one-year results. We found more serious systemic adverse effects with Avastin. The problem is that we could not identify why. No difference in mortality, in APTC (where we expect the molecule) or gastrointestinal effects, no difference either" (reference 16623).  </w:t>
        <w:br/>
        <w:t xml:space="preserve">The Meta-analyses  </w:t>
        <w:br/>
        <w:t xml:space="preserve">125. Subsequently, the comparative studies presented above were combined in two meta-analyses published in 2014. These were taken into account by the ANSM in the context of the RTU project for Avastin.  </w:t>
        <w:br/>
        <w:t xml:space="preserve">126. These meta-analyses were based on the so-called "Cochrane" method, referring to the eponymous organization, whose objective is to develop systematic review practices of the scientific literature in the medical field. By reviewing and analyzing all available publications on a given intervention or treatment, it is thus possible to correct biases and risks of random errors from individual studies.  </w:t>
        <w:br/>
        <w:t xml:space="preserve">127. The first study – the "Solomon" study – combined efficacy and safety and included 12 studies, some of which were not comparative studies between Avastin and Lucentis. Regarding safety data, the results indicate a higher risk of experiencing a serious systemic adverse event under Avastin, without being able to identify a particular event.  </w:t>
        <w:br/>
        <w:t xml:space="preserve">128. The second study – the "Moja" study – had patient safety as its primary criterion and sought to evaluate the number and severity of adverse events observed with each treatment. The results of the study do not show a significant increase in the risk of experiencing a serious systemic adverse event with Avastin compared to Lucentis, despite the greater statistical power. However, it observes an increase in gastrointestinal-type effects for Avastin, without being able to identify a specific effect. This increase confirms the trend observed in the "Solomon" study.  </w:t>
        <w:br/>
        <w:t xml:space="preserve">b) The positions of health authorities on the comparative efficacy and safety of Avastin and Lucentis in ophthalmology  </w:t>
        <w:br/>
        <w:t>129. The studies presented above have been used and commented upon in the context of the public debate on the possibility of safely using Avastin instead of Lucentis.</w:t>
      </w:r>
    </w:p>
    <w:p>
      <w:r>
        <w:rPr>
          <w:b/>
        </w:rPr>
        <w:t>[Pages 31–33]</w:t>
      </w:r>
    </w:p>
    <w:p>
      <w:r>
        <w:t xml:space="preserve">The French and European health authorities have thus been led to take a position on this issue.  </w:t>
        <w:br/>
        <w:t xml:space="preserve">Analysis by the European health authorities  </w:t>
        <w:br/>
        <w:t xml:space="preserve">130. The European Medicines Agency ("EMA") is responsible for ensuring the scientific evaluation, supervision, and monitoring of the safety of medicines for human use in the European Union. Its main mission is to authorize and supervise medicines in the European Union. Between 2011 and 2013, the EMA implemented two distinct procedures to amend the summary of product characteristics ("SPC") for Avastin and Lucentis, respectively, in order to incorporate information on adverse effects related to the use of these products in ophthalmology.  </w:t>
        <w:br/>
        <w:t xml:space="preserve">131. On these two occasions, the Committee for Medicinal Products for Human Use ("CHMP"), one of the seven scientific committees of the EMA, thoroughly examined the results of the available scientific studies on the efficacy and safety of Avastin and Lucentis in ophthalmology.  </w:t>
        <w:br/>
        <w:t xml:space="preserve">The change of SPC for Avastin  </w:t>
        <w:br/>
        <w:t xml:space="preserve">132. On June 20, 2011, Roche requested the modification of the SPC for Avastin, in order to include information regarding cases of eye inflammation and endophthalmitis occurring after the use of Avastin in intravitreal injection. Roche also requested to include, in section 4.8 "Adverse Effects," the systemic adverse effects identified in the context of retrospective studies and comparisons with Lucentis.  </w:t>
        <w:br/>
        <w:t xml:space="preserve">133. On July 19, 2012, the CHMP issued its opinion (references 752 to 768).  </w:t>
        <w:br/>
        <w:t xml:space="preserve">134. In this context, the CHMP analyzed all the scientific literature provided by Roche, particularly the Curtis and Gower studies, the results of the CATT study at one and two years, as well as those of the IVAN study at one year.  </w:t>
        <w:br/>
        <w:t xml:space="preserve">135. Regarding eye-related conditions, the CHMP considered that it was appropriate to update section 4.4 "Special Warnings and Precautions for Use," in order to indicate that cases of ocular adverse effects have been reported following the unauthorized use of Avastin in intravitreal injection.  </w:t>
        <w:br/>
        <w:t xml:space="preserve">136. Regarding systemic effects, the CHMP noted: "detailed safety information provided from the CATT and IVAN studies is reassuring and no evidence can be provided that bevacizumab [Avastin] is systemically more unsafe than ranibizumab [Lucentis] and vice-versa" (translation: "the detailed safety information obtained from the CATT and IVAN studies is reassuring and there is no evidence that bevacizumab [Avastin] presents more systemic risks than ranibizumab [Lucentis] and vice-versa").  </w:t>
        <w:br/>
        <w:t xml:space="preserve">137. However, it noted that "a reduction of circulating VEGF concentration has been demonstrated following intravitreal anti-VEGF therapy. In addition, systemic adverse events including non-ocular haemorrhages and ATE [arterial thromboembolic events] events have been reported following ITV injections of VEGF inhibitors and there is a theoretical risk that these may relate to VEGF inhibition" (translation: "a reduction of the circulating VEGF concentration in the blood has been observed after treatment with intravitreal anti-VEGF. Moreover, systemic adverse effects, including hemorrhages or thromboembolic events have been reported after intravitreal injections of VEGF inhibitors and there is a theoretical risk that these may be related to VEGF inhibition"). This finding thus pertains to all anti-VEGF treatments, not just Avastin.  </w:t>
        <w:br/>
        <w:t xml:space="preserve">138. In conclusion, the CHMP considered that it was not necessary to modify section 4.8 "Adverse Effects," but that it was appropriate to modify section 4.4 "Special Warnings and Precautions for Use" by updating the part concerning eye-related conditions, on the one hand, and by inserting a paragraph on the existence of systemic adverse effects related to the use of anti-VEGF in intravitreal injection, on the other hand.  </w:t>
        <w:br/>
        <w:t xml:space="preserve">139. The European Commission modified its MA decision accordingly on August 30, 2012.  </w:t>
        <w:br/>
        <w:t xml:space="preserve">The change of SPC for Lucentis  </w:t>
        <w:br/>
        <w:t xml:space="preserve">140. On February 8, 2012, Novartis requested the modification of the SPC for Lucentis, in order to include information regarding the risks of heart attacks and myocardial infarctions related to the use of the anti-VEGF product class, in section 4.8 "Adverse Effects."  </w:t>
        <w:br/>
        <w:t xml:space="preserve">141. This modification request was made at the request of the CHMP, after analyzing the periodic safety report of Lucentis, covering the period from July 2010 to June 2011, which reported a number of cases of myocardial infarction and arterial thromboembolic events noted in patients treated with ranibizumab (Lucentis).  </w:t>
        <w:br/>
        <w:t xml:space="preserve">142. On January 17, 2013, the CHMP issued its opinion (references 769 to 796).  </w:t>
        <w:br/>
        <w:t xml:space="preserve">143. In the introduction, the CHMP recalled the findings presented above (see paragraph 137 of this decision) regarding the existence of a theoretical risk that certain systemic adverse effects may be related to the reduction of VEGF concentration in the blood, after anti-VEGF treatment: "Following intravitreal injection of ranibizumab, there is a theoretical risk of systemic arterial thromboembolic events due to systemic inhibition of VEGF" (translation: "After an injection of ranibizumab [Lucentis], there is a theoretical risk of systemic arterial thromboembolic events caused by the systemic inhibition of VEGF"). It emphasized that these effects were common to the entire class of VEGF inhibitors: "this is considered a class effect of anti-VEGF drugs" (translation: "this is considered a class effect of anti-VEGF drugs").  </w:t>
        <w:br/>
        <w:t xml:space="preserve">144. The CHMP then proceeded to analyze all the scientific literature provided by Novartis, including studies conducted specifically by the laboratory and those comparing Lucentis to other anti-VEGF (Avastin and Eylea), studies that had already been analyzed in the context of the change of SPC for Avastin.  </w:t>
        <w:br/>
        <w:t xml:space="preserve">145. Firstly, the CHMP indicated that the elements provided by Novartis regarding the pharmacokinetic differences between Lucentis and other anti-VEGF did not allow for differentiated recommendations that would give the impression that Lucentis would be safer than other anti-VEGF: "the PK and PD data alone were insufficient to justify a differential warning that gives the impression that Lucentis is safer compared to other anti-VEGF treatments with respect to systemic adverse events" (translation: "the data [from pharmacokinetic and pharmacodynamic studies] alone are not sufficient to justify a differential warning that would give the impression that Lucentis is safer than other anti-VEGF treatments regarding systemic adverse effects").  </w:t>
        <w:br/>
        <w:t xml:space="preserve">146. Secondly, the CHMP indicated that Novartis had not provided any elements likely to change its finding, made during the evaluation of the modification of the SPC for Avastin (see paragraphs 132 to 139 above), according to which no scientific data allowed for considering that Lucentis and Avastin presented differences in their systemic safety profile. The CHMP recalled, in this regard, that "results of the CATT and IVAN studies have already been assessed by the CHMP in a previous procedure concluding that there was no evidence for a difference in the systemic safety profile of ranibizumab and bevacizumab" (translation: "the results of the CATT and IVAN studies have already been studied by the CHMP in a previous procedure, arriving at the conclusion that there was no evidence of a difference in the systemic safety profile of ranibizumab [Lucentis] and bevacizumab [Avastin]"). Consequently, the CHMP refused any modification of the SPC for Lucentis that would allow for considering that it would be safer than other anti-VEGF treatments: "the CHMP (…) did not accept additional wording in the warning that would give rise to the impression that ranibizumab is safer with regards to systemic adverse events as compared to other intravitreal anti-VEGF treatments" (translation: "the CHMP (…) did not accept the proposal for additional wording in the warning that would give the impression that ranibizumab [Lucentis] is safer than other intravitreal anti-VEGF treatments regarding systemic adverse effects").  </w:t>
        <w:br/>
        <w:t xml:space="preserve">147. In conclusion, given that the existence of this theoretical risk was already mentioned in section 4.8 "Adverse Effects" of the SPC for Lucentis, the CHMP recommended completing it by adding documented cases of heart attacks and myocardial infarctions. Furthermore, in accordance with what had been done during the modification of the SPC for Avastin, the CHMP recommended inserting, in section 4.4 "Special Warnings and Precautions for Use," a paragraph on the existence of systemic adverse effects related to the use of anti-VEGF in intravitreal injection.  </w:t>
        <w:br/>
        <w:t xml:space="preserve">148. The European Commission modified its MA decision accordingly on July 4, 2013.  </w:t>
        <w:br/>
        <w:t xml:space="preserve">Analysis by the French health authorities  </w:t>
        <w:br/>
        <w:t xml:space="preserve">The information point from AFSSAPS dated September 10, 2009  </w:t>
        <w:br/>
        <w:t>149. On September 10, 2009, AFSSAPS (which became, in 2012, the National Agency for the Safety of Medicines or "ANSM") published an information point on the "off-label" use of Avastin in ophthalmology (references 48387 and 48388).</w:t>
      </w:r>
    </w:p>
    <w:p>
      <w:r>
        <w:rPr>
          <w:b/>
        </w:rPr>
        <w:t>[Pages 34–36]</w:t>
      </w:r>
    </w:p>
    <w:p>
      <w:r>
        <w:t xml:space="preserve">150. On this occasion, AFSSAPS recalled the available scientific data regarding this use. It also indicated that clinical trials were ongoing, aimed at comparing the clinical efficacy of Avastin to that of Lucentis in the treatment of AMD, such as the aforementioned GEFAL study.  </w:t>
        <w:br/>
        <w:t xml:space="preserve">151. More specifically, AFSSAPS stated that "uncertainties persist" regarding the stability and aseptic conditions related to the use of Avastin for the treatment of AMD, emphasizing that "the current pharmaceutical form of Avastin is not suitable for intravitreal administration." It further specified that "the safety data for the use of Avastin in ophthalmology are still limited," which justified, in particular, the establishment of the GEFAL study and studies in other European countries.  </w:t>
        <w:br/>
        <w:t xml:space="preserve">152. It concluded that "pending the results of these studies, AFSSAPS reminds of the existence of authorized medicines after evaluation for the treatment of AMD and advises caution in the use of Avastin intravitreally."  </w:t>
        <w:br/>
        <w:t xml:space="preserve">The AFSSAPS information point of September 16, 2011  </w:t>
        <w:br/>
        <w:t xml:space="preserve">153. On September 16, 2011, AFSSAPS published a new information point on the use of Avastin "off-label" in ophthalmology (reference 49619).  </w:t>
        <w:br/>
        <w:t xml:space="preserve">154. It notably highlighted the existence of "initial encouraging results" from various research works on the use of Avastin in the treatment of AMD. It indicated that the one-year results of an American study, the aforementioned CATT study, "show that the efficacy of bevacizumab [Avastin] in AMD would be equivalent to that of ranibizumab (Lucentis)."  </w:t>
        <w:br/>
        <w:t xml:space="preserve">155. It further specified that the Roche laboratory, questioned about its intention to develop Avastin for the treatment of AMD, "however expresses reservations about the methodology of the American study and about the tolerance of the product during its use in ophthalmology."  </w:t>
        <w:br/>
        <w:t xml:space="preserve">The note from the Director General of AFSSAPS to the Director General of Health dated March 20, 2012  </w:t>
        <w:br/>
        <w:t xml:space="preserve">156. On March 20, 2012, the Director General of AFSSAPS sent a note to the Director General of Health regarding the "off-label" use of Avastin in ophthalmology.  </w:t>
        <w:br/>
        <w:t xml:space="preserve">157. He indicated in this note that "it is not possible for me to encourage this practice, due to the risk of infection and/or overdose related to the repackaging and/or overdose related to the repackaging of Avastin vials into syringes for intraocular injection."  </w:t>
        <w:br/>
        <w:t xml:space="preserve">158. He also emphasized, after recalling the aforementioned provisions of Article L. 5121-12-1 of the Public Health Code relating to RTUs, stemming from the Bertrand law (cf. paragraph 22 above), that "prescribing Avastin for the indications covered by the Marketing Authorization (MA) of the specialty Lucentis does not correspond to the terms of the law."  </w:t>
        <w:br/>
        <w:t xml:space="preserve">159. He concluded that "there is no scientific argument to prefer Avastin over Lucentis in ophthalmology."  </w:t>
        <w:br/>
        <w:t xml:space="preserve">The HAS recommendation of June 2012  </w:t>
        <w:br/>
        <w:t xml:space="preserve">160. In June 2012, HAS published a professional recommendation aimed at optimizing the diagnostic strategy for patients with AMD and standardizing best practices for the management of AMD (references 14358 to 14410).  </w:t>
        <w:br/>
        <w:t xml:space="preserve">161. More specifically, in its Chapter 4, "Available Therapeutic Methods," HAS recommends treatment with anti-VEGF, particularly targeting ranibizumab (Lucentis) and pegaptanib (Macugen), both of which had an MA for the treatment of AMD, and aflibercept (Eylea) for which the MA application was under evaluation in Europe for this indication.  </w:t>
        <w:br/>
        <w:t xml:space="preserve">162. HAS also mentions the "off-label" use of bevacizumab (Avastin) in ophthalmology. In this regard, HAS indicates that the one- and two-year results of the aforementioned CATT study, confirmed by the one-year results of the aforementioned IVAN study, demonstrate "an efficacy of bevacizumab [Avastin] not inferior to that of the reference treatment [Lucentis]" and that "there is no statistically significant difference in terms of tolerance at two years between the two molecules regarding the risk of death and thromboembolic events." However, it emphasizes that "the observed proportion of patients with one or more serious systemic adverse effects is higher with bevacizumab [Avastin] than with ranibizumab [Lucentis]," although it specifies that "this result should be interpreted with caution due to the diversity of pathologies reported in the CATT study."  </w:t>
        <w:br/>
        <w:t xml:space="preserve">163. HAS therefore notes that "to date, there are no published data from high-level comparative randomized studies demonstrating poor long-term tolerance of bevacizumab [Avastin] in the treatment of choroidal neovascularization of age-related macular degeneration," while inviting to "remain vigilant."  </w:t>
        <w:br/>
        <w:t xml:space="preserve">164. In conclusion, HAS recommends referring to the AFSSAPS information point (now ANSM) of September 2009 mentioned above, emphasizing that it "remains in a position of caution and recalls the uncertainties of this use regarding patient safety."  </w:t>
        <w:br/>
        <w:t xml:space="preserve">The instruction from DGS of July 2012  </w:t>
        <w:br/>
        <w:t xml:space="preserve">165. On July 11, 2012, the Director General of Health sent an instruction to the regional directors of regional health agencies regarding the legislation applicable to magistral preparations and specifically to the preparations of syringes for intravitreal injection of the pharmaceutical specialty Avastin (references 1574 to 1576).  </w:t>
        <w:br/>
        <w:t xml:space="preserve">166. This instruction indicates that "cases of endophthalmitis (eye infection) have been reported in the scientific literature and through the pharmacovigilance system" and that "recent publications have confirmed the risks associated with the use of Avastin in ophthalmology."  </w:t>
        <w:br/>
        <w:t xml:space="preserve">167. It concludes that "the preparation of syringes by aseptic distribution of a solution of bevacizumab (Avastin), for intravitreal injection, is prohibited, given the existence of an adapted specialty (Lucentis, ranibizumab) possessing an MA for the treatment of AMD and specifically formulated and presented for intravitreal injections."  </w:t>
        <w:br/>
        <w:t xml:space="preserve">168. This instruction was repealed after the publication of the Avastin RTU (cf. paragraph 72 above), with the publication of an information note from DGS dated August 31, 2015.  </w:t>
        <w:br/>
        <w:t xml:space="preserve">The instruction from DGS of August 2012  </w:t>
        <w:br/>
        <w:t xml:space="preserve">169. On August 10, 2012, the Director General of Health sent an instruction to the regional directors of regional health agencies aimed at completing and modifying the instruction of July 2012 (references 48524 and 48525).  </w:t>
        <w:br/>
        <w:t xml:space="preserve">170. This instruction revisits the conditions under which Avastin can be used, "regarding other ocular indications for which neither Lucentis nor any other medication has an MA."  </w:t>
        <w:br/>
        <w:t xml:space="preserve">171. Emphasizing that ANSM has been seized for the development of an RTU for Avastin, the instruction thus concludes that "pending this RTU, the prescription of Avastin is possible in compliance with the conditions of 2° of I and III of Article L. 5121-12-1 [of the aforementioned Public Health Code]."  </w:t>
        <w:br/>
        <w:t xml:space="preserve">4. THE EVOLUTION OF SALES OF THE RELEVANT PRODUCTS IN THE COMMUNITY AND HOSPITAL SETTINGS  </w:t>
        <w:br/>
        <w:t xml:space="preserve">172. It is appropriate to revisit the evolution of sales of Avastin (a) and Lucentis (b) in ophthalmology.  </w:t>
        <w:br/>
        <w:t xml:space="preserve">a) Events that impacted the use of Avastin by ophthalmologists in ophthalmology  </w:t>
        <w:br/>
        <w:t xml:space="preserve">173. As described above, the "off-label" use of Avastin in ophthalmology initially developed in an ad hoc manner, outside any regulatory framework and in a context marked by the scarcity of scientific publications on the subject.  </w:t>
        <w:br/>
        <w:t xml:space="preserve">174. Several events have impacted the use of Avastin in ophthalmology.  </w:t>
        <w:br/>
        <w:t xml:space="preserve">175. Firstly, in 2007, the MA granted to Lucentis and the admission of this specialty to 100% reimbursement by social security (cf. paragraphs 77 to 79 above) reduced the incentives for ophthalmologists to resort to Avastin.  </w:t>
        <w:br/>
        <w:t>176. Indeed, as soon as Avastin was used "off-label," it was not reimbursed, and its cost had to be integrated into the pricing of the consultation and/or hospitalization of the healthcare facility. In contrast, by prescribing Lucentis, which patients could acquire at a community pharmacy, with total reimbursement by social security, and bring on the day of injection, physicians limited the procurement costs of their facility. Several hospital physicians have thus reported using this method, whereby the patient they were following would go buy Lucentis "in town," for them to administer it later at the hospital. For illustration, a hospital practitioner at Lille University Hospital indicated: "At the time of diagnosis, we specify the therapeutic scheme which often includes 3 consecutive injections at one-month intervals. The prescription is made on a special medication prescription for Lucentis or Eylea. The patient then goes to their community pharmacy to obtain the medication. This is fully covered by social security" (reference 13595). Similarly, the head of the ophthalmology department at CHNO des Quinze-Vingt and at the Rothschild Ophthalmological Foundation stated: "Once diagnosed, if we believe that an injection is necessary, we send the patient to obtain Lucentis or Eylea from the pharmacy of their choice and we schedule their appointment for the injection. In this case, we only charge for the injection and not for the product" (reference 13585).</w:t>
      </w:r>
    </w:p>
    <w:p>
      <w:r>
        <w:rPr>
          <w:b/>
        </w:rPr>
        <w:t>[Pages 37–39]</w:t>
      </w:r>
    </w:p>
    <w:p>
      <w:r>
        <w:t>177. Thus, some ophthalmologists have stated that they no longer use Avastin since the arrival of Lucentis on the market and its admission for reimbursement. In contrast, Avastin has continued to be widely used for other indications (AMD, RVO, etc.). For example, the head of the ophthalmology department at CHNO des Quinze-Vingt and at the Rothschild Ophthalmological Foundation stated: "When Lucentis arrived and obtained reimbursement, we considered that we could not continue to use Avastin for the indications for which Lucentis had the MA. However, we continued to use Avastin for other indications that have gradually narrowed" (reference 13584; see also reference 13594).</w:t>
      </w:r>
    </w:p>
    <w:p>
      <w:r>
        <w:t>178. Secondly, the instruction from the DGS in July 2012 led most ophthalmologists to cease their use of Avastin (see paragraphs 165 to 168 above). However, as the ANSM pointed out in the context of the litigation before the Conseil d'État regarding the RTU Avastin, the use of Avastin "off-label" in the treatment of AMD continued, notwithstanding the adoption of this instruction (reference 15040: "given the persistence of the use of the Avastin specialty in the treatment of AMD despite the aforementioned instruction of July 11, 2012").</w:t>
      </w:r>
    </w:p>
    <w:p>
      <w:r>
        <w:t>179. This instruction indeed surprised many ophthalmologists (references 13586 and 13718). The national union of pharmacists from public health establishments even sent a letter to Mr. L…, Director General of Health, on August 6, 2012, to express its incomprehension (references 14356 and 14357). In addition to contesting the scientific justification for this instruction, its particularly broad scope was criticized. Indeed, the usage restrictions led to a general prohibition of any use of Avastin, including for other ocular indications for which neither Lucentis nor any other drug had an MA. These criticisms led, just one month after the adoption of the instruction of July 11, 2012, to the corrective instruction of August 10, 2012 (see paragraphs 169 to 171 above).</w:t>
      </w:r>
    </w:p>
    <w:p>
      <w:r>
        <w:t>180. In practice, the use of Avastin in the treatment of AMD experienced a constant decrease between 2008 and 2013. Thus, according to internal estimates from Novartis, its market share decreased very rapidly between 2008 and 2010, falling from 15% in January 2008 to 6% in November 2009 (source: Panel Rekam; reference 13977). In May 2010, Avastin's market share was still 6%, broken down as follows: between 13% and 17% in public establishments and about 2.7% in private establishments (source: Panel Rekam, reference 13978). Subsequently, Avastin's market share fell from 6% to 3% between October 2010 and December 2012, with the most significant decrease occurring in July 2012 (source: Avastin Barometer; reference 4705).</w:t>
      </w:r>
    </w:p>
    <w:p>
      <w:r>
        <w:t xml:space="preserve">Evolution of Avastin's market share in the treatment of AMD, according to the aforementioned internal estimates from Novartis  </w:t>
        <w:br/>
        <w:t xml:space="preserve">20%  </w:t>
        <w:br/>
        <w:t xml:space="preserve">15% 15%  </w:t>
        <w:br/>
        <w:t xml:space="preserve">13%  </w:t>
        <w:br/>
        <w:t xml:space="preserve">10%  </w:t>
        <w:br/>
        <w:t xml:space="preserve">6% 6% 6% 6%  </w:t>
        <w:br/>
        <w:t xml:space="preserve">5% 5% 5% 5%  </w:t>
        <w:br/>
        <w:t xml:space="preserve">4%  </w:t>
        <w:br/>
        <w:t xml:space="preserve">0%  </w:t>
        <w:br/>
        <w:t xml:space="preserve">Jan-08 Jul-08 Jan-09 Jul-09 Jan-10 Jul-10 Jan-11 Jul-11 Jan-12 Jul-12  </w:t>
        <w:br/>
        <w:t>Source: Novartis</w:t>
      </w:r>
    </w:p>
    <w:p>
      <w:r>
        <w:t xml:space="preserve">b) Events that impacted the use of Lucentis by ophthalmologists in ophthalmology  </w:t>
        <w:br/>
        <w:t>181. Since its arrival on the market, Lucentis has achieved very significant market shares for the treatment of AMD. Thus, according to internal estimates from Novartis, in July 2009, Lucentis's market share was 86%, far ahead of competing specialties (Avastin (6%), Visudyne (5%), and Macugen (2%)) (source: Panel Rekam; reference 2368).</w:t>
      </w:r>
    </w:p>
    <w:p>
      <w:r>
        <w:t xml:space="preserve">Market share of Lucentis and its competitors in the treatment of AMD in July 2009, according to internal estimates from Novartis  </w:t>
        <w:br/>
        <w:t xml:space="preserve">6%  </w:t>
        <w:br/>
        <w:t xml:space="preserve">2%  </w:t>
        <w:br/>
        <w:t xml:space="preserve">5%  </w:t>
        <w:br/>
        <w:t xml:space="preserve">86%  </w:t>
        <w:br/>
        <w:t xml:space="preserve">Lucentis Visudyne Macugen Avastin  </w:t>
        <w:br/>
        <w:t>Source: Novartis</w:t>
      </w:r>
    </w:p>
    <w:p>
      <w:r>
        <w:t>182. Between October 2010 and December 2012, it fluctuated around 90%, reaching up to 93% in December 2012 (source: Avastin Barometer; reference 4705).</w:t>
      </w:r>
    </w:p>
    <w:p>
      <w:r>
        <w:t>183. After its market entry in November 2013, Eylea captured 36% of the market share within three months (source: GERS data, reference 45129). The penetration of Eylea in this market has therefore been particularly rapid.</w:t>
      </w:r>
    </w:p>
    <w:p>
      <w:r>
        <w:t xml:space="preserve">C. THE INVOLVED PARTIES  </w:t>
        <w:br/>
        <w:t>184. The pharmaceutical laboratories involved and their relationships will be presented successively (1), followed by the relationships between laboratories and healthcare professionals (2).</w:t>
      </w:r>
    </w:p>
    <w:p>
      <w:r>
        <w:t xml:space="preserve">1. RELATIONSHIPS BETWEEN THE INVOLVED LABORATORIES  </w:t>
        <w:br/>
        <w:t>185. It is appropriate to present the involved laboratories (a) and their contractual and capital relationships (b).</w:t>
      </w:r>
    </w:p>
    <w:p>
      <w:r>
        <w:t xml:space="preserve">a) The involved laboratories  </w:t>
        <w:br/>
        <w:t xml:space="preserve">The Genentech laboratory  </w:t>
        <w:br/>
        <w:t>186. Genentech Inc. is a company under American law, founded in 1976, specializing in the development of biotechnology-derived medicines, headquartered in San Francisco.</w:t>
      </w:r>
    </w:p>
    <w:p>
      <w:r>
        <w:t>187. As indicated in paragraphs 63 and 76 of this decision, Genentech, which developed Avastin and Lucentis, markets these two medicines in the United States. The laboratory has, however, entrusted the marketing of these products in the rest of the world, on the one hand, to Roche for Avastin and, on the other hand, to Novartis for Lucentis.</w:t>
      </w:r>
    </w:p>
    <w:p>
      <w:r>
        <w:t>188. Since 1990, Genentech has been 60% owned by Roche Holding AG, whose participation is controlling. Since March 26, 2009, Roche Holding AG has held 100% of the share capital of Genentech (reference 16749).</w:t>
      </w:r>
    </w:p>
    <w:p>
      <w:r>
        <w:t xml:space="preserve">The Novartis laboratory  </w:t>
        <w:br/>
        <w:t>189. Novartis AG, listed on the Swiss stock exchange ("SIX Swiss Exchange") and the New York Stock Exchange, with its headquarters located in Basel, Switzerland, is the parent company of the Novartis group (reference 15490).</w:t>
      </w:r>
    </w:p>
    <w:p>
      <w:r>
        <w:t>190. The subsidiaries of the Novartis group established in France are Novartis Groupe France SA (RCS 709 804 538), Novartis Pharma SAS (RCS 410 349 070), Sandoz SAS (RCS 552 123 341), and Laboratoire Alcon SAS (RCS 652 009 044). Novartis Groupe France, which is 100% owned by Novartis AG, holds 100% of Novartis Pharma.</w:t>
      </w:r>
    </w:p>
    <w:p>
      <w:r>
        <w:t>191. Novartis Pharma is organized into two business units, "Oncology" and "Pharmaceutical Products," which together constitute the "Innovative Medicines" division. Each business unit is divided into structures called "franchises," one for each therapeutic area. The "Ophthalmology" franchise, which belongs to the "Pharmaceutical Products" unit, is responsible for the marketing of Lucentis for all its indications in France.</w:t>
      </w:r>
    </w:p>
    <w:p>
      <w:r>
        <w:t xml:space="preserve">The Roche laboratory  </w:t>
        <w:br/>
        <w:t>192. Founded in 1896 by Fritz Hoffmann and Adèle La Roche, the Roche group is an international pharmaceutical company.</w:t>
      </w:r>
    </w:p>
    <w:p>
      <w:r>
        <w:rPr>
          <w:b/>
        </w:rPr>
        <w:t>[Pages 40–42]</w:t>
      </w:r>
    </w:p>
    <w:p>
      <w:r>
        <w:t xml:space="preserve">193. Hoffmann-La Roche AG, based in Switzerland, is the main operating company of the Roche group. It is wholly owned by Roche Holding AG, the parent company of the Roche group, listed on the SIX Swiss Exchange of the Zurich stock exchange, with its registered office located in Basel, Switzerland.  </w:t>
        <w:br/>
        <w:t xml:space="preserve">194. As of December 31, 2017, Roche Holding AG was controlled by a group of shareholders composed notably of members of the Hoffmann and Oeri families, holding together 45.01% of the shares conferring voting rights. This group of shareholders exercises the voting rights conferred by these shares in common, in accordance with an agreement in effect since 1948 (references 16747 to 16748).  </w:t>
        <w:br/>
        <w:t xml:space="preserve">195. The other main shareholder of Roche is the Novartis group, which holds just under one-third of the shares. More specifically, Novartis holds 6.2% of the capital (the non-voting shares representing 81.5% of the capital of Roche Holding) and 33.33% of the voting rights of Roche Holding (reference 47658).  </w:t>
        <w:br/>
        <w:t xml:space="preserve">196. The Roche group is present in France through its activities (i) in pharmaceuticals, via Roche SAS (RCS 552 012 031), (ii) in diagnostics, via Roche Diagnostics France SASU (RCS 380 484 766), and (iii) in diabetes management, via Roche Diabètes Care France SASU (RCS 800 418 493).  </w:t>
        <w:br/>
        <w:t xml:space="preserve">197. Roche SAS, a distribution subsidiary, is responsible for the marketing of Avastin in France. It is indirectly 100% owned by Roche Holding AG, through Roche Finanz AG (reference 16749).  </w:t>
        <w:br/>
        <w:t xml:space="preserve">b) The contractual relationships between Genentech, Roche, and Novartis for the marketing of Avastin and Lucentis  </w:t>
        <w:br/>
        <w:t xml:space="preserve">198. As indicated in paragraphs 63 and 76 of this decision, Genentech entrusted the marketing of Avastin to Roche and of Lucentis to Novartis worldwide (except in the United States).  </w:t>
        <w:br/>
        <w:t xml:space="preserve">The licensing agreement between Genentech and Roche for Avastin  </w:t>
        <w:br/>
        <w:t xml:space="preserve">199. The relationship between Genentech and Roche for the marketing of Avastin is governed by a framework agreement, which came into effect in 1995, replaced in 1999 by a new agreement, which grants Roche the benefit of an option, product by product, for the license and exclusive marketing of Genentech's products, under development or soon to be developed, worldwide, except in the United States (reference 16750).  </w:t>
        <w:br/>
        <w:t xml:space="preserve">200. Roche exercised its option regarding Avastin on June 23, 2003. Since then, Roche has held the exclusive marketing rights for Avastin outside the United States. In this geographical area, Roche is solely responsible for relations with health authorities, regarding the registrations and authorizations of the products for which it has exercised its option. It is thus the holder of the MAs issued for Avastin in this geographical area (references 16750 and 45042).  </w:t>
        <w:br/>
        <w:t xml:space="preserve">201. Furthermore, the framework agreement provides for the establishment of four committees, in which Roche and Genentech are equally represented (references 45041 and 45042).  </w:t>
        <w:br/>
        <w:t xml:space="preserve">202. First, within the "Joint Commercialization Committee," Genentech communicates to Roche information about the products under development, including the results of the clinical studies necessary for submitting a marketing authorization application, in order to allow Roche to decide whether or not to exercise its option on said products. Roche, for its part, communicates through this committee information to Genentech regarding the products it has licensed.  </w:t>
        <w:br/>
        <w:t xml:space="preserve">203. Next, the "Management Committee" meets at least once a year to discuss the development and marketing status of all products covered by the framework agreement, as well as any other matters brought to its attention by one of the other three committees.  </w:t>
        <w:br/>
        <w:t xml:space="preserve">204. Then, the "Development Committee" meets at least three times a year to discuss the development of the products for which Roche has exercised its option. This committee is responsible for overseeing and coordinating the global development efforts of said products. Article III.3 of the contract specifically provides that the design of the global development strategy is primarily the responsibility of Genentech, while decisions regarding development efforts and registration in the licensed territory are solely the responsibility of Roche (reference 50402).  </w:t>
        <w:br/>
        <w:t xml:space="preserve">205. In practice, it is expected that this committee will meet to propose a "development plan" for each product at the global level. In this regard, Roche representatives stated during the hearing: "A development plan is built very early on, based on what we imagine the potential of the molecule in indications. For Avastin, the development plan necessarily dates back several years before the first MA, and thus in this case in the 1990s. This plan concerned only oncology, since Genentech's strength was in oncology. It was one of the first molecules with this mode of action in oncology [...] For all countries outside the United States, we have a Lifecycle Leader who organizes, orchestrates, and takes care of the coherence between the development plans, marketing, in short, the entire life of the product. We have dedicated teams around him, notably medical and access ("Market Access"). This Lifecycle Leader is someone very transversal" (reference 16737).  </w:t>
        <w:br/>
        <w:t xml:space="preserve">206. Furthermore, Roche must communicate to Genentech, before November 30 of each year, the following information: (i) the status and plans for clinical trials necessary for the registration of the product, (ii) the status and plans for the registration of the product with a view to its marketing, (iii) the projected sales of the product in question, and (iv) a summary of promotional operations and market studies (reference 50400). Genentech is therefore regularly informed of the commercial policy and positioning of Avastin in the territory granted to Roche.  </w:t>
        <w:br/>
        <w:t xml:space="preserve">207. Finally, the "Joint Finance Committee" meets as needed to discuss financial issues related to the framework agreement.  </w:t>
        <w:br/>
        <w:t xml:space="preserve">208. The agreement organizing the relationships between Genentech and Roche, particularly for the exploitation of Avastin, grants Roche a certain autonomy, particularly regarding relations with registration authorities outside the United States, and promotional and marketing actions.  </w:t>
        <w:br/>
        <w:t xml:space="preserve">209. However, this autonomy operates within a very constrained framework. First, the relationships between Genentech and Roche are organized according to a scheme in which Genentech is responsible for the majority of the medical and scientific development of the products. Furthermore, Roche's actions must remain within the framework of the development plan negotiated with Genentech, which particularly includes the indications considered for each of the products. Finally, the obligations of information reporting that weigh on Roche, as well as the functioning of the four committees described above, allow for numerous contacts between the two companies.  </w:t>
        <w:br/>
        <w:t xml:space="preserve">The licensing agreement between Genentech and Novartis for Lucentis  </w:t>
        <w:br/>
        <w:t xml:space="preserve">210. The relationships between Genentech and Novartis for the exploitation of Lucentis are governed by a licensing and collaboration agreement concluded on June 20, 2003, for the development and marketing of pharmaceutical products containing ranibizumab, sold by Novartis under the brand Lucentis worldwide, except in the United States (reference 45137).  </w:t>
        <w:br/>
        <w:t xml:space="preserve">211. This license is granted only for a specific field, namely the treatment of eye diseases and/or retinal diseases and/or choroidal vascularization (reference 45138).  </w:t>
        <w:br/>
        <w:t xml:space="preserve">212. Novartis and Genentech are solely responsible for the regulatory activities and marketing of Lucentis in their respective territories (reference 15532). However, each party is required to inform the other of requests from the competent health authorities in its territory (reference 45140).  </w:t>
        <w:br/>
        <w:t xml:space="preserve">213. Furthermore, the agreement between Genentech and Novartis established a "Joint Management Committee" and a "Joint Project Team," in which both parties are equally represented.  </w:t>
        <w:br/>
        <w:t xml:space="preserve">214. More specifically, the "Joint Management Committee" establishes development plans and lifecycle plans for the product and manages the joint development of Lucentis worldwide on this basis. It also determines the party responsible for designing and conducting clinical trials related to AMD and other indications for Lucentis. In addition, it oversees the commercial positioning of the Lucentis brand worldwide (reference 45139).  </w:t>
        <w:br/>
        <w:t xml:space="preserve">215. More precisely, the jointly defined development plan is a comprehensive plan for the joint global development of licensed products in the "Field," corresponding to the treatment of eye diseases and/or retinal diseases and/or choroidal vascularization (references 15530 and 45138). The agreement specifies that Novartis cannot organize or support studies for indications outside the "Field" (reference 15530).  </w:t>
        <w:br/>
        <w:t xml:space="preserve">216. Finally, the agreement provides for a large number of information and consultation obligations between Novartis and Genentech, on all the different aspects of the product's life (references 45114 and 45115).  </w:t>
        <w:br/>
        <w:t xml:space="preserve">217. Article 5.1 e) of the agreement provides, in particular, that each party must inform the other of communications with health authorities and give it the opportunity to participate in significant meetings (references 15532 and 15533).  </w:t>
        <w:br/>
        <w:t xml:space="preserve">218. Similarly, Article 6.4 of the agreement provides that the "Joint Management Committee" must review the main promotional messages disseminated by both Novartis and Genentech, and any changes that may be proposed for these messages. Furthermore, both companies must work together, in good faith, to maintain alignment and consistency in the commercial positioning of the product worldwide (reference 15535).  </w:t>
        <w:br/>
        <w:t>219. Finally, the "Joint Management Committee" must also review any scientific article, presentation, or intervention at a conference by Novartis or Genentech related to the licensed product. This obligation must also extend, to the extent possible, to any article or intervention by a partner or researcher funded by Novartis (reference 15560).</w:t>
      </w:r>
    </w:p>
    <w:p>
      <w:r>
        <w:rPr>
          <w:b/>
        </w:rPr>
        <w:t>[Pages 43–45]</w:t>
      </w:r>
    </w:p>
    <w:p>
      <w:r>
        <w:t xml:space="preserve">220. In conclusion, the agreement concluded between Genentech and Novartis establishes a very close cooperation between the two companies, which together define a development plan for Lucentis and coordinate commercial messages, scientific communications, as well as relations with health authorities. Finally, the obligations for information reporting and the functioning of the "Joint Management Committee" described above allow for numerous contacts between the two companies.  </w:t>
        <w:br/>
        <w:t xml:space="preserve">c) Summary diagram of the capital and contractual links between Genentech, Roche, and Novartis  </w:t>
        <w:br/>
        <w:t xml:space="preserve">221. The capital and contractual relationships existing between Genentech, Roche, and Novartis can be summarized in the following diagram:  </w:t>
        <w:br/>
        <w:t xml:space="preserve">GENENTECH  </w:t>
        <w:br/>
        <w:t xml:space="preserve">Controlling interest  </w:t>
        <w:br/>
        <w:t xml:space="preserve">(development and  </w:t>
        <w:br/>
        <w:t xml:space="preserve">(60% of capital until  </w:t>
        <w:br/>
        <w:t xml:space="preserve">marketing of  </w:t>
        <w:br/>
        <w:t xml:space="preserve">2009 / 100% of capital  </w:t>
        <w:br/>
        <w:t xml:space="preserve">Lucentis and Avastin  </w:t>
        <w:br/>
        <w:t xml:space="preserve">since 2009)  </w:t>
        <w:br/>
        <w:t xml:space="preserve">License agreement License agreement  </w:t>
        <w:br/>
        <w:t xml:space="preserve">for Avastin for Lucentis  </w:t>
        <w:br/>
        <w:t xml:space="preserve">(bevacizumab) (ranibizumab)  </w:t>
        <w:br/>
        <w:t xml:space="preserve">Royalties Royalties  </w:t>
        <w:br/>
        <w:t xml:space="preserve">(Avastin sales) (Lucentis sales)  </w:t>
        <w:br/>
        <w:t xml:space="preserve">NOVARTIS  </w:t>
        <w:br/>
        <w:t xml:space="preserve">ROCHE  </w:t>
        <w:br/>
        <w:t xml:space="preserve">(marketing of  </w:t>
        <w:br/>
        <w:t xml:space="preserve">(marketing Lucentis in the rest  </w:t>
        <w:br/>
        <w:t xml:space="preserve">of Avastin in the of the world)  </w:t>
        <w:br/>
        <w:t xml:space="preserve">rest of the world)  </w:t>
        <w:br/>
        <w:t xml:space="preserve">Holder of the MA in  </w:t>
        <w:br/>
        <w:t xml:space="preserve">Holder of the MA France (granted in  </w:t>
        <w:br/>
        <w:t xml:space="preserve">in France (granted in January 2007)  </w:t>
        <w:br/>
        <w:t xml:space="preserve">January 2005)  </w:t>
        <w:br/>
        <w:t xml:space="preserve">Non-controlling indication:  </w:t>
        <w:br/>
        <w:t xml:space="preserve">interest oncology and  </w:t>
        <w:br/>
        <w:t xml:space="preserve">6.2% of capital ophthalmology (AMD  </w:t>
        <w:br/>
        <w:t xml:space="preserve">33.33% of rights in 2007, then other  </w:t>
        <w:br/>
        <w:t xml:space="preserve">Hospital reserve indications in 2012)  </w:t>
        <w:br/>
        <w:t xml:space="preserve">Voting rights  </w:t>
        <w:br/>
        <w:t xml:space="preserve">CEPS price: approx. €1000  </w:t>
        <w:br/>
        <w:t xml:space="preserve">2. RELATIONS BETWEEN PHARMACEUTICAL LABORATORIES AND HEALTH PROFESSIONALS  </w:t>
        <w:br/>
        <w:t xml:space="preserve">222. In the pharmaceutical sector, and particularly when it comes to reimbursable medicines, the decision to use one specialty or another is not made by the patient concerned, but by a health professional. Consequently, regardless of the fact that advertising to the general public for prescription-only medicines is prohibited in France, a pharmaceutical laboratory that wishes to develop its sales is often led to maintain contacts with health professionals, as they are the prescribers of the use of medicines.  </w:t>
        <w:br/>
        <w:t xml:space="preserve">223. However, in order to limit the communication strategies of pharmaceutical laboratories and to ensure compliance with medical ethics, interactions between pharmaceutical laboratories and health professionals are strictly regulated (a). Pharmaceutical laboratories thus often resort to indirect methods of influence, particularly through actions targeting "Key Opinion Leaders" (or leading opinion leaders, hereinafter "KOL") (b).  </w:t>
        <w:br/>
        <w:t xml:space="preserve">a) Rules regarding the promotion of medicines to health professionals  </w:t>
        <w:br/>
        <w:t xml:space="preserve">224. The applicable rules for the promotion of medicines in France have been compiled and synthesized by HAS in a document from January 2013, titled "Description of the regulation of the promotion of health products in France."  </w:t>
        <w:br/>
        <w:t xml:space="preserve">225. This document first indicates that "all health products are subject to the provisions of the Consumer Code which prohibits misleading commercial practices (articles L. 121-1 and following). A commercial practice (advertising for example) is particularly misleading when it is based on false or misleading claims, indications, or presentations."  </w:t>
        <w:br/>
        <w:t xml:space="preserve">226. Regarding the promotion of medicines to health professionals, "since the law of December 29, 2011 (law No. 2011-2012), advertising for medicines to health professionals is subject to prior control, at the end of which an authorization, called PM visa, is issued by ANSM. Pharmaceutical companies therefore submit the promotional materials they wish to use to ANSM, which grants or denies authorization (article L. 5122-9 of the CSP)."  </w:t>
        <w:br/>
        <w:t xml:space="preserve">227. The Public Health Code also contains a set of provisions that severely limit the ability of pharmaceutical companies to offer gifts or to compensate health professionals (see in particular, articles L. 4113-6 and L. 5122-10 of the Public Health Code).  </w:t>
        <w:br/>
        <w:t xml:space="preserve">228. Furthermore, LEEM and CEPS concluded, in 2004, a charter for medical visits whose main objective is to "strengthen the role of medical visits in the proper use of reimbursed medicines for social security beneficiaries and the quality of information provided." This charter contains a number of prescriptions regarding the quality of information transmitted by the medical representative, particularly concerning advertising comparing two or more medicines or scientific studies conducted after the issuance of the MA.  </w:t>
        <w:br/>
        <w:t xml:space="preserve">229. In October 2014, LEEM and CEPS signed a new "Charter of Promotional Information." This document complements the aforementioned information, indicating in particular that "When the company uses such studies, it presents them in a complete and impartial manner."  </w:t>
        <w:br/>
        <w:t xml:space="preserve">b) The relationships of pharmaceutical laboratories with "Key Opinion Leaders"  </w:t>
        <w:br/>
        <w:t xml:space="preserve">230. According to the terms of a presentation made by a consulting firm, a "KOL" is a health professional who has significant recognition and recognized expert competence in their field. This notoriety is generally due both to the professional status of the practitioner (particularly when they hold a hospital-university position in a major hospital department) and to the number of articles and studies published by them.  </w:t>
        <w:br/>
        <w:t xml:space="preserve">231. In 2013, HAS published on its website a practical manual titled "Understanding Pharmaceutical Promotion and Responding to It." This manual provides information on the reasons prompting the pharmaceutical industry to seek the assistance of leading opinion leaders (or "KOL").  </w:t>
        <w:br/>
        <w:t xml:space="preserve">232. Thus, "Doctors are not receptive to traditional sales and marketing campaigns. But they are receptive to the opinions of their peers. In fact, some doctors have immense persuasive power over their peers. These doctors have earned the respect and attention of other prescribers and have been recognized for their expertise and knowledge of innovative and emerging therapies. But above all, they are able to try, adopt, and recommend these new products... From a marketing perspective, these doctors are at the top of the medical hierarchy – they are the leading opinion leaders par excellence." Similarly, "a presentation made to peers by a prominent physician seems less like promotion than a presentation made by an employee of a pharmaceutical company. The success of this influence technique may be partly due to the fact that the audience is unaware that it is part of a promotional campaign for a product."  </w:t>
        <w:br/>
        <w:t xml:space="preserve">233. In order to develop relationships with KOLs, pharmaceutical laboratories have thus established an internal specific function, that of "Medical Scientific Liaison" (or Medical Referent, hereinafter "MSL"). This person, who is generally a physician, biologist, or another health professional, is responsible for fostering relationships with doctors and proposing partnerships to them.  </w:t>
        <w:br/>
        <w:t xml:space="preserve">234. More specifically, the pharmaceutical industry has implemented a set of techniques to develop a mapping of KOLs in a given sector, based on their level of notoriety, their compatibility with the discourse advocated by the company, and their inclination to participate in industry-funded events. Thus, consulting firms have been able to propose, for example, a structuring of "levels" of KOL in a pyramid (the most important KOLs – who are at the top of the pyramid – are those who have influence over health authorities and public authorities in general) or in the form of a matrix (identifying supporters and opponents of the concerned medicine and their level of influence over other prescribers).  </w:t>
        <w:br/>
        <w:t>235. An internal document from Novartis, titled "M3PH Medical plan 2011 / SciOps," provides a description of the resources used by Novartis in its relationships with KOLs. In the field of AMD, 93 KOLs have been identified by the laboratory as needing to be regularly visited by the two medical referents or "MSLs."</w:t>
      </w:r>
    </w:p>
    <w:p>
      <w:r>
        <w:rPr>
          <w:b/>
        </w:rPr>
        <w:t>[Pages 46–48]</w:t>
      </w:r>
    </w:p>
    <w:p>
      <w:r>
        <w:t xml:space="preserve">The presentation also includes a pyramid management plan for KOLs as presented above (reference 14896). Finally, the document reports on a method for assessing the positions and influence of KOLs, through a weighted average assigned to them (references 14900 and 14901):  </w:t>
        <w:br/>
        <w:t xml:space="preserve">D. THE ITALIAN CASE  </w:t>
        <w:br/>
        <w:t xml:space="preserve">236. On February 27, 2014, the Autorità Garante della Concorrenza e del Mercato (hereinafter, "AGCM") adopted a decision imposing a total monetary sanction of 182.5 million euros on Roche and Novartis for establishing an anti-competitive agreement "by object," contrary to Article 101, paragraph 1, of the TFEU, aimed at generating an artificial difference between the specialties Avastin and Lucentis for the treatment of AMD.  </w:t>
        <w:br/>
        <w:t xml:space="preserve">237. The practices implemented consisted of disseminating a discourse likely to generate fear among healthcare professionals, health authorities, and the general public, by exaggerating the risks arising from the intravitreal use of Avastin. According to the AGCM, Roche and Novartis sought, by discouraging the "off-label" use of Avastin, to increase the sales of the more expensive product (Lucentis). The AGCM considered that, through the practices in question, the two groups were able to maximize their respective profits, these behaviors constituting an anti-competitive agreement by object.  </w:t>
        <w:br/>
        <w:t xml:space="preserve">238. Roche and Novartis challenged this decision before the Tribunale amministrativo regionale per il Lazio, which dismissed their appeal (T.a.r. Lazio, December 2, 2014, No. 12168). The two companies appealed to the Consiglio di Stato, which decided to stay the proceedings and refer preliminary questions to the Court of Justice of the European Union (Consiglio di Stato, order No. 966 of March 11, 2016). The Court of Justice was called upon to rule, in particular, on the question of whether a medicine with a marketing authorization for a therapeutic indication and a medicine used "off-label" for that same indication could be considered substitutable and thus fall within the same relevant market, or on the question of whether an agreement concerning, in a context of scientific uncertainty, the dissemination of misleading information about the adverse effects of using a medicine for the treatment of a condition not covered by its marketing authorization could be classified as a restriction of competition "by object" within the meaning of Article 101, paragraph 1, of the TFEU.  </w:t>
        <w:br/>
        <w:t xml:space="preserve">239. The Court of Justice responded to the preliminary questions in a judgment delivered on January 23, 2018 (case C-179/16, F. Hoffmann-La Roche). In particular, the Court of Justice ruled that the agreement between the pharmaceutical groups Roche and Novartis aimed at reducing the ophthalmological uses of the medicine Avastin and increasing those of Lucentis could constitute a restriction of competition "by object," after clarifying that the AGCM could consider that Lucentis and Avastin fell within the same market and could be regarded as competing products. Then the Consiglio di Stato, ruling again on the appeal of Hoffmann-La Roche, confirmed the judgment of the regional administrative tribunal of Lazio and the decision of the AGCM, in a judgment of July 15, 2019 (Consiglio di Stato, July 15, 2019, No. 04990/2019).  </w:t>
        <w:br/>
        <w:t xml:space="preserve">240. More specifically, the Consiglio di Stato ruled that the definition of the relevant market, carried out by the AGCM, was correct, insofar as European regulation does not prohibit the use of medicines "off-label" nor their repackaging for such use. Consequently, insofar as Avastin was frequently prescribed "off-label" in the pharmaceutical field, Avastin and Lucentis could be considered substitutable and thus belonging to the same relevant market. The Consiglio di Stato also confirmed that the agreement between Roche and Novartis, which could not be considered an ancillary restriction to the licensing agreement concerning the medicines in question, constituted a restriction of competition by object. Clarifying that it was not necessary to provide scientific evidence of the therapeutic equivalence between Avastin and Lucentis in the ophthalmic field, the Consiglio di Stato ruled that, even in a context of scientific uncertainty, it was not permissible for two competing companies to disseminate misleading information aimed at distorting the perception of the risks of a medicine (Avastin) in order to reduce its use.  </w:t>
        <w:br/>
        <w:t xml:space="preserve">E. THE PRACTICES OBSERVED  </w:t>
        <w:br/>
        <w:t xml:space="preserve">241. The actions undertaken by Novartis with ophthalmologists, patient associations, the general public, and health authorities (1) will be successively exposed, followed by those implemented by Novartis, Roche, and Genentech with public authorities (2).  </w:t>
        <w:br/>
        <w:t xml:space="preserve">1. THE PRACTICES IMPLEMENTED BY NOVARTIS WITH OPHTHALMOLOGISTS, PATIENT ASSOCIATIONS, THE GENERAL PUBLIC, AND HEALTH AUTHORITIES  </w:t>
        <w:br/>
        <w:t xml:space="preserve">242. The Novartis laboratory developed a discourse among healthcare professionals – and, more particularly, ophthalmologists – but also among patient associations, the general public, and health authorities, emphasizing the risks associated with the "off-label" use of Avastin in ophthalmology, and more specifically for the treatment of AMD, in contrast to the safety and tolerance of Lucentis for the same use. This discourse adapted to the evolution of the scientific and regulatory context outlined above (see paragraphs 92 to 171 above).  </w:t>
        <w:br/>
        <w:t xml:space="preserve">a) The communication elements during the year 2008  </w:t>
        <w:br/>
        <w:t xml:space="preserve">The email of March 10, 2008  </w:t>
        <w:br/>
        <w:t xml:space="preserve">243. In an email dated March 10, 2008, the ophthalmology marketing director of the Novartis group sent several documents to the group employees in charge of the Lucentis product (references 3629 to 3631).  </w:t>
        <w:br/>
        <w:t xml:space="preserve">244. One of the attached documents, titled "Avastin Overview Deck," presents the points of differentiation between Avastin and Lucentis and an analysis of the scientific studies regarding the efficacy and safety of Avastin in ophthalmology (references 3635 to 3650).  </w:t>
        <w:br/>
        <w:t xml:space="preserve">245. This email specifies that this information can be used by Novartis employees and KOLs in favor of Lucentis: "the document also reviews and critiques some of the supporting data for Avastin and provides an update on the H2H trials. The content in this deck can be used by Novartis medical/scientific staff as well as KOLs and other advocates to support the difference between the two products and defend against the common argument that both products are ‘essentially the same’" (free translation: "the document analyzes and critiques some of the data in favor of Avastin and provides an update on the H2H [comparative] studies. The content of this document can be used by Novartis medical and scientific staff, as well as by KOLs and any other person, to defend the differences between the two products and against the argument that the products are ‘essentially the same’," reference 3630).  </w:t>
        <w:br/>
        <w:t xml:space="preserve">246. These documents were used by Novartis to prepare a question-and-answer document ("Q&amp;A Lucentis-Avastin," reference 3629).  </w:t>
        <w:br/>
        <w:t xml:space="preserve">The presentation of March 17, 2008 "Lucentis: Major Issues &amp; Strategies"  </w:t>
        <w:br/>
        <w:t xml:space="preserve">247. In an email dated March 19, 2008, the public relations director of Novartis transmitted a presentation from March 17, 2008, prepared by Novartis headquarters ("I am also sending you some very concise elements prepared last week by Global [the headquarters] on Lucentis and Avastin," reference 3609).  </w:t>
        <w:br/>
        <w:t>248. This document emphasizes guaranteed efficacy for Lucentis, in comparison with the uncertainties regarding Avastin, particularly highlighting the risks of infection related to intravitreal injections and the absence of clinical studies on potential side effects ("Lucentis is specifically designed and proven safe for use in the human eye (…) No proper data are available on safety or serious side effects with Avastin use in wet AMD (…) its safety as a treatment for wet AMD is unknown," reference 3612).</w:t>
      </w:r>
    </w:p>
    <w:p>
      <w:r>
        <w:rPr>
          <w:b/>
        </w:rPr>
        <w:t>[Pages 49–51]</w:t>
      </w:r>
    </w:p>
    <w:p>
      <w:r>
        <w:t xml:space="preserve">249. This document also considers working with KOLs and patient associations in order to disseminate the message to European media (reference 6311).  </w:t>
        <w:br/>
        <w:t xml:space="preserve">The March 2008 presentation "Lucentis vs Avastin total treatment cost"  </w:t>
        <w:br/>
        <w:t xml:space="preserve">250. In March 2008, Novartis prepared an argument to justify the high price of Lucentis compared to the cost of Avastin (references 3588 to 3591).  </w:t>
        <w:br/>
        <w:t xml:space="preserve">251. The objective of this presentation was to show that, in certain cases, the cost difference between the two products was not as significant. For each of the scenarios, the presentation concluded: "Lucentis proven safety and efficacy clearly justify selection over Avastin" (free translation: "The proven efficacy and safety of Lucentis justify the selection of Lucentis over Avastin").  </w:t>
        <w:br/>
        <w:t xml:space="preserve">252. The laboratory thus prepared an "economic argument around Lucentis" in preparation for the congress of the French Society of Ophthalmology (or "SFO"), to be held in May 2008 (reference 3576).  </w:t>
        <w:br/>
        <w:t xml:space="preserve">The documents "preparation of media training / Lucentis"  </w:t>
        <w:br/>
        <w:t xml:space="preserve">253. Two working documents related to a "media training," presumably in view of a conference at the Francophone Club of Retina Specialists, show that Novartis was preparing to respond to questions about the safety and efficacy of Avastin (references 3593 and 3595, references 3604 and 3605).  </w:t>
        <w:br/>
        <w:t xml:space="preserve">254. Novartis intended to emphasize the risks taken by doctors using this medication: "Consequently, doctors who use Avastin outside its indication do so on an experimental basis and assume their civil liability in the event of complications" (reference 3593).  </w:t>
        <w:br/>
        <w:t xml:space="preserve">The document "Retina Business Follow-up" dated April 24, 2008  </w:t>
        <w:br/>
        <w:t xml:space="preserve">255. A document titled "Retina Business Follow-up," dated April 24, 2008, shows that Novartis's medical representatives implemented actions on the ground with centers using Avastin (references 3657 to 3696).  </w:t>
        <w:br/>
        <w:t xml:space="preserve">256. This document indeed reports on an "Action Plan VM [medical visitors] Retina and KAM ['Key account manager' in charge of relations with hospital services] on existing Avastin centers," indicating "10 identified centers remaining" (reference 45134).  </w:t>
        <w:br/>
        <w:t xml:space="preserve">257. Thus, Novartis focused its efforts on injection centers using Avastin to change their practice in favor of Lucentis. This action seems to have yielded results, as it is indicated: "Situation resolved at 15/20, at the Rothschild Foundation, in Grenoble, in Lille, in Toulon. Situation still blocked in Dijon, Nantes, Cannes, Limoges, Hôtel Dieu... most often for financial reasons (these centers earn more by using Avastin rather than Lucentis)" (reference 45134). Similarly, the document states: "the number of centers using Avastin has decreased (-8) thanks to the joint actions of Retina delegates and KAMs [‘Key account manager’ in charge of relations with hospital services]. 10 identified Avastin centers remaining" (reference 3683).  </w:t>
        <w:br/>
        <w:t>258. Finally, this document provides information on the structure of Novartis's ophthalmology medical representative network (references 3691 to 3695). At that time, this network consisted of six "Retina medical visitors" and seventeen "ophthalmology medical visitors," each conducting an average of 6.6 visits per day.</w:t>
      </w:r>
    </w:p>
    <w:p>
      <w:r>
        <w:t xml:space="preserve">The "2009 Retina Business Plan" of July 2008  </w:t>
        <w:br/>
        <w:t xml:space="preserve">259. In a document titled "2009 Retina Business Plan" from July 2008, Novartis presents Avastin as a real threat: "Avastin threat is concrete (Gefal Study)" (free translation: "the Avastin threat is concrete (Gefal study)," reference 45083) or: "Avastin (...) becoming a potential real threat" (free translation: "Avastin (...) becomes a potential real threat," reference 2440).  </w:t>
        <w:br/>
        <w:t xml:space="preserve">260. In this regard, Novartis recommends in this document the steps to minimize the impact of the GEFAL study, which was to begin at the end of 2008 ("Minimize H2H studies (Gefal) impact: Secure Lucentis price, closely monitor the implementation, communicate on insufficiencies," free translation: "Minimize the impact of H2H studies (Gefal): secure the price of Lucentis, closely monitor the implementation, communicate on insufficiencies," reference 2440). Novartis feared that this study would lead to the granting of a PTT for Avastin and, consequently, a significant decrease in Lucentis sales volume in hospitals ("TTP could lead to a significant decrease of sales volume in the hospital segment," reference 45133) as well as a decrease in the price of Lucentis ("Expected impact in 2010 [2011]: Avastin Temporary Therapeutic Protocol (TTP) and Lucentis price decrease," reference 45083).  </w:t>
        <w:br/>
        <w:t xml:space="preserve">261. The document therefore proposes an action plan aimed at limiting Avastin's market share to less than 10% ("action plan: (...) contain Avastin &lt; 10% in wAMD [wet age-related macular degeneration]," reference 2447) or even blocking its widespread use in other indications for which Lucentis did not have an MA ("our strategy (...) block Avastin broad usage in other indications (DME [diabetic macular edema], RVO)," reference 2430). This strategy is repeated numerous times in the document (references 2468 and 2480).  </w:t>
        <w:br/>
        <w:t xml:space="preserve">262. Among the many measures considered, Novartis recommended developing a discourse questioning the relevance of the GEFAL study, particularly emphasizing the methodological flaws and unaddressed issues in this study, with the aim of focusing communication on the study's shortcomings and trying to convince that its results would be published too late ("outline methodology gaps, unaddressed issues, Drive communication on insufficiencies, Try to convince that GEFAL results will come too late," reference 2468).  </w:t>
        <w:br/>
        <w:t xml:space="preserve">263. To this end, Novartis's plan was to obtain the protocol of the GEFAL study, develop lobbying directed towards Professor Y..., the study director, as well as the main researchers involved, or even challenge the study design and communicate its shortcomings ("get the protocol, KOL lobbying (Pr Y... + main investigators, challenge Gefal design and communicate on insufficiencies," reference 2470).  </w:t>
        <w:br/>
        <w:t xml:space="preserve">264. Furthermore, Novartis planned to develop and highlight differentiating elements of Lucentis compared to Avastin regarding efficacy, safety, and tolerability ("difference on efficacy, safety or tolerability (...) List Avastin side effect to highlight Avastin deficiency," reference 2468).  </w:t>
        <w:br/>
        <w:t xml:space="preserve">265. Finally, Novartis's strategy included a legal component, aimed at defining ways to counter any government initiatives to "legalize" the use of Avastin ("Legal strategy to counter Avastin legalization," reference 2468).  </w:t>
        <w:br/>
        <w:t>266. The development of this discourse was to be handled by the headquarters before its dissemination by the French teams (reference 2471), as illustrated by the reproduction below:</w:t>
      </w:r>
    </w:p>
    <w:p>
      <w:r>
        <w:t xml:space="preserve">b) Communication elements during the year 2009  </w:t>
        <w:br/>
        <w:t xml:space="preserve">The meeting on June 19, 2009, between Novartis Pharma and the group's headquarters  </w:t>
        <w:br/>
        <w:t xml:space="preserve">267. On June 19, 2009, a meeting was organized between the headquarters team of Novartis and the team of Novartis Pharma in charge of Lucentis (references 2206 and 2207).  </w:t>
        <w:br/>
        <w:t xml:space="preserve">268. The presentation support for this meeting mentions an action plan, with KOLs, aimed at differentiating Avastin from Lucentis, particularly on the issue of safety, in order to prevent Avastin from being considered a competing product to Lucentis ("Avoid Avastin to be considered as competitor (for KOL). Action plan to differentiate Lucentis from Avastin, including safety," reference 45132).  </w:t>
        <w:br/>
        <w:t xml:space="preserve">The "Lucentis C4 Plan 2009-2014 wAMD [wet age-related macular degeneration]" of July 2009  </w:t>
        <w:br/>
        <w:t xml:space="preserve">269. In a document titled "Lucentis C4 Plan 2009-2014 wAMD [wet age-related macular degeneration]," from July 2009, Novartis outlines its strategic imperatives regarding Lucentis for the next four years (references 2365 to 2417).  </w:t>
        <w:br/>
        <w:t xml:space="preserve">270. Among these objectives, there is notably the maximization of Lucentis's penetration rate, minimizing the impact of Avastin, or reducing the use of Avastin in indications other than AMD ("Maximize Lucentis penetration rate and minimize Avastin impact"; "Reduce Avastin usage in non-AMD indications (local TPT prospective studies, Global clinical studies, new Indications)," reference 2366).  </w:t>
        <w:br/>
        <w:t>271. The same document notes that one of the main weaknesses of Lucentis is the lack of clinically proven differentiation and the perception of its price as high ("Key issues (...) No proven clinical differentiation between Lucentis &amp; Avastin, and Lucentis price perceived as high," reference 2376). Novartis intends, therefore, to prepare in case the GEFAL study demonstrates the non-inferiority of Avastin compared to Lucentis in terms of efficacy, in order to minimize its impact ("GEFAL study has started (...). We need to be prepared in case of proven non-inferiority in terms of efficacy to minimize impact," reference 2377).</w:t>
      </w:r>
    </w:p>
    <w:p>
      <w:r>
        <w:rPr>
          <w:b/>
        </w:rPr>
        <w:t>[Pages 52–54]</w:t>
      </w:r>
    </w:p>
    <w:p>
      <w:r>
        <w:t>272. In particular, Novartis noted that comparative clinical studies would likely show the non-inferiority of Avastin. It also pointed out that a majority of French doctors anticipated that the ongoing comparative studies – particularly GEFAL – would demonstrate the equivalence of Avastin and Lucentis, not only in terms of efficacy but also safety, and that actions to differentiate Lucentis from Avastin needed to be quickly implemented ("Head to Head trials will likely show non inferiority. Actions to differentiate Lucentis vs Avastin should be quickly set up as physicians already anticipate similar safety and efficacy (56%)," free translation: "Comparative studies will likely demonstrate non-inferiority. Actions to differentiate Lucentis from Avastin should be quickly implemented, as physicians already anticipate similar safety and efficacy (56%)," reference 2392). Novartis teams were therefore to prepare to use the arguments developed by headquarters regarding the side effects of Avastin, in response to the arguments of doctors who would be convinced of the superiority of Avastin ("MSL communication on Roche DOL about Avastin side effects, not proactively but in defense if physicians are convinced about Avastin superiority," reference 2392).</w:t>
      </w:r>
    </w:p>
    <w:p>
      <w:r>
        <w:t>273. This document also contains elements regarding Novartis's actions with injection centers. Thus, when a doctor from one of these centers stated they were using Avastin, the strategy to be implemented was to invite them to a regional meeting and present the shortcomings of the GEFAL study, or to develop an argument on the side effects of Avastin ("invitation to a regional meeting (...), presentation of GEFAL gaps, report of Avastin side effects," reference 2407).</w:t>
      </w:r>
    </w:p>
    <w:p>
      <w:r>
        <w:t xml:space="preserve">c) Communication elements during the year 2010  </w:t>
        <w:br/>
        <w:t xml:space="preserve">The ACUITY guide for the year 2010  </w:t>
        <w:br/>
        <w:t>274. As part of the ACUITY program – defined by Novartis in response to a request for information from the regulatory services as follows: "ACUITY ('Advancing Collaboration and Understanding In OphThalmologY') was the generic name used by Novartis to designate the Advisory Committees on Retina composed of 15 to 20 ophthalmologists recognized by their peers as leaders in this field" (reference 45136) – Novartis headquarters sent national subsidiaries a set of documents intended to enable group teams to frame discussions within the AMD advisory committees.</w:t>
      </w:r>
    </w:p>
    <w:p>
      <w:r>
        <w:t>275. Among these documents was a moderation and discussion guide related to head-to-head studies between Avastin and Lucentis (references 14937 to 14955), accompanied by a presentation titled "Head-to-head trials of Lucentis versus Avastin" (references 14957 to 14977).</w:t>
      </w:r>
    </w:p>
    <w:p>
      <w:r>
        <w:t>276. These two documents contained numerous elements criticizing the methodology of the CATT and IVAN studies, both regarding the comparative efficacy of Avastin and Lucentis, as well as issues of tolerance and safety. In particular, Novartis claimed that the CATT study protocol allowed bevacizumab (Avastin) to be 30% less effective than ranibizumab (Lucentis) and yet be considered non-inferior ("CATT: wide non-inferiority margin allows to be 30% less efficacious," reference 14974).</w:t>
      </w:r>
    </w:p>
    <w:p>
      <w:r>
        <w:t>277. In conclusion, Novartis asserted that the CATT and IVAN studies would not yield serious conclusions regarding the efficacy or safety of Avastin in ophthalmology ("it is unlikely that any of the current ongoing head-to-head trials are powered for safety  larger studies powered to detect potentially significant systemic adverse events may be required. Possible bias for non-inferiority (...)  Limited scientific value and interpretability," free translation: "It is unlikely that the ongoing studies will be conclusive for safety  larger studies conducted to detect potential serious systemic adverse events will likely be required. There is a probable bias regarding non-inferiority (...)  limited scientific value and interpretation," reference 14976).</w:t>
      </w:r>
    </w:p>
    <w:p>
      <w:r>
        <w:t xml:space="preserve">The document "Lucentis Defense Workshop"  </w:t>
        <w:br/>
        <w:t>278. An internal Novartis document titled "Lucentis Defense Workshop" circulated during a workshop organized in 2010 illustrates the objective to be followed by Novartis to defend against repeated attacks on Avastin: the company aimed to create a favorable environment for the price of Lucentis and its reimbursement following the comparative studies (which would be published between 2011 and 2014) ("Goal is to create an environment that is supportive of Lucentis price &amp; reimbursement post-H2H," reference 4356).</w:t>
      </w:r>
    </w:p>
    <w:p>
      <w:r>
        <w:t>279. Among the actions considered, Novartis planned to develop relationships with professionals who were favorable to Lucentis, particularly through an action plan regarding KOLs, notably through the ACUITY program, and certain regional advisory councils ("develop advocates who recognize the Lucentis value proposition. Develop PA-KOL advocacy plan, maximize ACUITY, hold local advisory boards," reference 4358), or to increase uncertainty around Avastin, by conversely emphasizing the certainties regarding the safety of Lucentis and communicating on the limitations of comparative studies ("increase uncertainty around Avastin use (...), emphasize certainty of Lucentis safety (...), communication of H2H safety deficiencies," reference 4358).</w:t>
      </w:r>
    </w:p>
    <w:p>
      <w:r>
        <w:t xml:space="preserve">The presentation "Lucentis advocacy plan" of May 25, 2010  </w:t>
        <w:br/>
        <w:t>280. In the presentation "Lucentis advocacy plan" of May 25, 2010, Novartis headquarters revisited the pharmacokinetic differences between Avastin and Lucentis, the criticized nature of the methodology of the CATT and GEFAL studies, as well as the rules regarding medical liability in the case of "off-label" prescriptions (references 13819 to 13940).</w:t>
      </w:r>
    </w:p>
    <w:p>
      <w:r>
        <w:t>281. The presentation also contains a section dedicated to the scientific elements then available on the risks associated with the use of Avastin in ophthalmology. In conclusion, it emphasizes that further studies would be necessary to determine whether the potential risks considered are a serious cause for concern regarding Avastin ("Larger scale and longer follow-up required to determine whether these events are a safety concern with bevacizumab [Avastin]," free translation: "A larger scale and longer follow-up is necessary to determine whether these events are a safety concern with bevacizumab [Avastin]," reference 13880).</w:t>
      </w:r>
    </w:p>
    <w:p>
      <w:r>
        <w:t>282. The presentation further includes developments on a series of cases of severe intraocular inflammatory reaction that occurred in Canada, following the use of Avastin in intravitreal injection and which were the subject of a public communication from Roche (reference 13866). The document also specifies that these cases are being closely examined by Genentech and Roche, who are working on an action plan on this subject and keeping Novartis informed ("Next steps. Genentech is working with Roche to uncover the reasons for this cluster of TASS [toxic anterior segment syndrome] and Roche/Genentech action plan. (...) Novartis is being kept informed," free translation: "Next steps. Genentech is working with Roche to determine the reasons for this cluster of toxic anterior segment syndrome and a Roche/Genentech action plan," reference 13867).</w:t>
      </w:r>
    </w:p>
    <w:p>
      <w:r>
        <w:t xml:space="preserve">The "Advocacy Lucentis" meeting of May 26, 2010  </w:t>
        <w:br/>
        <w:t>283. On May 26, 2010, a meeting took place within Novartis, gathering all individuals involved in the promotion of Lucentis: the Chief Executive Officer (Mr. Z...), the "Market Access" marketing teams, the Ophthalmology Franchise, comprising the sales forces present in the region and specialized in ophthalmology drugs, the "Key Account Managers" (or "KAM"), the legal department, and the pharmaceutical affairs department (reference 2126).</w:t>
      </w:r>
    </w:p>
    <w:p>
      <w:r>
        <w:t>284. The support document for this meeting (references 2125 to 2141) specifies in the introduction that its objective is to "address the Avastin studies and optimize the launch in DME [diabetic macular edema]" (reference 2125).</w:t>
      </w:r>
    </w:p>
    <w:p>
      <w:r>
        <w:t>285. Thus, one of the objectives of the day was to build a local communication plan to support Lucentis and highlight the shortcomings of Avastin in the treatment of AMD, particularly in light of the latest scientific studies ("Optimal preparation at local level maximizes opportunity to secure current sales and future growth due to the following events: results of the H2H trials CATT (US), IVAN (UK) (...) Robust advocacy plan to build support for Lucentis and highlight deficiencies of Avastin in wAMD," free translation: "An optimal preparation at the local level maximizes the opportunity to secure current sales and future growth due to the following events: results of the H2H studies CATT (US), IVAN (GB) (...) a robust advocacy plan is to be built to support Lucentis and highlight the shortcomings of Avastin for AMD," reference 2127).</w:t>
      </w:r>
    </w:p>
    <w:p>
      <w:r>
        <w:t>286. The day began with a presentation of the Novartis group's strategy, notably revisiting elements already defined in 2009 regarding combating the presence of Avastin in ophthalmology (reference 2131). Then, three successive workshops were offered to participants, to familiarize themselves with the Lucentis strategy, develop responses to objections and key messages, and define action plans in the region (reference 2134).</w:t>
      </w:r>
    </w:p>
    <w:p>
      <w:r>
        <w:t>287. Regarding key messages and responses to objections, the presentations again emphasize the "potentially greater" systemic adverse effects for Avastin. They also mention the problems that occurred in the United States and Canada related to the repackaging of Avastin (reference 2137). They reiterate that the ongoing comparative studies, such as GEFAL and CATT, are methodologically insufficient ("Methodology of Avastin H2H vs Lucentis studies is challengeable") and indicate that "the physician may incur civil, criminal, administrative, and disciplinary liability if the off-label prescription of a product is not justified" (reference 2138).</w:t>
      </w:r>
    </w:p>
    <w:p>
      <w:r>
        <w:t>288. These messages were then used to develop responses to objections used by Novartis's sales forces in their contacts with professionals, as part of regional action plans (references 2140 and 2141).</w:t>
      </w:r>
    </w:p>
    <w:p>
      <w:r>
        <w:t xml:space="preserve">The "M3PH" meeting of June 2010  </w:t>
        <w:br/>
        <w:t>289. In June 2010, a meeting dedicated to the strategy regarding Lucentis for the year 2011 took place at Novartis headquarters (references 13942 to 14031).</w:t>
      </w:r>
    </w:p>
    <w:p>
      <w:r>
        <w:t>290. Regarding Avastin, the presentation document indicates that at that time, the use of Avastin was now limited to four main injection centers: Hôtel-Dieu in Paris, Hospices Civils de Lyon, Sourdille Clinic in Nantes, and Claude Bernard Clinical Hospital in Metz ("Avastin use in wAMD now limited to four main centers in France," reference 13977). Generally, public hospitals were, at that time, the cause</w:t>
      </w:r>
    </w:p>
    <w:p>
      <w:r>
        <w:rPr>
          <w:b/>
        </w:rPr>
        <w:t>[Pages 55–57]</w:t>
      </w:r>
    </w:p>
    <w:p>
      <w:r>
        <w:t xml:space="preserve">main concern regarding the use of Avastin, with Novartis believing that public hospitals were more "vulnerable" to the penetration of Avastin than office-based physicians ("Public hospitals are more vulnerable to Avastin penetration than office based practice," reference 13978).  </w:t>
        <w:br/>
        <w:t xml:space="preserve">291. In this context, Novartis anticipated that the ongoing comparative studies – notably CATT and GEFAL – would conclude that Avastin and Lucentis were equivalent in terms of efficacy ("No proven clinical differentiation of Lucentis vs. Avastin. H2Hs likely to demonstrate non-inferiority on efficacy," references 13979) and would impact the choices of both health authorities and individual physicians ("Avastin H2H studies results will impact both HA [health authorities] and medical community," reference 13980). The document thus establishes a list of potential threats that could arise from the publication of these studies. Firstly, Novartis considers that, with an estimated probability of 90%, payers could use Avastin as a comparator to lower the price of Lucentis ("payors use the trial results to pressure NVS [Novartis] to reduce price. H2H positive result will legitimate Avastin as price comparator at time of DME [diabetic macular Edema] negotiation /wAMD re-listing negotiation," reference 13980). Secondly, Novartis estimates, with an estimated probability of 60%, that French authorities could establish a PTT for Avastin in hospitals, while nonetheless highlighting the possibility of contesting such a measure ("The trial will enable authorities to allow restricted Avastin use in public hospital through temporary therapeutic protocol (ATU like) process (…) PTT authorization could be challenged as alternatives are available for wAMD," reference 13980). Lastly, Novartis believes that physicians will be influenced by the results of the studies and will increase their use of Avastin, particularly in hospitals ("physicians will be influenced by trial results and will increase their use of Avastin (particularly in hospital practices)," reference 13980):  </w:t>
        <w:br/>
        <w:t xml:space="preserve">292. The document provides for the implementation of a comprehensive communication plan towards both authorities and professionals, in order to limit the use of Avastin. This plan includes notably the funding of new studies, innovative services, and the provision of free products ("&gt; Project funding or management for leaders &gt; Clinical studies, &gt; (…) Sampling," reference 13983). It also involves the dissemination of "key messages" emphasizing the differences in terms of pharmacology, efficacy, and safety between Lucentis and Avastin (references 13989 and 13991).  </w:t>
        <w:br/>
        <w:t xml:space="preserve">293. The main elements of the message are contained in an "Elevator speech" that summarizes the "key messages" and emphasizes the scientific and regulatory uncertainty surrounding the use of Avastin in ophthalmology, contrasted with the certainties regarding the safety of Lucentis ("Avastin is different from Lucentis (…) Avastin is uncertain (…) Avastin is unapproved (…) NVS [Novartis] is a true partner for ophthalmology," free translation: "Avastin est différent de Lucentis (…) Avastin est incertain (…) Avastin n’est pas autorisé (…) NVS [Novartis] est un vrai partenaire pour l’ophtalmologie," reference 13988). The document also revisits the methodological limitations of the available studies ("the methodology of Avastin H2H vs Lucentis studies is challengeable," reference 13991) and the legal risk incurred when a physician decides to use Avastin ("The physician and the pharmacist bear their responsibility," reference 13991).  </w:t>
        <w:br/>
        <w:t xml:space="preserve">294. The presentation document indicates that the various materials and arguments prepared by Novartis were to be gradually disseminated within the group, notably to all sales forces during the seminar scheduled between September 13 and 17, 2010 (reference 13992).  </w:t>
        <w:br/>
        <w:t xml:space="preserve">295. The argument was then to be disseminated to a set of KOLs, according to their respective influence as defined by the pyramid ("Avastin / Lucentis advocacy communication is to be rolled out accordingly to RS influence pyramid," reference 13993). In this regard, the presentation notes that the development of collaborative projects with KOLs, as well as the increase in the number of face-to-face meetings, have allowed for better dissemination of the discourse over the past year ("For 1 year, collaborations and relations with KOL have been greatly developed allowing a straight communication on Avastin/Lucentis issues," free translation: "Depuis 1 an, les collaborations et relations avec les KOL ont été fortement développées, permettant une communication directe sur les questions Avastin/Lucentis," reference 13993).  </w:t>
        <w:br/>
        <w:t xml:space="preserve">296. Finally, Novartis plans a number of more targeted actions locally, particularly towards certain injection centers, referred to as "key centers" (references 13994 to 13997).  </w:t>
        <w:br/>
        <w:t xml:space="preserve">297. One of the centers particularly targeted by Novartis is that of the Hospices civils de Lyon, and notably Professor Y…, who leads the GEFAL study (see paragraphs 119 to 124 above). In this context, Novartis plans to "keep Y… busy," notably by inviting him to its own advisory committees or by encouraging his involvement in other projects in Rhône-Alpes Auvergne ("Key lever: Keep Y… busy," free translation: "Un levier essentiel : maintenir Y… occupé," reference 13996).  </w:t>
        <w:br/>
        <w:t xml:space="preserve">The "LBT" (or "Local Brand Team") meetings of July and September 2010  </w:t>
        <w:br/>
        <w:t xml:space="preserve">298. On July 1, 2010, an "LBT" (or "Local Brand Team") meeting was held within Novartis (references 4628 to 4630).  </w:t>
        <w:br/>
        <w:t xml:space="preserve">299. The minutes of this meeting show that on this occasion, Novartis decided to formalize a summary document of "objections/refutations" on the subject of the "off-label" use of Avastin and to organize training for the sales teams on this point ("sharing on the diagnosis of a need to formalize a summary document of the type 'objections/refutations' for internal Novartis use (…) Post-July organization of a training session with all KAM [‘Key account managers’ in charge of relations with hospital services] on the objections/refutations Avastin (…) Testing the document to be considered with the AMD board (in group or individually)," reference 4628).  </w:t>
        <w:br/>
        <w:t xml:space="preserve">300. This document also shows that Novartis decided to prepare a standard PowerPoint presentation on the differences between Avastin and Lucentis, for presentation to KOLs ("MSL slide kit for KOL presentation focused on the differences between Avastin and Lucentis (pharmacology, safety)," reference 4629). Novartis also decided to form a working group on the "legal and pharmaceutical responsibility" of practitioners using Avastin (reference 4629).  </w:t>
        <w:br/>
        <w:t xml:space="preserve">301. Finally, the meeting minutes indicate that Novartis representatives "could take a more proactive, but coordinated and targeted action on user centers or those close to switching or on centers that are part of the health authorities' influence halo" (reference 4629).  </w:t>
        <w:br/>
        <w:t xml:space="preserve">302. This distribution of roles and types of discourse was refined during another "LBT" meeting on September 22, 2010 (references 14850 to 14854). The minutes of this meeting show that the "objections/refutations" document was to be used only internally at headquarters, with the exception of the operational summary of the "Elevator Speech," which was to be provided to the sales forces during training sessions scheduled for September, December 2010, and January 2011 ("Document 'Objections/refutations'  internal use at headquarters. No field dissemination except for the executive summary 'Elevator Speech' (…) 'Elevator Speech' document provided during the September seminar + training. Communication and training planned for KAM [‘Key account managers’ in charge of relations with hospital services] in December 2010 / January 2011," reference 14850).  </w:t>
        <w:br/>
        <w:t xml:space="preserve">303. Regarding the "slides" on the safety differences between Avastin and Lucentis, these elements were to be presented to the Novartis AMD advisory board on October 17, 2010 ("presentation of the slide kit to the AMD board on 17/10 during the AAO [American Academy of Ophthalmology]," reference 14850).  </w:t>
        <w:br/>
        <w:t xml:space="preserve">The preparatory meeting for the "ophthalmology seminar" on July 1, 2010  </w:t>
        <w:br/>
        <w:t xml:space="preserve">304. On July 1, 2010, a preparatory meeting for the sales forces seminar of Novartis' ophthalmology franchise took place (references 15685, 15687 to 15688, and 45111).  </w:t>
        <w:br/>
        <w:t xml:space="preserve">305. The minutes of this meeting indicate that a training session, titled "Training Avastin," was planned for half a day. This exercise consisted of compiling all the "objections" from physicians on the subject and providing the medical delegates with arguments in response. Furthermore, throughout the seminar, agents from the communication and event organization agency engaged to organize the seminar could approach hospital delegates and customer relationship managers to "test" them on the responses to these objections. Employees from the PLB agency were also to be trained on the subject (references 45111 and 15687, "PLB agency facilitators could at any time during the week approach the DHs / CRCs to 'test' them on objection responses. It is therefore necessary to brief the agency on the questions/objections to raise and on the arguments").  </w:t>
        <w:br/>
        <w:t xml:space="preserve">The presentation of September 28, 2010  </w:t>
        <w:br/>
        <w:t>306. A presentation on September 28, 2010, titled "Addressing the challenge of unlicensed Avastin and H2H data release," contains again a comprehensive plan.</w:t>
      </w:r>
    </w:p>
    <w:p>
      <w:r>
        <w:rPr>
          <w:b/>
        </w:rPr>
        <w:t>[Pages 58–60]</w:t>
      </w:r>
    </w:p>
    <w:p>
      <w:r>
        <w:t xml:space="preserve">d’application de la stratégie vis-à-vis d’Avastin et de diffusion des messages définis en interne à l’ensemble des parties prenantes du secteur de la santé (reference 14038 to 14054).  </w:t>
        <w:br/>
        <w:t xml:space="preserve">307. More specifically, this document notably provides that the medical science liaisons ("MSL") were to contact the fifty most influential KOLs and provide them with Novartis's "key messages" regarding Avastin. These messages were also to be disseminated to the physicians most inclined towards Avastin ("selected Avastin lovers," reference 14045). The same slide emphasizes that these messages should be communicated very cautiously to patient associations and other influencers ("Very careful awareness to patient associations leaders and/or influencers from MSL," reference 14045). Finally, the document specifies that health authorities and payers should receive Novartis's "Elevator Speech."  </w:t>
        <w:br/>
        <w:t xml:space="preserve">308. This document also contains a complete mapping of the KOLs present in Novartis's advisory committees, based on their ability to relay the company's arguments (references 14046 to 14050):  </w:t>
        <w:br/>
        <w:t xml:space="preserve">The argumentation of medical representatives from September 2010  </w:t>
        <w:br/>
        <w:t xml:space="preserve">309. A document titled "Training Lucentis vs Avastin Region 93," communicated during an ophthalmology seminar held in September 2010, outlines the "key arguments Lucentis vs Avastin" (references 3472 and 3473). While this document specifies that it is for internal use only and should "under no circumstances" be given to physicians ("this document is reserved solely for the use of medical representatives and cannot under any circumstances be given to the medical profession," reference 3473), it nevertheless contains the speech to be delivered orally by the medical representatives.  </w:t>
        <w:br/>
        <w:t xml:space="preserve">310. These "key arguments" correspond to those contained in the aforementioned "Elevator speech," aiming to emphasize the scientific and regulatory uncertainty surrounding the use of Avastin in ophthalmology, contrasted with the certainties regarding the safety of Lucentis ("Avastin is different from Lucentis (...) The tolerance of Avastin is uncertain in ophthalmology (...) Avastin is not approved for AMD (...) Novartis is a partner by your side in ophthalmology," reference 3473).  </w:t>
        <w:br/>
        <w:t xml:space="preserve">311. The argumentation is based on conditional statements regarding adverse effects ("AE [adverse effects] probably very underestimated (off-label use) (...) Existence of specificities of Avastin that could explain certain AE [adverse effects] observed," reference 3473). It also highlights the insufficiency of comparative studies on the safety of Avastin to justify obtaining a MA for this product ("the ongoing H2H studies are insufficient for obtaining a MA; particularly because they will not provide a solid evaluation of the safety of Avastin in ophthalmology," reference 3473) and finally addresses medical liability in the event of Avastin use ("the physician's liability may be engaged in case of a problem," reference 3473).  </w:t>
        <w:br/>
        <w:t xml:space="preserve">d) Communication elements during the year 2011  </w:t>
        <w:br/>
        <w:t xml:space="preserve">The "Lucentis Defend plan" of April 2011  </w:t>
        <w:br/>
        <w:t xml:space="preserve">312. A presentation from April 2011, titled "Lucentis Defend vs Avastin – Lucentis Defend Plan," reiterates the elements of the strategy defined in September 2010 (references 14092 to 14123).  </w:t>
        <w:br/>
        <w:t xml:space="preserve">313. This presentation also provides further details, particularly regarding the expected behavior of the MSL group during advisory committee sessions and bilateral contacts with KOLs. They are thus asked to particularly emphasize safety issues, especially the risks of systemic adverse effects related to the use of Avastin, using the results of the Curtis study ("MSL communication. Safety focus (...) Serum concentration differences could suggest systemic AE [adverse effects]. CV Safety data from Curtis et Al.," reference 14105). Novartis planned to widely disseminate the results of this study, particularly through some already convinced KOLs, especially during advisory committees ("Curtis et al. publication will be leveraged through a dedicated action plan," reference 14106).  </w:t>
        <w:br/>
        <w:t xml:space="preserve">314. Finally, the presentation emphasizes even more strongly the need to remind of the legal risks in terms of medical liability for professionals using Avastin for the treatment of AMD, notably referencing the Mediator precedent ("Legal issues and physician liabilities regarding off-label prescriptions is also to be highlighted in a Mediator crisis context," reference 14110).  </w:t>
        <w:br/>
        <w:t xml:space="preserve">The "action plan in anticipation of the CATT study publication"  </w:t>
        <w:br/>
        <w:t xml:space="preserve">315. In an undated presentation titled "Avastin Vs Lucentis - Action plan in anticipation of the CATT study publication," Novartis revisits the communication strategy to adopt in the context of the imminent publication of the CATT study results (references 3104 to 3115).  </w:t>
        <w:br/>
        <w:t xml:space="preserve">316. The document indicates that Novartis was to receive the results of the CATT study on April 22, 2011, shortly before the ARVO congress scheduled for May 1 of the same year (reference 3105). Novartis was therefore to take advantage of this time to train all its teams, including those active in the region, and be ready to disseminate its message to practitioners, particularly the 50 main KOLs, as soon as the study was published (references 3106 and 3107).  </w:t>
        <w:br/>
        <w:t xml:space="preserve">317. Regarding the message to be disseminated, it remains centered around the key ideas of the "Elevator speech" (or "elevator pitch"), adapted based on recent elements, refocusing the discourse on the safety debate. More specifically, one of the messages to be disseminated is as follows: "CATT will prove nothing in terms of safety: the insufficient numbers in CATT do not allow for significant differences to be identified regarding the risk of rare adverse effects, such as cardiovascular events, between ranibizumab [Lucentis] and bevacizumab [Avastin]. Thus, an increased risk of thromboembolic events due to bevacizumab [Avastin], which would have consequences in 'real life,' cannot be demonstrated in CATT" (reference 3109). The document also revisits the issue of the practitioner's liability in the case of "off-label" prescriptions ("Off-label treatment: what is the practitioner's liability? Disciplinary liability (...) Civil liability (...) Criminal liability," reference 3113).  </w:t>
        <w:br/>
        <w:t xml:space="preserve">318. Finally, the presentation indicates that "the key studies of our defense strategy" particularly focus on the "Evaluation of plasma VEGF levels before and after injection of bevacizumab [Avastin]" and on the "Evaluation and comparison of plasma VEGF levels after injections of ranibizumab [Lucentis] and bevacizumab [Avastin]," thus centering the laboratory's argumentation on the link between VEGF concentration in the blood and the occurrence of systemic adverse effects (reference 3112).  </w:t>
        <w:br/>
        <w:t xml:space="preserve">The economic argument regarding the cost of Lucentis and Avastin  </w:t>
        <w:br/>
        <w:t xml:space="preserve">319. In an email dated May 11, 2011, the head of pricing and health economics at Novartis indicates that the KAMs, "Key account managers" responsible for relations with hospital services, received elements of discourse on the respective costs of Lucentis and Avastin (references 4209 and 4210).  </w:t>
        <w:br/>
        <w:t xml:space="preserve">320. These elements particularly concerned an assessment of the cost of serious adverse events that would be caused by Avastin. The author of the email emphasizes that it is not possible to estimate, even approximately, the cost of potential safety issues related to the use of Avastin in ophthalmology ("As for the costs of Avastin's safety, for now we cannot make an estimate, even 'roughly'," reference 4209). However, she proposes estimates corresponding to "orders of magnitude" of hospitalization costs.  </w:t>
        <w:br/>
        <w:t xml:space="preserve">The "regional tactical Market Access plan" for Île-de-France  </w:t>
        <w:br/>
        <w:t xml:space="preserve">321. A presentation titled "regional tactical Market Access plan," outlining Novartis's strategy for the Île-de-France region, on November 2, 2011, revisits the relationships with the teams of one of the "key centers," Hôtel-Dieu (reference 15691).  </w:t>
        <w:br/>
        <w:t xml:space="preserve">322. The document indicates that this hospital uses Avastin for hospitalized patients and in outpatient consultations ("use of Avastin for patients with AMD in inpatient + outpatient consultations (HDJ)," reference 15691). It recalls that, on May 9, 2011, the head of the pharmacy department of this establishment publicly took a position against Lucentis and that, on July 8, 2011, the Assistance Publique – Hôpitaux de Paris ("AP-HP") took a position in favor of the use of Avastin ("May 9, 2011: Pr A… (head of pharmacy department Hôtel-Dieu and President of the French Academy of Pharmacy) takes a position against Lucentis in the Figaro affair. July 11, 2011: APHP meeting on the interest of Lucentis vs Avastin (Just Prescription) → conclusions in favor of the use of Avastin in AMD," reference 15691).  </w:t>
        <w:br/>
        <w:t>323. Regarding this AP-HP meeting, a verbatim record from a meeting of the AFSSAPS MA commission on October 13, 2011, specifies that Dr. B…, vice-president of the MA commission, stated: "at the level of the Commission on Medicines and Sterile Medical Devices (COMEDIMS), which was seized by this issue at the level of the Assistance Publique - Hôpitaux de Paris (AP-HP), we considered (because we have another level of decision, other missions) that the pharmacies that repackaged Avastin and which, for example, for Hôtel-Dieu saved two million euros per year and which considered that they had the means to do it correctly, (as they have the means...</w:t>
      </w:r>
    </w:p>
    <w:p>
      <w:r>
        <w:rPr>
          <w:b/>
        </w:rPr>
        <w:t>[Pages 61–63]</w:t>
      </w:r>
    </w:p>
    <w:p>
      <w:r>
        <w:t>what we have another level of decision, other missions) than the pharmacies that repackaged Avastin and which, for example, for the Hôtel-Dieu, saved two million euros per year and considered that they had the means to do it correctly (as they have the means to prepare parenteral nutrition or chemotherapies), could prepare single doses of Avastin for ocular injection.</w:t>
      </w:r>
    </w:p>
    <w:p>
      <w:r>
        <w:t>324. In reaction to this set of elements, the strategy planned by Novartis is as follows: "Implementation of an isolation strategy via MSL/DRRIE to limit the impact beyond the establishment" (reference 15691).</w:t>
      </w:r>
    </w:p>
    <w:p>
      <w:r>
        <w:t xml:space="preserve">The regional Market Access tactical plan for Burgundy, Franche-Comté, Reunion Island, and Mayotte  </w:t>
        <w:br/>
        <w:t>325. In a presentation titled "Regional Market Access Tactical Plan," outlining Novartis's strategy for Burgundy, Franche-Comté, Reunion Island, and Mayotte, on November 3, 2011, it is indicated that the CHU of Besançon was still using "off-label" prescriptions at that time, competing with Lucentis.</w:t>
      </w:r>
    </w:p>
    <w:p>
      <w:r>
        <w:t>326. The document indicates that the result obtained at that time was the maintenance of Lucentis in the hospital pending the results of the GEFAL study (reference 15694).</w:t>
      </w:r>
    </w:p>
    <w:p>
      <w:r>
        <w:t xml:space="preserve">e) Communication elements during the year 2012  </w:t>
        <w:br/>
        <w:t xml:space="preserve">The meeting of the European teams of Novartis on January 24, 2012  </w:t>
        <w:br/>
        <w:t>327. On January 24, 2012, a meeting of the European teams of Novartis took place (reference 1559).</w:t>
      </w:r>
    </w:p>
    <w:p>
      <w:r>
        <w:t>328. The presentation related to this meeting shows that, for the French market, the Novartis group was concerned about the impact of the GEFAL study on the renegotiation of the price of Lucentis scheduled for the end of 2012 ("Local H2H study (GEFAL data release Q2/Q3): impact on 5-year price review in Q2/Q3," reference 45064).</w:t>
      </w:r>
    </w:p>
    <w:p>
      <w:r>
        <w:t>329. This presentation thus includes a response plan to the publication of the results one year after the IVAN study ("Novartis post-CATT reactions / IVAN plans (…) Novartis preparation are underway to develop internal/external IVAN study communications materials to ensure rapid response to the 1-yr [year] release," free translation: "Novartis reactions after the CATT study / IVAN (…) Novartis preparation is underway to develop internal/external communication materials on the IVAN study, to ensure a rapid response to the publication of the results one year," reference 1571). This plan included discussions with KOLs, health authorities, and patient associations ("IVAN / CATT 2 2y [year] communication plan will be similar to CATT 1y [year] with rapid communication to all stakeholders (…) Physicians/KOLs (…) Patient groups (…) Regulatory EU comm. [European Commission] (…) ", free translation: "The communication plan for IVAN/CATT 2 years will be similar to that of CATT 1 year, with rapid communication to all stakeholders (…) Physicians/KOL (…) Patient associations (…) Regulatory European Commission," reference 1572). For this, Novartis planned to update its argumentation ("Summary of Lucentis and Avastin high level messages," free translation: "Summary of high-level messages on Lucentis and Avastin," reference 1572), the structure of which remained the same, focused on the potential for more significant adverse effects with Avastin ("Safety concerns: there is an emerging body of evidence indicating that the risk of ATEs [adverse effects] may be higher with unlicensed Avastin compared to Lucentis," free translation: "Safety concerns: there is a body of evidence emerging indicating that the risks of adverse events could be higher with the 'off-label' use of Avastin compared to Lucentis," reference 1572) and the critique of the statistical relevance of ongoing comparative studies ("H2H not powered for safety; particularly for the rates of rare and life-threatening events," free translation: "The H2H [comparative] studies are not powered for safety; particularly for the rates of rare and life-threatening events," reference 1572), compared to the guarantees of Lucentis ("Lucentis Licensed (…) Designed for the eye (…) Lucentis has a well-characterized safety profile," free translation: "Lucentis is licensed (…) Designed for use in the eye (…) Lucentis has a well-established safety profile," reference 1572).</w:t>
      </w:r>
    </w:p>
    <w:p>
      <w:r>
        <w:t>330. In addition to the anticipated reaction to the comparative studies, the presentation shows that Novartis intended to use in its communication the likely future change by Roche of the SPC of Avastin ("leverage likely upcoming label change of Avastin in accounts / regions at risk," reference 1566). On this point, a specific presentation dated January 2012 – updated in February 2012 – details Novartis's strategy to exploit this development in its communication regarding the use of Avastin in ophthalmology (references 13764 to 13767). It particularly emphasizes that if Novartis does not develop any proactive communication on the subject, this could remain a "non-event" ("if no proactive information from Novartis this will be a non-event…," reference 13766). Conversely, overly broad communication could be counterproductive ("…but a large communication campaign has a high risk to be counterproductive for Novartis…," reference 13766). Consequently, the teams in charge of relations with health authorities recommend targeted communication, limited to advisory committees and bilateral meetings, implemented by the group's MSLs ("…so regulatory workstream team recommend a targeted communication to key stakeholders. Advisory board. Face to face meetings. MSLs (Defend vs. Avastin slides)," reference 13766).</w:t>
      </w:r>
    </w:p>
    <w:p>
      <w:r>
        <w:t xml:space="preserve">The conference call on January 31, 2012, and the "key messages" regarding Lucentis/Avastin  </w:t>
        <w:br/>
        <w:t>331. On January 31, 2012, a conference call involving individuals from the entire Novartis group involved in the marketing of Lucentis took place (reference 1554). One of the themes of this conference call was the fight against the "off-label" use of Avastin in ophthalmology ("Minimize the unlicensed use of Avastin in the eye," reference 1557).</w:t>
      </w:r>
    </w:p>
    <w:p>
      <w:r>
        <w:t>332. At that time, the Novartis group continued to focus its action against the use of Avastin in ophthalmology, emphasizing safety issues. It was thus planned to promote a greater number of publications raising the "safety concern story" ("achieve higher number of publications raising ‘safety concern story’," reference 1557), to develop a communication plan for the publication of results two years after the CATT study ("develop a communication plan for the wave 2 H2H data (IVAN, CATT2, etc.) based on the learnings of the CATT 1 roll-out," reference 1557), or to draft a one-page document for health authorities ("develop 1 pager statement focusing on Avastin safety issues to patients vs Lucentis certainty and value," reference 1557).</w:t>
      </w:r>
    </w:p>
    <w:p>
      <w:r>
        <w:t>333. This last document, titled "Lucentis/Avastin - Key Messages," was drafted by incorporating the key messages already present in the strategy developed by Novartis in previous years. This text notably states that "ongoing or upcoming comparative studies are not sufficient for obtaining a MA," that "published retrospective studies (Curtis, Gower) report signals regarding the tolerance of Avastin," or that "the results of the CATT study at 2 years confirm very serious doubts about the tolerance of Avastin in ophthalmology" (reference 1577). The document concludes that "patients treated with Avastin are injected in the eye with a product that does not have a MA for this purpose while there are validated alternatives by the authorities" (reference 1577).</w:t>
      </w:r>
    </w:p>
    <w:p>
      <w:r>
        <w:t xml:space="preserve">The "Counter Avastin Materials"  </w:t>
        <w:br/>
        <w:t>334. In an email dated February 17, 2012, the Novartis headquarters sent the "Lucentis FIT" group a document titled "Counter Avastin Materials" (references 2562 to 2572).</w:t>
      </w:r>
    </w:p>
    <w:p>
      <w:r>
        <w:t>335. This document contains the arguments to be used by Novartis employees to address the publication of the results two years after CATT, as well as those from other ongoing studies (IVAN and GEFAL) ("Counter-Avastin Materials. Preparing for 2yr [year] CATT &amp; Similar studies (IVAN, GEFAL, etc.)," reference 2565).</w:t>
      </w:r>
    </w:p>
    <w:p>
      <w:r>
        <w:t>336. The actions to be implemented, on the one hand, by the Swiss headquarters of Novartis, and on the other hand, by the regional and national subsidiaries of the group, are outlined in a summary table (reference 2567).</w:t>
      </w:r>
    </w:p>
    <w:p>
      <w:r>
        <w:t>337. One of the approaches considered is, again, to emphasize issues related to the safety profile of Avastin. The Novartis headquarters was therefore to provide its subsidiaries with information on the Gower study and other publications addressing this subject, prepare the group's position on the results of CATT at two years, and provide elements on the change of the SPC of Avastin ("Global (…) Gower publication, Avastin safety publications (…), Preparation and pre-position of CATT 2yrs [years] and IVAN results (…) Avastin label change (systemic ocular AEs [adverse effects]," reference 2567).</w:t>
      </w:r>
    </w:p>
    <w:p>
      <w:r>
        <w:t>338. The regional and national subsidiaries were to actively communicate on the safety data of Avastin and also on the CATT and IVAN studies. They were to locally recruit professionals in favor of the group's argumentation, support the publication of retrospective data on Avastin, and contact local KOLs to generate publications and a strong scientific presence ("Regional &amp; CPO (…) Active communication of Avastin safety data. Proactive positioning of CATT and IVAN results (…) Local engagement with KOLs to generate publications and scientific presence," reference 2567).</w:t>
      </w:r>
    </w:p>
    <w:p>
      <w:r>
        <w:t xml:space="preserve">The update of the "Elevator Speech" and the document "CATT: key messages"  </w:t>
        <w:br/>
        <w:t>339. Novartis then updated its document titled "Elevator speech," which contains the synthesized version of the company's argumentation on the safety of Avastin, to include data from the one-year results of CATT (reference 3102).</w:t>
      </w:r>
    </w:p>
    <w:p>
      <w:r>
        <w:t>340. The document notably states that "the CATT study, conducted on 1,208 patients, indicates a 29% increase in the risk of serious systemic events requiring hospitalization with Avastin compared to Lucentis." It continues by stating that "these tolerance discrepancies are likely related to differences in molecular structure and to a greater systemic exposure under Avastin."</w:t>
      </w:r>
    </w:p>
    <w:p>
      <w:r>
        <w:t>341. An additional document, titled "CATT, Key Messages," prepared by Novartis, specifically addresses the results of the CATT study at one year (reference 3103).</w:t>
      </w:r>
    </w:p>
    <w:p>
      <w:r>
        <w:t>342. This document states that "In the CATT study, a greater number of deaths and a statistically significant increase in the risk of serious systemic events requiring hospitalization were observed with Avastin compared to Lucentis (29% additional risk with Avastin for serious systemic events. This signal in terms of tolerance is consistent with the overall results obtained in previous clinical studies, notably the large Medicare analyses, indicating that the risks of mortality and stroke are higher with Avastin compared to Lucentis. The tolerance discrepancies observed in CATT between Avastin and Lucentis are</w:t>
      </w:r>
    </w:p>
    <w:p>
      <w:r>
        <w:rPr>
          <w:b/>
        </w:rPr>
        <w:t>[Pages 64–66]</w:t>
      </w:r>
    </w:p>
    <w:p>
      <w:r>
        <w:t xml:space="preserve">probably related to the differences in molecular structure and systemic exposure resulting from intravitreal injections."  </w:t>
        <w:br/>
        <w:t xml:space="preserve">343. In these two documents, Novartis emphasizes the increased risk of systemic side effects that would be associated with the use of Avastin, linking the existence of these effects to the differences in molecular structure between Avastin and Lucentis.  </w:t>
        <w:br/>
        <w:t xml:space="preserve">The document "Integrated Product Strategy (IPS) 2013 – Lucentis"  </w:t>
        <w:br/>
        <w:t xml:space="preserve">344. In a document titled "Integrated Product Strategy (IPS) 2013 – Lucentis," dated June 2012, Novartis details the actions planned to counter the effects of the publication of comparative studies in France (references 4483 to 4543).  </w:t>
        <w:br/>
        <w:t xml:space="preserve">345. More specifically, Novartis plans to communicate its position to health authorities ("Novartis position statement to Health Authorities," reference 4494), implement a communication plan directed at KOLs, prescribers, and the general public ("Roll-out communication plan to the general public, KOL, prescriber and internal," reference 4494), monitor each partnership with patient associations, and establish media training sessions ("mapping of each partnerships w/patients/HCP associations + media training," reference 4494), with the objective of discrediting the practice of "off-label" prescription, in preparation for the anticipated impact of the GEFAL study ("Discard off-label use. Be ready to handle GEFAL impact if needed," reference 4494; see also reference 4521).  </w:t>
        <w:br/>
        <w:t xml:space="preserve">The "MAREG Franche-Comté" meeting of June 29, 2012  </w:t>
        <w:br/>
        <w:t xml:space="preserve">346. A presentation prepared for a "MAREG29" meeting for Franche-Comté, on June 29, 2012, details Novartis's actions in this region at that time (references 15696 to 15700).  </w:t>
        <w:br/>
        <w:t xml:space="preserve">347. For Novartis's Ophthalmology franchise, two hospital centers are targeted: the CHU of Besançon and the hospital center of Vesoul.  </w:t>
        <w:br/>
        <w:t xml:space="preserve">348. For the CHU of Besançon, the stated objective is to "transfer the units of Avastin used in these indications to units of Lucentis" (reference 15699). Indeed, at that time, Avastin was widely used for indications other than AMD, and Lucentis was in the process of obtaining two new indications (DME and RVO). To ensure this transfer, it was notably planned that Novartis's MSL would present the group's messages on the two-year results of CATT ("Consolidate the opinion of physicians and the pharmacy service; Lucentis different from Avastin with superior safety," reference 15700).  </w:t>
        <w:br/>
        <w:t xml:space="preserve">349. For the hospital center of Vesoul, the objective was to "oppose the referencing of AVASTIN in ophthalmology for indications DME and RVO" (reference 15699). To achieve this, Novartis employees were to intervene in the COMEDIMs (Commissions on medication and medical provisions) of the establishment and present the group's messages on the two-year results of CATT (reference 15699).  </w:t>
        <w:br/>
        <w:t xml:space="preserve">The "MAREG Bourgogne" meeting of July 3, 2012  </w:t>
        <w:br/>
        <w:t xml:space="preserve">350. A presentation prepared for a "MAREG" meeting for Bourgogne, on July 3, 2012, details Novartis's actions in this region at that time (references 15704 to 15707).  </w:t>
        <w:br/>
        <w:t xml:space="preserve">351. Regarding the CHU of Dijon, the stated objective is as follows: "Increase the consumption of Lucentis in the new indications now reimbursed. DME very present in the hospital. Transfer the units of Avastin used in these indications to units of Lucentis" (reference 15706).  </w:t>
        <w:br/>
        <w:t xml:space="preserve">352. To achieve this objective, it is notably planned to develop links with the hospital pharmacy and to "Consolidate the opinion of physicians and the pharmacy service; Lucentis different from Avastin with superior safety. Good use of medication contract. Vigilance PHMEV [hospital prescriptions of medications dispensed in the community]" (reference 15707).  </w:t>
        <w:br/>
        <w:t xml:space="preserve">353. Novartis also plans to "have local private/public alternatives to the CHU of Dijon to strengthen Lucentis" (reference 15706).  </w:t>
        <w:br/>
        <w:t xml:space="preserve">The implementation of the "Avastin Action Plan" in September 2012  </w:t>
        <w:br/>
        <w:t xml:space="preserve">354. An internal email dated September 12, 2012, revisits the implementation of Novartis's plan regarding KOLs in the region, as outlined in the aforementioned "Integrated Product Strategy (IPS) 2013 – Lucentis" document (references 15017 to 15019).  </w:t>
        <w:br/>
        <w:t xml:space="preserve">355. At that date, 22 KOLs were listed in the departments of Essonne, Hauts-de-Seine, Seine-St-Denis, and Val-de-Marne, with Novartis planning to contact them to carry out the following actions: "Evaluation by the DH (or MSL if opportunity) of the level of knowledge these physicians have of the safety data obtained from Avastin when used in the treatment of AMD =&gt; Deadline mid-October. Presentation by the MSL, upon request, of the available data, particularly on safety =&gt; asap post request" (references 15017 and 150818).  </w:t>
        <w:br/>
        <w:t xml:space="preserve">356. Thus, Novartis's method of approaching KOLs on the subject of Avastin's use in ophthalmology consisted of not directly disseminating a discourse questioning Avastin's safety, but rather provoking discussion by questioning the healthcare professional about their level of knowledge on the subject, and then providing the company's arguments when the individual requested them.  </w:t>
        <w:br/>
        <w:t xml:space="preserve">357. An internal email at Novartis dated December 10, 2012, shows that this action plan was still ongoing at that date ("Dear all, I propose we take stock of the progress of the Avastin action plan (targeted physicians by DR/MSL)," reference 15021).  </w:t>
        <w:br/>
        <w:t xml:space="preserve">The "LBT" (or "Local Brand Team") meeting of December 2012  </w:t>
        <w:br/>
        <w:t xml:space="preserve">358. A document titled "LBT [Local Brand Team] Lucentis – Main issues 2012-2017," dated December 2012, provides a summary description of the action plan updated by Novartis (references 3045 to 3054).  </w:t>
        <w:br/>
        <w:t xml:space="preserve">359. The objective stated by Novartis in this document is to respond to the threat posed by Avastin, particularly by creating, for payers, an environment in which "off-label" products are not comparators ("Objective &amp; Deliverable (…) Manage Avastin threat and reposition it as an unjustified and illegal comparator for pricing negotiation. An action plan involving has been set to create for payors an environment where unlicensed products are not comparators," free translation: "Objectives and Results (…) Manage the Avastin threat and reposition it as an illegal and unjustified comparator for price negotiation. An action plan has been established to create for payers an environment in which unlicensed products are not comparators," reference 3048).  </w:t>
        <w:br/>
        <w:t xml:space="preserve">360. The actions implemented included meetings with health authorities regarding the reimbursement of Lucentis for indications in DME ("diabetic macular edema") and RVO ("retinal vein occlusions"), a communication plan directed at the 83 main KOLs, a long-term communication plan aimed at journalists, particularly to anticipate the publication of GEFAL results, the publication of a statement by the Retina France association, and a communication plan directed at physicians and pharmacists (reference 3048).  </w:t>
        <w:br/>
        <w:t xml:space="preserve">The report of the director of the Ophthalmology franchise of Novartis for the year 2012  </w:t>
        <w:br/>
        <w:t xml:space="preserve">361. In a report written by the director of the Ophthalmology franchise for his individual evaluation for the year 2012, the management of the publication of the two-year results of the CATT study is indicated as an objective ("CATT 2 years results management," reference 45127).  </w:t>
        <w:br/>
        <w:t xml:space="preserve">362. Furthermore, among the satisfactory results mentioned in this document, it is noted that 50% of retina specialists consider that the safety of Avastin is inferior to that of Lucentis ("50% of RS [retina specialists] considering Avastin safety is inferior to Lucentis," reference 45128), the establishment of partnerships with stakeholders involved in GEFAL ("partnership built with Gefal stakeholders," reference 45128), or the fact that no opinion leader, nor any association of practitioners or patients, has publicly expressed support for Avastin, except for Hôtel-Dieu ("no public pro Avastin position by key physicians / physicians associations / patient associations except Hotel Dieu (post CATT 2 or post DGS letter)," reference 45128).  </w:t>
        <w:br/>
        <w:t xml:space="preserve">363. On the other hand, the report notes that communication management regarding the legislative reform of RTUs must continue, despite a disappointing outcome ("Management of the RTU law advocacy despite disappointing outcome," reference 45128).  </w:t>
        <w:br/>
        <w:t xml:space="preserve">f) Communication elements during the year 2013  </w:t>
        <w:br/>
        <w:t xml:space="preserve">The document "Lucentis 2013 draft IPS"  </w:t>
        <w:br/>
        <w:t xml:space="preserve">364. A document titled "Lucentis 2013 draft IPS" specifies the overall strategy of the Novartis group regarding Lucentis (references 822 to 830).  </w:t>
        <w:br/>
        <w:t xml:space="preserve">365. This document indicates that the "off-label" use of Avastin remains a significant challenge for Novartis ("However, the challenge from unlicensed intravitreal Avastin remains and is likely to be exacerbated by further H2H data release in 2013/14," free translation: "However, the challenge of off-label use of Avastin intravitreally remains and will undoubtedly be exacerbated by new releases of comparative study data in 2013/2014," reference 827).  </w:t>
        <w:br/>
        <w:t xml:space="preserve">366. The Novartis group thus plans to continue conveying messages about the risks of using Avastin in terms of safety ("Medical affairs: Reinforce Lucentis as standard of care in wet AMD and continue driving messages of Avastin safety risks," reference 828), particularly revisiting comparative studies ("effective communication of emerging Avastin safety risks and methodological issues of H2H trials through internal (…) and external communication," reference 828).  </w:t>
        <w:br/>
        <w:t>367. In general, national subsidiary teams are asked to continue disseminating the group's message about the adverse effects of Avastin, ensuring the widest possible geographical coverage, notably through the funding of articles.</w:t>
      </w:r>
    </w:p>
    <w:p>
      <w:r>
        <w:rPr>
          <w:b/>
        </w:rPr>
        <w:t>[Pages 67–69]</w:t>
      </w:r>
    </w:p>
    <w:p>
      <w:r>
        <w:t xml:space="preserve">reviewing comparative studies and a presence at congresses and symposiums (reference 828). In this regard, it is indicated that France was at that time one of the countries most at risk from Novartis's perspective ("Focus support on large high risk countries e.g. France, Germany," reference 828).  </w:t>
        <w:br/>
        <w:t xml:space="preserve">The "GEFAL Action Plan – PAG [Gefal Action Plan]"  </w:t>
        <w:br/>
        <w:t xml:space="preserve">368. An internal email from Novartis dated February 19, 2013, and the attached minutes, show that a meeting was held on February 18, 2013, within Novartis to prepare a "GEFAL Action Plan – PAG [Gefal Action Plan]" (references 15823 to 15826).  </w:t>
        <w:br/>
        <w:t xml:space="preserve">369. This document outlines a comprehensive set of actions related to the upcoming publication of the GEFAL study results. First, Novartis plans to update, in light of recent data on the GEFAL study and the RTU project, the documents containing its arguments regarding the use of Avastin in ophthalmology ("key messages" and "Q&amp;A," reference 15825). Next, Novartis teams are to be progressively trained—from the executive committee to the field sales forces—to enable them to respond to questions that may arise following the publication of GEFAL. It is also planned that Novartis employees present at the 2013 ARVO congress will receive specific training ("Internal communication: 'train to be ready for reactive answers' (...) executive committee (...) Field: seminar training March: GEFAL design + reminder CATT-IVAN 1; Key messages with GEFAL results and IVAN year 2 (...). Validation of what can be disseminated," reference 15825).  </w:t>
        <w:br/>
        <w:t xml:space="preserve">370. Regarding external communication actions, the minutes specify that two advisory committees will be organized (one during the ARVO congress, the other immediately after), that 17 KOLs to be contacted have been identified, and that the French Society of Ophthalmology, the National Union of Ophthalmologists of France, and the patient association Retina France will be approached. Concerning journalists, the minutes specify that Novartis messages should only be disseminated in a "reactive" manner (reference 15826).  </w:t>
        <w:br/>
        <w:t xml:space="preserve">371. Finally, the minutes provide that the Novartis headquarters will be kept informed ("Global communication to Novartis: presentation ¾ slides with overall vision (...) brief TVM on various actions (...)," reference 15826).  </w:t>
        <w:br/>
        <w:t xml:space="preserve">The document "Key Messages Lucentis/Avastin" updated in March 2013  </w:t>
        <w:br/>
        <w:t xml:space="preserve">372. In an internal email dated March 11, 2013, Novartis revisits the "GEFAL publication action plan," aimed at training sales teams in response to the upcoming publication of the GEFAL study results (references 2980 to 2983).  </w:t>
        <w:br/>
        <w:t xml:space="preserve">373. In particular, Novartis updated a document of "Key Messages Lucentis / Avastin" intended to be distributed to medical visitors, regional directors, and employees at the company's headquarters (reference 2982). This document again emphasizes the risks associated with the splitting and repackaging necessary for the use of Avastin in the eye, the uncertainties that remain regarding the tolerance of Avastin, and finally that the GEFAL study was not designed to definitively resolve the uncertainties regarding the tolerance of Avastin. The document concludes by stating that there are validated alternatives by the authorities to ensure patient safety (reference 2983).  </w:t>
        <w:br/>
        <w:t xml:space="preserve">374. Furthermore, the issue of combating the "off-label" use of Avastin is part of the program of the "Ophta" seminar organized by Novartis in March 2013, during which workshops on "GEFAL" or "Off-label Studies" are planned (reference 4743).  </w:t>
        <w:br/>
        <w:t xml:space="preserve">The presentation dated April 10, 2013  </w:t>
        <w:br/>
        <w:t xml:space="preserve">375. In a presentation dated April 10, 2013, Novartis updates its action plan (reference 45146).  </w:t>
        <w:br/>
        <w:t xml:space="preserve">376. In this document, Novartis considers implementing a number of actions to secure the market access conditions for Lucentis ("Secure Lucentis market access conditions. Despite GEFAL and new RTU law, no compromise will be accepted regarding patient safety and Novartis rights," free translation: "Despite the GEFAL study and the new RTU law, no compromise will be accepted regarding patient safety and Novartis rights," reference 45146). More specifically, the action plan is based on three ideas: (i) "make no compromise on patient safety" with respect to health authorities, which notably involves disseminating to these authorities and to LEEM the "key messages from the group" or preparing a litigation strategy before the European Commission and national courts ("Be without compromise on Patient Safety and Novartis rights with Health Authorities (...) build &amp; disseminate 'one page key messages' on Novartis position to HA [health authorities] and LEEM [Les Entreprises du médicament]. Legal complaint at EU (...)," reference 45146), (ii) "be focused on patient safety" with respect to physicians and patient associations, particularly by training sales teams on the subject and disseminating the group's message to KOLs ("Be focused on patient safety with HCPs &amp; Patient associations (...) Top KOL management by BU head (...) Detailed Q&amp;A for FLM (...)," reference 45146); and (iii) proceed cautiously with the media and the general public, meaning notably avoiding any proactive communication, except for Novartis's press release in response to the publication of the GEFAL study results ("Be soft with Media &amp; General public. NO proactive communication except post GEFAL Novartis statement," reference 45146).  </w:t>
        <w:br/>
        <w:t xml:space="preserve">The presentation "Lucentis H2H Action Plan" from April 2013  </w:t>
        <w:br/>
        <w:t xml:space="preserve">377. A presentation titled "Lucentis H2H Action Plan," dated April 2013, confirms the strategy pursued by the Novartis group regarding the competition from Avastin in ophthalmology (see notably references 14837 to 14848).  </w:t>
        <w:br/>
        <w:t xml:space="preserve">378. Specifically regarding France, Novartis anticipates a risk of patients moving from private practices to hospitals, where the use of Avastin may occur within the framework of an RTU ("Despite Avastin safety concerns, advocates exist in many markets. (...) France. Risk that treatment of patient will move from private practice (currently 85% volume) to public hospitals where TRUs can be implemented," free translation: "Despite concerns regarding the safety of Avastin, there are advocates in several markets (...) France. Risk that the treatment of patients will no longer be provided in private practices (currently 85% of volumes) but in public hospitals where the RTU may be implemented," reference 14833), which could impact payers ("Potential impact: National level pricing pressure. Risk of spill over to other markets," free translation: "Potential impact: pricing pressure at the national level. Risk of spillover to other markets," reference 14833).  </w:t>
        <w:br/>
        <w:t xml:space="preserve">379. Furthermore, this presentation emphasizes the serious side effects identified in the CATT and IVAN studies: "Pooled GATT &amp; IVAN study showed significant increase in serious adverse events," reference 14841).  </w:t>
        <w:br/>
        <w:t xml:space="preserve">The email exchange from April 2013 and the "GEFAL action plan for ophthalmologists"  </w:t>
        <w:br/>
        <w:t xml:space="preserve">380. An internal email exchange at Novartis dated April 2013 and the attached presentation (references 15709 to 15711; references 15712 to 15754) show that specific training on the group's response to comparative studies between Lucentis and Avastin was planned for the upcoming seminar for regional directors.  </w:t>
        <w:br/>
        <w:t xml:space="preserve">381. Regarding communication to healthcare professionals, the presentation emphasizes the importance of focusing on tolerance issues ("Our communication to healthcare professionals. 'Focus on tolerance.' Same line of conduct as in previous years: 1. no proactive communication 2. Focus on tolerance: -same key messages: 'Differentiate the two molecules' – update in May with GEFAL" (reference 15718).  </w:t>
        <w:br/>
        <w:t xml:space="preserve">382. Furthermore, a "GEFAL action plan for ophthalmologists," with a "focus on tolerance," was planned (reference 15722). This plan essentially involved intensive training of all sales teams in contact with professionals in the sector to enable them to respond to all objections regarding the results of GEFAL.  </w:t>
        <w:br/>
        <w:t xml:space="preserve">The document "ARVO 2013 Global activity guide" from May 2013  </w:t>
        <w:br/>
        <w:t xml:space="preserve">383. A document titled "ARVO 2013 Global activity guide," from May 2013, presents the entire action program planned by Novartis at the time of the 2013 ARVO congress, during which the results of the GEFAL study were to be presented (references 15797 to 15821).  </w:t>
        <w:br/>
        <w:t xml:space="preserve">384. This program notably includes, on May 7, a "Joint Management Meeting" with Genentech (reference 15807) and a "Scientific experts forum," during which many physicians, including 12 French ones, were invited (references 15807 and 15816).  </w:t>
        <w:br/>
        <w:t xml:space="preserve">385. On May 8, a "Media webcast" is planned. Novartis intends to publish a press release on the two-year results of the IVAN study (reference 15807). The program for this "Media webcast," prepared by Novartis, indicates that the objectives of this event were to provide the media with an update on the latest data regarding Lucentis, notably through a presentation of the GEFAL and IVAN studies, to continue to differentiate Lucentis and Avastin in the treatment of AMD ("Provide media with an update of the latest Lucentis data 'live' from the congress: - Present and contextualize the GEFAL and IVAN head-to-head studies, to continue to clearly differentiate Lucentis vs Avastin in the treatment of wet AMD and proactively manage reporting around this topic - Communicate existing body of safety data from other key studies to strongly position Lucentis vs newcomer drug aflibercept," reference 15818).  </w:t>
        <w:br/>
        <w:t xml:space="preserve">386. On May 9, Novartis plans to publish a press release on all the results of the ARVO congress. A dinner with invited consultants as part of the ACUITY program is organized, followed the next day by an ACUITY advisory committee. Finally, a Twitter campaign was planned throughout the congress (references 15807 and 15817).  </w:t>
        <w:br/>
        <w:t xml:space="preserve">The program of Novartis teams during the ARVO congress  </w:t>
        <w:br/>
        <w:t xml:space="preserve">387. A program titled "ARVO 2013 Program Schedule," established by Novartis for the 2013 ARVO congress, shows that specific activities were planned by the French teams of the group (references 15830 to 15841).  </w:t>
        <w:br/>
        <w:t>388. For example, on May 7, Novartis organizes a dinner for invited French ophthalmologists, themed: "Differences between the various anti-VEGF with the intervention of international KOLs" (reference 15837). On May 8, a DMLA advisory committee ("Board") is organized, with 11 French KOLs (reference 15839).</w:t>
      </w:r>
    </w:p>
    <w:p>
      <w:r>
        <w:rPr>
          <w:b/>
        </w:rPr>
        <w:t>[Pages 70–72]</w:t>
      </w:r>
    </w:p>
    <w:p>
      <w:r>
        <w:t xml:space="preserve">The minutes of the national advisory committee of May 8, 2013  </w:t>
        <w:br/>
        <w:t xml:space="preserve">389. On May 8, 2013, the advisory committee took place in Seattle, just after the publication of the GEFAL results at the ARVO congress (references 15001 to 15003).  </w:t>
        <w:br/>
        <w:t xml:space="preserve">390. During this meeting, the committee analyzed the GEFAL results in detail. The minutes indicate on this point: "Safety: no significant difference between the arms [i.e., the entire group of patients receiving the same treatment] - no new alert signal; caution study not sized to highlight rare AEs [adverse events] - Caution: 1 vial/patient to prevent the risk of endophthalmitis" (reference 15001) and "Positioning of members on this study: success of this French study - difficult to comment on safety on these studies not sized to highlight AEs [adverse effects] - a safety study would be necessary" (reference 15002).  </w:t>
        <w:br/>
        <w:t>391. In the context of this discussion, the members present also advised Novartis on its follow-up communication: "Advice from members: prepare safety data for Avastin in international studies - emphasize '1 vial per patient' in GEFAL - recall the importance of studies showing the reduction of legal blindness [i.e., the level of visual impairment that defines a blind person] due to anti-VEGF in AMD (type Denmark study)" (reference 15003).</w:t>
      </w:r>
    </w:p>
    <w:p>
      <w:r>
        <w:t xml:space="preserve">The Novartis press release of May 14, 2013  </w:t>
        <w:br/>
        <w:t xml:space="preserve">392. On May 14, 2013, one week after the publication of the GEFAL study results, Novartis issued a press release intended for the medical and general public (references 14997 and 14998, reference 2985).  </w:t>
        <w:br/>
        <w:t xml:space="preserve">393. An internal email exchange (references 2988 to 2990) particularly shows that Novartis executives made the deliberate choice not to mention the study results in their communication and to only mention its methodological limitations ("I have comments (...) - methodological quality (...) - rigor of French clinical research - I would not repeat the result: I would say: the study concludes non-inferiority on one of the evolution criteria, without addressing other criteria," reference 2988).  </w:t>
        <w:br/>
        <w:t xml:space="preserve">394. The final press release drafted reiterates Novartis's usual criticisms regarding the sizing of comparative studies in relation to the detection of side effects and states that the meta-analysis of the CATT, IVAN, GEFAL, and MANTA studies confirms "a higher risk of serious adverse events under bevacizumab [Avastin] compared to ranibizumab [Lucentis]" (reference 2985). Novartis continues by stating that "only studies on larger populations and over a longer term could dispel the doubt surrounding the side effects of bevacizumab [Avastin] injected into the eye - effects that could be exacerbated in routine practice given the lack of appropriate presentation for the eye" (reference 2985).  </w:t>
        <w:br/>
        <w:t>395. This press release was disseminated to all medical and pharmaceutical press, both general and specialized, to public news agencies, including health and senior press, as evidenced by the internal Novartis email of May 14, 2013: "The Novartis press release has just been sent to the agency and will be distributed this evening to the medical press (MG, Pharmacist, Ophthalmology, Oncology, diabetes, endocrinology) as well as to public news agencies (National daily press, weekly health press, senior press, radio and TV)" (reference 2978). It was indeed picked up in several publications aimed at ophthalmologists, as evidenced by the internal Novartis email of June 13, 2013: "Please find attached a new coverage of the GEFAL press release published in the latest Practices in Ophthalmology" (references 15843 to 15844).</w:t>
      </w:r>
    </w:p>
    <w:p>
      <w:r>
        <w:t xml:space="preserve">The minutes of the national advisory committee of May 22, 2013  </w:t>
        <w:br/>
        <w:t xml:space="preserve">396. In the context of the minutes of the national AMD advisory committee of May 22, 2013, Novartis included the press release cited above (references 14997 and 14998).  </w:t>
        <w:br/>
        <w:t>397. The minutes add that "It was also recalled that the implementing decree of the RTU has still not been published" (reference 14998).</w:t>
      </w:r>
    </w:p>
    <w:p>
      <w:r>
        <w:t xml:space="preserve">The document "Integrated Product Strategy (IPS) 2014 Lucentis / Ophthalmology" of June 2013  </w:t>
        <w:br/>
        <w:t xml:space="preserve">398. In a presentation on June 4, 2013, Novartis updated its strategy after the publication of the GEFAL results (references 3005 to 3044). Novartis notably emphasizes the risk that health authorities grant an RTU to Avastin, given the adoption in December 2012 of the "economic RTU" ("Secure Lucentis market access conditions &amp; manage the risk of Avastin official endorsement in wAMD by HA (...) Economic RTU voted in December 12 (...) Legal complaint at EU (w/ global team) and national levels," free translation: "Secure the market access conditions for Lucentis and manage the risk that Avastin is officially regulated in the treatment of AMD by health authorities (...) Economic RTU voted in December 2012 (...) Legal challenge at the European (with the headquarters team) and national levels," reference 3041).  </w:t>
        <w:br/>
        <w:t xml:space="preserve">399. In this document, Novartis notes the finding of non-inferiority and the absence of difference in terms of safety of Avastin compared to Lucentis ("Press: Communication on Avastin equivalence on efficacy and safety vs Lucentis," reference 3041).  </w:t>
        <w:br/>
        <w:t>400. Furthermore, Novartis considers the case where an RTU would be adopted for Avastin for the treatment of AMD, highlighting that the main risk of transitioning from the use of Lucentis to that of Avastin concerned the hospital sector, which represented 25% of treated patients. In financial terms, the overall risk of loss is estimated at 15 million US dollars ("Impact'14 as of Q3'14 -&gt;-32k units -$15m net sales vs Lucentis B'14," reference 3041).</w:t>
      </w:r>
    </w:p>
    <w:p>
      <w:r>
        <w:t xml:space="preserve">The "Questions-Answers Avastin / Lucentis" of June 2013  </w:t>
        <w:br/>
        <w:t xml:space="preserve">401. A "Questions / Answers" document on the subject of Avastin / Lucentis, from June 2013, provides the complete speech of Novartis, updated after the publication of the GEFAL study results (references 2510 to 2524).  </w:t>
        <w:br/>
        <w:t xml:space="preserve">402. This document specifies that it is reserved for the use of Novartis regional directors to respond to questions that may be raised by healthcare professionals ("Internal document exclusively reserved for the use of Novartis SAS regional directors. No external dissemination or use," reference 2510).  </w:t>
        <w:br/>
        <w:t xml:space="preserve">403. One of the recent additions ("New") concerns the response to the following assertion: "Today, with the additional French GEFAL study, there is sufficient evidence to use Avastin with complete peace of mind in AMD" (reference 2515). The response prepared by Novartis essentially reiterates the content of its press release of May 14, 2013. It particularly emphasizes that "Like CATT (1206 patients) and IVAN (610 patients), the GEFAL study does not provide sufficient evidence to conclude on the safety profile of Avastin in AMD." It returns to the fact that "the meta-analysis including CATT, IVAN, GEFAL at 1 year shows a 34% increased risk of serious systemic effects with the use of Avastin." It concludes that "To date, it is impossible to answer the question of the health safety of patients with exudative AMD who would receive Avastin injected into the eye," while recalling the existence of a drug authorized for this indication ("There is an alternative with an MA in AMD: Lucentis, whose benefit/risk ratio is clearly established," reference 2515).  </w:t>
        <w:br/>
        <w:t xml:space="preserve">404. The "Questions / Answers" document also contains numerous arguments regarding the risk in terms of civil, criminal, and disciplinary liability for a physician who prescribes Avastin, while there is a therapeutic alternative with an MA ("the physician incurs civil, criminal, and disciplinary liability if he exposes the patient to an unjustified risk while there is a therapeutic alternative with an MA for this indication," reference 2512; see also reference 2519).  </w:t>
        <w:br/>
        <w:t>405. Finally, this document revisits, in a section titled "detailed argument," the ongoing projects for "economic RTU" at the time, to respond to the assertion "Today, with the additional French GEFAL study, Avastin will obtain an RTU in AMD." The response prepared by Novartis notably indicates that this "economic RTU" project would be "A contradictory measure with the expectations of society expressed very strongly during the recent health scandals," highlighting the context of the Mediator and third-generation pill affairs, as well as the risk of implicating the responsibility of public authorities and physicians (reference 2523).</w:t>
      </w:r>
    </w:p>
    <w:p>
      <w:r>
        <w:t xml:space="preserve">The report of the director of the Ophthalmology franchise of Novartis for the year 2013  </w:t>
        <w:br/>
        <w:t xml:space="preserve">406. In a report written by the director of the Ophthalmology franchise for his individual evaluation for the year 2013 (references 45125 and 45126), the management of the Government's "economic RTU" projects and the publication of the GEFAL results are indicated as main objectives.  </w:t>
        <w:br/>
        <w:t xml:space="preserve">407. Among the satisfactory results for the company on this subject is cited the first official communication from Novartis, drafted in collaboration with important KOLs, clearly mentioning the safety differences between Avastin and Lucentis.  </w:t>
        <w:br/>
        <w:t>408. Similarly, this document mentions, among the satisfactory results, the increased awareness of this issue in France, visible in public communications on GEFAL, the statements of the president of the ANSM in the Senate, the report of the CNAM to the National Assembly, or articles in the media ("First official Novartis written communication clearly stating Lucentis vs Avastin safety difference, in cooperation with top KOLs," reference 45126). Its author believes that this awareness of public authorities on safety issues could explain why the implementing decree of the "economic RTU" had not yet been published at the time and that health authorities were redirecting their actions towards a discussion of Lucentis pricing rather than a generalization of the use of Avastin ("Awareness of these safety issues has really increased in France (...) which can explain that ERTU decree is still not published and that Health Authorities bodies are reorienting their actions towards a Lucentis price discussion more than an Avastin endorsement," reference 45126).</w:t>
      </w:r>
    </w:p>
    <w:p>
      <w:r>
        <w:t xml:space="preserve">g) Communication elements during the year 2014  </w:t>
        <w:br/>
        <w:t xml:space="preserve">The presentation "Action Plan AMD" of February 2014  </w:t>
        <w:br/>
        <w:t>409. A presentation titled "Action Plan AMD," discussed during an internal Novartis meeting on February 10, 2014 (references 13797 to 13817), revisits the market entry of Eylea.</w:t>
      </w:r>
    </w:p>
    <w:p>
      <w:r>
        <w:rPr>
          <w:b/>
        </w:rPr>
        <w:t>[Pages 73–75]</w:t>
      </w:r>
    </w:p>
    <w:p>
      <w:r>
        <w:t xml:space="preserve">410. This presentation shows that the arrival of this new competitor had become the main cause of concern for the company.  </w:t>
        <w:br/>
        <w:t xml:space="preserve">The document "Budget Book 2014"  </w:t>
        <w:br/>
        <w:t xml:space="preserve">411. In a document titled "Budget Book 2014 - France," Novartis presents its analysis of the evolution of Lucentis sales in France for the year 2014.  </w:t>
        <w:br/>
        <w:t xml:space="preserve">412. Among the "strategic imperatives," the issue of the risk of increased support from health authorities for the use of Avastin and the results of GEFAL is mentioned (reference 2834).  </w:t>
        <w:br/>
        <w:t xml:space="preserve">The "questions/answers" from March 2014  </w:t>
        <w:br/>
        <w:t xml:space="preserve">413. An internal email at Novartis dated March 13, 2014, indicates that a "questions/answers" document on the Lucentis/Avastin topic was sent to the company's regional directors (references 15679 to 15683 and 15768 and 15769). This document was to be used solely to respond to questions that might be raised by healthcare professionals.  </w:t>
        <w:br/>
        <w:t xml:space="preserve">414. This "questions/answers" document (references 15770 to 15795) updated the group's communication following the publication of the condemnation of Roche and Novartis by the AGCM. It also contained all the elements already mentioned above in the equivalent document from June 2013 and included the "detailed argument" mentioning the change in the SPC of Avastin (reference 15787).  </w:t>
        <w:br/>
        <w:t xml:space="preserve">The visit report of February 10, 2014  </w:t>
        <w:br/>
        <w:t xml:space="preserve">415. Finally, a visit report dated February 10, 2014, shows that the issue of the price of Lucentis and its comparison with that of Avastin continued to be raised by injecting ophthalmologists. In this context, it appears that Novartis' hospital delegates continued to disseminate the group's key messages (references 15756 to 15757).  </w:t>
        <w:br/>
        <w:t xml:space="preserve">h) Conclusion  </w:t>
        <w:br/>
        <w:t xml:space="preserve">416. It follows from the preceding elements that Novartis implemented a vast communication and influence campaign aimed at vigorously combating the use of Avastin in ophthalmology, systematically emphasizing the risks associated with the "off-label" use of Avastin in the treatment of AMD, in comparison with the guaranteed safety of Lucentis. In this context, the laboratory regularly updated its communication materials in light of scientific and regulatory developments on the subject and utilized all available channels (KOL, field sales teams, press).  </w:t>
        <w:br/>
        <w:t xml:space="preserve">417. This discourse particularly focused on the risks associated with the use of Avastin "off-label" in ophthalmology, while there was a therapeutic alternative with a MA.  </w:t>
        <w:br/>
        <w:t xml:space="preserve">2. THE PRACTICES IMPLEMENTED BY ROCHE AND NOVARTIS, WITH THE HELP OF GENENTECH, TOWARDS PUBLIC AUTHORITIES  </w:t>
        <w:br/>
        <w:t xml:space="preserve">418. The laboratories Novartis and Roche, in collaboration with Genentech (a), developed a discourse regarding the use of Avastin in ophthalmology, directed at public authorities (b). This discourse evolved over time, depending on the changes in the scientific and regulatory context outlined above (see paragraphs 92 to 171 above).  </w:t>
        <w:br/>
        <w:t xml:space="preserve">a) The relationships between Genentech, Roche, and Novartis regarding the use of Avastin in ophthalmology  </w:t>
        <w:br/>
        <w:t xml:space="preserve">419. As outlined in paragraphs 198 to 221 of this decision, the contractual structure linking Genentech with its two licensees – Roche for the specialty Avastin and Novartis for the specialty Lucentis – grants the American laboratory total transparency of information and a certain degree of control over the actions taken by its licensees for the marketing of Avastin and Lucentis worldwide. Furthermore, Genentech retains significant influence over the development plan for the indications of each specialty.  </w:t>
        <w:br/>
        <w:t xml:space="preserve">420. Beyond the relationships between these three entities arising from the licensing agreements, several documents in the file provide information on how the relationships between Genentech and its co-contractors were actually managed and on the organization of competencies and decision-making processes regarding the specialties among the various entities involved.  </w:t>
        <w:br/>
        <w:t xml:space="preserve">The relationships between Roche and Genentech  </w:t>
        <w:br/>
        <w:t xml:space="preserve">421. It follows from several exchanges between the teams of Roche and Genentech that decisions regarding the strategy to be adopted concerning the use of Avastin in ophthalmology were made within Genentech.  </w:t>
        <w:br/>
        <w:t xml:space="preserve">422. A message dated April 28, 2011, sent by Mr. M…, a leader at Genentech, on an internal web application of the Roche group, confirms this situation. In this message, he comments on the one-year results of the CATT study and indicates, to the attention of the entire Roche group, that, in his opinion, these results confirm Genentech's choice to focus on Lucentis in the ophthalmological field ("Based on our preliminary evaluation of the data, the outcome confirms our belief that Lucentis is the most appropriate treatment option," reference 6930).  </w:t>
        <w:br/>
        <w:t xml:space="preserve">423. Similarly, a handwritten note dated May 10, 2011, from Ms. C…, the responsible pharmacist at Roche, contains the following indications regarding Avastin: "AMD pending GNE's position paper [strategic document]" (reference 5349).  </w:t>
        <w:br/>
        <w:t xml:space="preserve">424. Furthermore, it emerges from several exchanges between the respective leaders of Roche in France, Roche's headquarters, and Genentech that the decision not to extend the MA of Avastin to cover AMD was adopted by Genentech. Indeed, in an email dated July 30, 2012, Mr. M…, the leader of Genentech, emphasizes, "Could you let Q… know that there is no way we will expand the Avastin label (…) to include AMD. As a manufacturer we would refuse it as we cannot accept the responsibility that goes with it" (free translation: "Can you tell Q… that in no way will we extend the indication of Avastin for the treatment of AMD. As a manufacturer, we would refuse since we cannot accept the responsibility that would come with it," reference 7148). He subsequently instructed Roche's teams to stop worrying about the issue of a potential MA for AMD and to instead communicate with French public authorities about the safety shortcomings of Avastin when used in the eye ("So French team do not need to spend time on checking how the indication can be granted and the label modified, they should rather go back to the government and explain to the above, in particular the lack of safety of Avastin when used in the eye," reference 7148; also reference 14689).  </w:t>
        <w:br/>
        <w:t xml:space="preserve">425. Similarly, in response to an inquiry from a Roche employee, D…, regarding a potential extension of the indication of Avastin in ophthalmology ("should we push for an extension of Avastin indication in ophthalmology for AMD or not in EU!", references 14726 and 14727), Ms. E…, an employee of Genentech, indicates in an email dated September 3, 2012: "interesting but we’ve consistently said that we have no intention of developing Avastin for AMD or any other eye condition" (free translation: "interesting but we have consistently said that we have no intention of developing Avastin for the treatment of AMD or any other ophthalmological indication," reference 14726).  </w:t>
        <w:br/>
        <w:t xml:space="preserve">426. Moreover, handwritten notes and emails seized within Roche's premises show that the company's response letters to requests from the ANSM regarding the use of Avastin were reviewed by Roche's international team, which provided the scientific elements to be included in the argumentation, with the help of Genentech ("Avastin AMD – 6/09/2012. Teleconf with global reg. For finalizing the responses to be provided. The international team wants to review the letter," reference 5382; see also references 14698 to 14701: "you will find attached a draft letter to Pr. F… on the subject of the molecular and non-clinical differences between Avastin and Lucentis (…) + table provided by Genentech in the annex").  </w:t>
        <w:br/>
        <w:t xml:space="preserve">427. Finally, when Roche's teams attended a meeting at the ANSM in November 2012, they were accompanied by an employee from Genentech (references 14695 and 14696). An internal email shows that this employee provided data related to Avastin, feeding discussions between Roche and the ANSM ("Thank you G… for the invitation but rather for 30/11 (same day as meeting with F…). I hope the Avastin data was useful for your discussion," reference 14703).  </w:t>
        <w:br/>
        <w:t xml:space="preserve">The relationships between Novartis and Genentech  </w:t>
        <w:br/>
        <w:t xml:space="preserve">428. It follows from several emails seized at Novartis' premises that information regarding the use of Avastin in ophthalmology could be transmitted directly from Roche to Novartis or through Genentech.  </w:t>
        <w:br/>
        <w:t xml:space="preserve">429. For illustration, in an email exchange from August 2012, in response to a request from Genentech, Roche transmitted to it elements regarding the change in the SPC of Avastin, information that was forwarded the same day by Genentech to Novartis, while it had not yet been made public ("As requested by Ralph [Genentech] please find hereattached the smPC/PL for II/4444 as agreed with the CHMP. The revised product information will be publicly available on the EMA website after the Commission Decision (September/October)," free translation: "As requested by Ralph [Genentech], please find attached the smPC/PL for II/4444 as agreed with the CHMP. The revised SPC will be made public on the EMA website after the Commission Decision (September/October)," reference 15760; "Please see attached the forthcoming safety update to the European Avastin label which is expected to be finalized in Sept/Oct. Importantly there is mention of both local and systemic side effects associated with unlicensed intravitreal use. We will update the relevant CPO material for rapid distribution once this is finalized and public," (free translation: "Please find attached the upcoming update to the Avastin SPC which is expected to be finalized in September/October. It is important to note the mention of local and systemic adverse effects associated with the 'off-label' use of Avastin. We will update the documents for rapid distribution once this is finalized and made public," reference 15759).  </w:t>
        <w:br/>
        <w:t>430. Similarly, at the time when the results of the GEFAL study were made public in May 2013, a message from Ms. H…, the product manager for Lucentis at Genentech, to several</w:t>
      </w:r>
    </w:p>
    <w:p>
      <w:r>
        <w:rPr>
          <w:b/>
        </w:rPr>
        <w:t>[Pages 76–78]</w:t>
      </w:r>
    </w:p>
    <w:p>
      <w:r>
        <w:t xml:space="preserve">"destinataires au sein du groupe Roche en date du 8 mai 2013, indique : « We're meeting with NVS at 6pm to discuss and align as much as possible on media strategy and messaging. We anticipate they will be inclined to take an aggressive approach in the media based on potential impact of the GEFAL data on access to Lucentis in France. We anticipate possible media reaction and government pressure on Roche regarding Avastin in France as well » (free translation: « We are meeting with NVS [Novartis] at 6pm to discuss and align as much as possible on our media strategy and messaging. We anticipate that they will tend to adopt an aggressive approach in the media regarding the potential impact of the GEFAL data on access to Lucentis in France. We anticipate possible media reaction and government pressure on Roche regarding Avastin in France », references 14734 to 14736).  </w:t>
        <w:br/>
        <w:t xml:space="preserve">431. This message specifies that while the team is making minor modifications to update the key messages, it has determined that no change in the overall strategy and message is necessary ("Team is currently making minor revisions to update some details in the key messages but has determined no change in our strategy and overall message is required", reference 14736).  </w:t>
        <w:br/>
        <w:t xml:space="preserve">b) The exchanges between Roche and Novartis with public authorities  </w:t>
        <w:br/>
        <w:t xml:space="preserve">The exchanges between Roche and AFSSAPS regarding the possibility of a stability study during the year 2008  </w:t>
        <w:br/>
        <w:t xml:space="preserve">The context of the initial exchanges between Roche and AFSSAPS: the establishment of the GEFAL study  </w:t>
        <w:br/>
        <w:t xml:space="preserve">432. As indicated by a press release from AFSSAPS, discussions regarding the use of Avastin in ophthalmology in France have existed at least since the summer of 2006.  </w:t>
        <w:br/>
        <w:t xml:space="preserve">433. At that time, the committee for the qualification of therapeutic protocols of AFSSAPS had been seized with the question of the use of Avastin in the treatment of AMD. This committee concluded that the establishment of a temporary therapeutic protocol (PTT) for Avastin for AMD was not justified due to the insufficiency of available data and the absence of a pharmaceutical form suitable for intravitreal use. The committee therefore advocated for the establishment of a comparative non-inferiority trial versus Lucentis.  </w:t>
        <w:br/>
        <w:t xml:space="preserve">434. In February 2007, AFSSAPS therefore "initiated a reflection on the use of the anticancer drug Avastin (bevacizumab, Roche) in the treatment of age-related macular degeneration (AMD)." AFSSAPS added: "we would like to have a comparative study between Lucentis and Avastin. We are considering ways to obtain this" (AFSSAPS press release, references 2019 to 2020).  </w:t>
        <w:br/>
        <w:t xml:space="preserve">435. Thus, from the moment a reflection on the use of Avastin in AMD was initiated in France, particularly within AFSSAPS, it contacted Roche to obtain a number of additional pieces of information.  </w:t>
        <w:br/>
        <w:t xml:space="preserve">The information requests from AFSSAPS and Roche's responses  </w:t>
        <w:br/>
        <w:t xml:space="preserve">♦ The letter from AFSSAPS dated February 27, 2008  </w:t>
        <w:br/>
        <w:t xml:space="preserve">436. On February 27, 2008, AFSSAPS contacted Roche by letter to obtain samples of Avastin, as well as a number of chemical information and elements, with a view to conducting a stability study of Avastin (reference 16398).  </w:t>
        <w:br/>
        <w:t xml:space="preserve">437. The letter specifies that the stability study in question aimed to secure the GEFAL study being set up: "This study was decided by AFSSAPS considering the establishment of a clinical trial 'GEFAL' (sponsor: Hospices civils de Lyon) which compares the use of Avastin in ophthalmology (in pre-filled syringe) to another drug in the treatment of AMD. This stability study aims to verify that the syringe filling of the product, which may cause mechanical stress with the appearance of more or less reversible aggregates, does not alter its stability" (reference 16398).  </w:t>
        <w:br/>
        <w:t xml:space="preserve">♦ Roche's response dated April 7, 2008  </w:t>
        <w:br/>
        <w:t xml:space="preserve">438. In a letter dated April 7, 2008, Roche refused to respond to AFSSAPS's request (references 16400 to 16401).  </w:t>
        <w:br/>
        <w:t xml:space="preserve">439. In its letter, Roche cites the "delicate situation" the laboratory is facing, specifically highlighting the concerns of the Committee for Medicinal Products for Human Use (hereinafter, "CHMP") regarding the "off-label" use of Avastin, the fact that Roche would not have the possibility to conduct clinical studies for the treatment of AMD, due to the fact that the product was only designed to treat cancer, and the existence of contamination issues related to the repackaging of Avastin into syringes.  </w:t>
        <w:br/>
        <w:t xml:space="preserve">440. In conclusion, Roche states that its refusal is primarily based on its desire not to be seen as having approved the "off-label" use of Avastin: "You will understand that we are extremely cautious about continuing trials involving Avastin for an AMD indication. As you know, our main concern is that by favorably responding to your request for supply we could be considered as approving this off-label use" (reference 16401).  </w:t>
        <w:br/>
        <w:t xml:space="preserve">♦ The email from AFSSAPS dated September 10, 2008  </w:t>
        <w:br/>
        <w:t xml:space="preserve">441. On September 10, 2008, Dr. I..., Head of the Evaluation, Risk Monitoring, and Medical Information Department of AFSSAPS, again requested Roche for the samples necessary to conduct stability studies of the repackaged Avastin solution in syringe.  </w:t>
        <w:br/>
        <w:t xml:space="preserve">442. This email emphasizes the importance of communicating this information, given the "off-label" use of Avastin observed in practice: "(...) you should know that we are currently reflecting on the off-label use in ophthalmology. We wish to conduct several stability tests of the repackaged solution in syringe at the DLC. We need samples for this control ... as well as the essential elements to carry them out, particularly specific reagents, standard references ... I understood that a request had already been made by the DLC. Could you help me and provide a contact point because I think these controls are absolutely necessary, due to the significant off-label use of the product" (reference 16403).  </w:t>
        <w:br/>
        <w:t xml:space="preserve">♦ Roche's new refusal on November 28, 2008  </w:t>
        <w:br/>
        <w:t xml:space="preserve">443. In a letter dated November 28, 2008, Roche again refused to provide the information and samples requested by AFSSAPS, reiterating its position stated in its letter from April 2008 ("Following our letter, (...), we reiterate our position and wish to remind you of the delicate situation we are facing: (...). You will therefore understand that we remain extremely cautious about continuing tests involving Avastin for off-label use in ophthalmology. Our main concern is that by favorably responding to your request, we could be considered as approving this off-label use" (references 16405 to 16406).  </w:t>
        <w:br/>
        <w:t xml:space="preserve">♦ The transmission of samples to AFSSAPS  </w:t>
        <w:br/>
        <w:t xml:space="preserve">444. It was only on June 22, 2009, more than a year and four months after AFSSAPS's initial request, that the Basel headquarters of the Roche group finally transmitted the requested elements to AFSSAPS (references 16408 and 16409).  </w:t>
        <w:br/>
        <w:t xml:space="preserve">The communication from Roche and Novartis after the publication of the first results of CATT during the year 2011  </w:t>
        <w:br/>
        <w:t xml:space="preserve">445. During the year 2011, Roche and Novartis developed a communication reacting to the announcement of the first results of the CATT study, particularly emphasizing the risks of serious side effects for patients treated with Avastin via intravitreal injection.  </w:t>
        <w:br/>
        <w:t xml:space="preserve">The "key messages" from Roche  </w:t>
        <w:br/>
        <w:t xml:space="preserve">446. A Roche document dated May 6, 2011, outlines the "key messages" in response to the publication of the CATT study (references 6932 and 6933), which were updated on May 9, 2011 (references 6938 to 6942).  </w:t>
        <w:br/>
        <w:t xml:space="preserve">447. In this document, Roche summarizes the results of the CATT study. Regarding safety criteria specifically, it states: "the risk of systemic side effects would be lower with intravitreal injection of Lucentis compared to Avastin" (reference 6932).  </w:t>
        <w:br/>
        <w:t xml:space="preserve">448. Furthermore, Roche presents its position on the "off-label" use of Avastin in ophthalmology. It particularly emphasizes that "Avastin and Lucentis are two different drugs" and, on two occasions, that "Lucentis is the most appropriate treatment." The laboratory also recalls the cautious position recommended by AFSSAPS in its information point from September 2009 (reference 6933).  </w:t>
        <w:br/>
        <w:t xml:space="preserve">The minutes of the "Pharmaceutical Responsibility" meeting on May 9, 2011  </w:t>
        <w:br/>
        <w:t xml:space="preserve">449. Minutes from a meeting titled "Pharmaceutical Responsibility" held within Roche on May 9, 2011, indicate, regarding the use of Avastin in the treatment of AMD: "Following the publication on Friday, May 6, of a press release on Avastin in AMD, teleconferences with the parent company were organized to see what position Novartis and Roche are taking" (reference 5334).  </w:t>
        <w:br/>
        <w:t>450. When questioned during the hearing on this point, Roche representatives stated: "For me, the press release is not a Roche press release, but rather an external communication."</w:t>
      </w:r>
    </w:p>
    <w:p>
      <w:r>
        <w:rPr>
          <w:b/>
        </w:rPr>
        <w:t>[Pages 79–81]</w:t>
      </w:r>
    </w:p>
    <w:p>
      <w:r>
        <w:t>que dernière (lorsque la lettre a été envoyée par Roche France aux autorités de santé françaises) », cote 14706).</w:t>
      </w:r>
    </w:p>
    <w:p>
      <w:r>
        <w:t>473. Le même jour, un autre employé de Roche a également commenté le projet de RTU, indiquant que « la position de Roche est que nous ne soutenons pas l'utilisation d'Avastin dans la DMLA » (cote 14707).</w:t>
      </w:r>
    </w:p>
    <w:p>
      <w:r>
        <w:t>474. En parallèle, un échange de courriels entre Roche et Novartis a eu lieu, où Novartis a exprimé son inquiétude concernant la RTU pour Avastin, soulignant que cela pourrait nuire à l'image de Lucentis et à son utilisation sur le marché (cote 14707).</w:t>
      </w:r>
    </w:p>
    <w:p>
      <w:r>
        <w:t>475. Roche a répondu en affirmant que leur priorité était la sécurité des patients et qu'ils continueraient à communiquer sur les risques associés à l'utilisation d'Avastin en ophtalmologie (cote 14707).</w:t>
      </w:r>
    </w:p>
    <w:p>
      <w:r>
        <w:t>476. Ces échanges montrent l'importance de la communication entre les différentes entités du groupe Roche et Novartis, ainsi que leur préoccupation commune pour la sécurité des patients et la gestion des risques associés à l'utilisation d'Avastin.</w:t>
      </w:r>
    </w:p>
    <w:p>
      <w:r>
        <w:rPr>
          <w:b/>
        </w:rPr>
        <w:t>[Pages 82–84]</w:t>
      </w:r>
    </w:p>
    <w:p>
      <w:r>
        <w:t xml:space="preserve">last year (when the letter was sent by Roche France to the French health authorities), reference 14706).  </w:t>
        <w:br/>
        <w:t xml:space="preserve">♦ Emails from July 2, 2012  </w:t>
        <w:br/>
        <w:t xml:space="preserve">473. Following this exchange, Roche organized a teleconference on July 2, 2012, "with the medical teams from GNE [Genentech] so that we are very clear on the available data" (reference 14712).  </w:t>
        <w:br/>
        <w:t xml:space="preserve">474. On the same day, an internal email at Genentech, sent by the "LifeCycle Leader Avastin," mentions this teleconference with Roche ("Today we had a TC [telephonic conference] with Roche France regarding Avastin and its off-label use in wAMD," free translation: "Today, we had a telephonic conference with Roche France regarding Avastin and its 'off-label' use in AMD," reference 15766).  </w:t>
        <w:br/>
        <w:t xml:space="preserve">475. This internal email outlines the next steps considered by Roche and Genentech ("Next steps for Roche/GNE," reference 15766), distinguishing an "Avastin team" and a "Lucentis team." It is thus planned that the Lucentis team informs Novartis of the situation and that the Avastin team begins to assess what information regarding the use of Avastin in AMD should be communicated to the French authorities. The Lucentis team was also to provide advice on the content of safety and tolerance information to be communicated to the authorities, concerning both Avastin and Lucentis.  </w:t>
        <w:br/>
        <w:t xml:space="preserve">♦ The transmission of these exchanges to Novartis  </w:t>
        <w:br/>
        <w:t xml:space="preserve">476. The content of these internal discussions at Genentech was then forwarded to the members of the "Joint Management Committee" ("JMC") for Lucentis, including representatives from Novartis. The headquarters of Novartis subsequently transmitted this information to Novartis ("I have just been contacted by Global who has been informed by Roche/Genentech about the RTU Avastin process," reference 15764).  </w:t>
        <w:br/>
        <w:t xml:space="preserve">477. This structured communication chain was supplemented by a number of direct contacts between Roche and Novartis, who primarily informed each other about their actions towards public authorities, particularly within LEEM.  </w:t>
        <w:br/>
        <w:t xml:space="preserve">478. For example, in an internal email from October 2012, a Roche employee states: "I am at LEEM (...) I am sitting next to Novartis who will appeal at the European level if this comes up in another text" (reference 14719). Similarly, in an internal email from August 2012, titled "Avastin – Lucentis Reference Document," a Roche employee states, "J... just told me that you spoke with Z... [CEO of Novartis] this morning, so I think you are aligned" (reference 14732; see also references 14738, 7135, 7142, and 44698).  </w:t>
        <w:br/>
        <w:t xml:space="preserve">The communication of Roche and Novartis with institutional stakeholders  </w:t>
        <w:br/>
        <w:t xml:space="preserve">♦ The statement by the president of HAS on June 29, 2012  </w:t>
        <w:br/>
        <w:t xml:space="preserve">479. In a statement to the medical press agency ("APM") on June 29, 2012, Mr. X..., the president of HAS, expressed his intention to refer to ANSM to propose the development of an RTU for Avastin in the treatment of AMD.  </w:t>
        <w:br/>
        <w:t xml:space="preserve">480. This dispatch, relayed internally by Novartis, includes the following statements from Mr. X...: "There is no reason for there to be an MA for one and not for the other when, moreover, one costs much less than the other," said Mr. X... on Tuesday. "We wish to refer to ANSM, as the law allows us and as reference centers for rare diseases can do, if the college confirms this choice, to [tell] them that it would be desirable to request an RTU for Avastin in AMD," he added (reference 9920).  </w:t>
        <w:br/>
        <w:t xml:space="preserve">♦ The letter from Novartis to HAS dated July 3, 2012  </w:t>
        <w:br/>
        <w:t xml:space="preserve">481. In response to this announcement, Novartis sent a letter to Mr. X... on July 3, 2012, with copies to the president of ANSM and the president of CEPS, reaffirming the company's position on the use of Avastin in AMD (references 15646 to 15651).  </w:t>
        <w:br/>
        <w:t xml:space="preserve">482. In this letter, Novartis reiterates all its arguments regarding retrospective and comparative studies, concluding that "the tolerance signals related to the off-label use of Avastin in intravitreal injection are therefore serious, statistically significant in certain clinical studies" (reference 15649).  </w:t>
        <w:br/>
        <w:t xml:space="preserve">♦ The response from HAS dated July 31, 2012  </w:t>
        <w:br/>
        <w:t xml:space="preserve">483. The president of HAS, Mr. X..., responded to Novartis in a letter dated July 31, 2012 (reference 3336).  </w:t>
        <w:br/>
        <w:t xml:space="preserve">484. He first indicated that HAS had decided not to request an RTU for Avastin, due to the legal framework at the time, which reserved this possibility only for cases where there was no appropriate medicinal alternative.  </w:t>
        <w:br/>
        <w:t xml:space="preserve">485. Regarding the tolerance of Avastin, he specified, in response to Novartis's arguments: "Regarding the safety of patients receiving intravitreal injections of Bevacizumab [Avastin], we believe that it is necessary to separate systemic adverse events from complications of local injections. For the former, the increase in adverse effects highlighted in the CATT study does not correspond, as emphasized by the authors of the articles, to a pharmacodynamic effect of the anti-VEGF. Overall, in the two randomized studies, there are no significant differences in terms of efficacy or tolerance. As for complications related to injections, particularly cases of endophthalmitis, they are also described with Ranibizumab [Lucentis] and are not significantly more frequent in the Bevacizumab [Avastin] group. This risk justifies the precautions for use indicated in the recommendation published in 2009 by AFSSAPS."  </w:t>
        <w:br/>
        <w:t xml:space="preserve">♦ The meeting between Novartis and representatives of the Ministry of Health in August 2012  </w:t>
        <w:br/>
        <w:t xml:space="preserve">486. On August 6, 2012, representatives of Novartis were received by the Ministry of Health, as indicated in a press release from AFP on August 7, 2012 (reference 14153).  </w:t>
        <w:br/>
        <w:t xml:space="preserve">487. According to this press release, this meeting provided an opportunity to discuss the "consequences to be drawn" from the results of two studies conducted in the United Kingdom and the United States and published last spring, which concluded that the efficacy of the two drugs was identical. This meeting allowed Novartis to present to public authorities its view on the comparative studies available at the time.  </w:t>
        <w:br/>
        <w:t xml:space="preserve">♦ The letter from Novartis to the chief of staff of the Minister of Social Affairs and Health dated August 9, 2012  </w:t>
        <w:br/>
        <w:t xml:space="preserve">488. Following this meeting, Novartis sent a letter to the chief of staff of the Minister of Health, focusing on the justification of the price of Lucentis and the lack of legitimacy of the previously expressed request for price renegotiation.  </w:t>
        <w:br/>
        <w:t xml:space="preserve">489. In addition to elements directly related to the issue of the use of Avastin in the treatment of AMD, Novartis mentions in this letter the importance of its presence in France and the associated jobs (references 2746 and 45098 to 45099). The letter particularly emphasizes that considerations related to the respective costs for the community of Lucentis and Avastin "are made in disregard of both the available scientific data for the two specialties, highlighting significant differences in tolerance to the detriment of Avastin, and the legal framework regarding the conditions for marketing authorization (...)."  </w:t>
        <w:br/>
        <w:t xml:space="preserve">490. A copy of this letter was sent, on the same day, to the Director General of Health, Mr. L.... In its cover letter, Novartis added elements related to the change in the SPC of Avastin: "Following numerous safety signals regarding the intravitreal use of Avastin, the European Medicines Agency (EMA) has just modified the Summary of Product Characteristics of Avastin, to add in its section 4.4 'Special warnings and precautions for use,' the prohibition of using Avastin intravitreally as well as the ocular and systemic adverse events that have been observed during the off-label use of Avastin intravitreally" (reference 1529).  </w:t>
        <w:br/>
        <w:t xml:space="preserve">♦ The meeting between Roche and representatives of the Ministry of Health during the summer of 2012  </w:t>
        <w:br/>
        <w:t xml:space="preserve">491. Around the same time, representatives of Roche were also received by the Ministry of Health, as indicated in an email dated August 1, 2012, sent by a Roche employee to a representative at the group's headquarters, asking to "reassure M..." (that is, Mr. M..., then "CEO" of Genentech).  </w:t>
        <w:br/>
        <w:t xml:space="preserve">492. This email indicates that the company's communication with the Government has been heard and that Ms. Marisol Touraine, Minister of Health, stated, during an interview with RMC, that there was, according to Roche, a risk of side effects in the use of Avastin in ophthalmology. It further mentions that Roche plans to meet again with the Minister of Health after the summer to reiterate the "lack of safety" identified in the CATT studies at one and two years and IVAN (reference 14688).  </w:t>
        <w:br/>
        <w:t xml:space="preserve">493. In this regard, on July 31, 2012, a representative of Novartis forwarded to Roche an email relaying the change in position of the Minister of Health: "change of course since her statements the day before =&gt; Avastin does not have its MA, it cannot therefore be prescribed, not to mention that the laboratory (Roche) has reported side effects" (reference 7137), to which Roche responded on August 1: "Yes. She is backtracking, someone must have gone through to decrypt the file for her."  </w:t>
        <w:br/>
        <w:t xml:space="preserve">494. An exchange of internal emails at Roche in early August mentions that "we will need to prepare for our communication with the DGS and the minister's office, to recall the conclusions of the CATT studies. CATT2 and IVAN in order to argue the safety points and correct misinterpretations." Further on, it is stated "this position paper validated by medical oncology is also in line with the position of Genentech US on this subject" (reference 7135).  </w:t>
        <w:br/>
        <w:t xml:space="preserve">♦ Novartis's action plan against Article 45 of the PFLSS for 2013  </w:t>
        <w:br/>
        <w:t>495. An internal presentation from Novartis, dated October 2012, describes the comprehensive action plan established by the company to combat Article 45 of the PFLSS for 2013, adopted in the Council of Ministers on October 10, 2012, which introduced the principle of an "economic RTU" (references 1517 to 1519).</w:t>
      </w:r>
    </w:p>
    <w:p>
      <w:r>
        <w:rPr>
          <w:b/>
        </w:rPr>
        <w:t>[Pages 85–87]</w:t>
      </w:r>
    </w:p>
    <w:p>
      <w:r>
        <w:t>496. This action plan included the following actions ("immediate actions to prevent art. 45 from being voted in its current state," reference 1518): (i) a confidential note for the president of the social section of the Council of State, (ii) a letter to the Prime Minister and the Minister of Health emphasizing the health risks and the possibility of a scandal similar to that of Mediator, (iii) meetings with representatives of all health authorities, (iv) the use of LEEM as a conduit for Novartis's arguments, (v) contacts with medical associations, patient associations, and key opinion leaders (KOLs), and (vi) the preparation of a comprehensive clinical program with ANSM covering all possible indications for anti-VEGF for which Lucentis did not yet have a marketing authorization (MA).</w:t>
      </w:r>
    </w:p>
    <w:p>
      <w:r>
        <w:t xml:space="preserve">497. However, as will be evident from the developments that follow, Novartis indeed multiplied contacts during the fall of 2012 with institutional and political actors to ensure that this amendment was not adopted by the legislator.  </w:t>
        <w:br/>
        <w:t xml:space="preserve">♦ Novartis's letter to the Director General of DGS dated October 1, 2012  </w:t>
        <w:br/>
        <w:t xml:space="preserve">498. On October 1, Novartis sent a letter to the Director General of DGS of the Ministry of Health regarding "health safety and [the] treatment of patients with AMD" (reference 1528).  </w:t>
        <w:br/>
        <w:t xml:space="preserve">499. In this letter, Novartis mentions the serious side effects identified in the CATT study for Avastin. More specifically, the letter states: "The meta-analysis of the 1-year results comparing Lucentis and Avastin in the treatment of AMD (CATT study conducted in the United States and IVAN study conducted in the United Kingdom) showed a statistically significant difference between Lucentis and Avastin to the detriment of the latter, with a statistically higher risk of severe systemic events in the Avastin group versus Lucentis."  </w:t>
        <w:br/>
        <w:t xml:space="preserve">♦ Novartis's letter to the Prime Minister dated October 5, 2012  </w:t>
        <w:br/>
        <w:t xml:space="preserve">500. On October 5, a letter containing a similar argument was sent to the Prime Minister (references 1525 to 1527).  </w:t>
        <w:br/>
        <w:t xml:space="preserve">501. In this letter, Novartis emphasizes the health risks associated with the use of Avastin in the treatment of AMD: "Allowing the use of a drug that has not undergone all the required safety studies and a risk management plan, mandatory for any MA, while there is an alternative that provides these safety guarantees, would constitute a major health risk (...)" (reference 1525). The laboratory also revisits the risks associated with the use of Avastin, which it claims were identified in comparative studies and by the EMA during the amendment of the summary of product characteristics (SPC) for Avastin: "This controversy [over the cost of Lucentis] is completely unjustified and entirely ignores the serious public health issues related to the use of Avastin in the treatment of AMD, confirmed repeatedly (CATT and IVAN studies, DGS circular of July 11, 2012, and clarification from the European Medicines Agency regarding the prohibition of the use of Avastin in intravitreal injection)" (reference 1526).  </w:t>
        <w:br/>
        <w:t xml:space="preserve">♦ Novartis's letter to the President of ANSM dated October 9, 2012  </w:t>
        <w:br/>
        <w:t xml:space="preserve">502. In a letter dated October 9, Novartis communicated to ANSM its reasons for opposing the project of "economic RTU."  </w:t>
        <w:br/>
        <w:t xml:space="preserve">503. In this letter, the president of Novartis Pharma emphasizes that the CATT and IVAN comparative studies "confirm the favorable tolerance profile of Lucentis." He specifies that "These 2 studies, which evaluated the non-inferiority of Avastin compared to Lucentis in terms of efficacy, highlighted a significant increase in the risk of serious adverse events for Avastin (30% increase in risk)" (reference 15642).  </w:t>
        <w:br/>
        <w:t xml:space="preserve">504. Novartis adds that "recent publications and reported cases of decreased visual acuity potentially leading to permanent blindness have led to an increase in the precautions for use of Avastin related to its intravitreal use by the EMA. The latter has indeed just modified the Summary of Product Characteristics for Avastin following these various studies to add a warning indicating that Avastin is not formulated for intravitreal use and to specify the ocular and systemic risks in case of intravitreal use" (reference 15643).  </w:t>
        <w:br/>
        <w:t xml:space="preserve">♦ Meetings between Novartis and public authorities during October 2012  </w:t>
        <w:br/>
        <w:t xml:space="preserve">505. In addition to its correspondence, Novartis held numerous meetings with public authorities.  </w:t>
        <w:br/>
        <w:t xml:space="preserve">506. Thus, the laboratory was received by the DGS and the office of the Minister of Health on October 11 and 12 (internal email of October 11, 2012: "documents for DG and ministry meetings (...) please find attached the elements for your meetings today and tomorrow," containing an attached document titled "Note Lucentis / Avastin," reference 14161; see also reference 14171).  </w:t>
        <w:br/>
        <w:t xml:space="preserve">507. The "Note Lucentis / Avastin" begins by recalling that Lucentis was specifically formulated for use in intravitreal injection.  </w:t>
        <w:br/>
        <w:t xml:space="preserve">508. After presenting the results in terms of comparative efficacy of Lucentis and Avastin from the CATT and IVAN comparative studies, the note focuses on safety data. Regarding the CATT study, Novartis notably indicates that "the percentage of serious adverse events under Avastin is higher than under Lucentis (39.9% vs 31.7%; p=0.004), which corresponds to a 30% increase in risk (...)." Similarly, the note specifies that "the meta-analysis of the 1-year results of the CATT study with those of the IVAN study confirms the 1-year results of the CATT study, with a statistically higher risk of severe systemic events in the Avastin group" (reference 14162).  </w:t>
        <w:br/>
        <w:t xml:space="preserve">509. Novartis then mentions the results of the retrospective studies Curtis and Gower in the same way as in its aforementioned letter of May 9, 2011: an increased risk of mortality and hemorrhagic stroke in Curtis, and an increased risk of mortality, hemorrhagic stroke, and intraocular inflammation in Gower (references 14163 and 14164).  </w:t>
        <w:br/>
        <w:t xml:space="preserve">510. In the continuation of its argument, Novartis then links this data with the recent actions of certain health authorities. Thus, according to Novartis, "these serious safety signals have been recognized by French, European, and international health authorities" (reference 14164). Novartis notably cites the positions taken by AFSSAPS in 2009 and 2011, and the DGS circular of July 2012.  </w:t>
        <w:br/>
        <w:t xml:space="preserve">511. Novartis also mentions "the EMA [European Medicines Agency], which modified the SPC of Avastin to add a warning indicating that Avastin is not formulated for IVT use and specifies the ocular and systemic risks in case of IVT use."  </w:t>
        <w:br/>
        <w:t xml:space="preserve">512. This argument is also presented, in a simplified form, in a one-page document specifically prepared for the debate on the PFLSS 2013 and the project of "economic RTU." This document reiterates the same arguments regarding the adverse effects of Avastin in the Curtis, Gower, CATT, and IVAN studies, as well as the actions of health authorities. It adds that the possibility of an economic RTU could lead to inequality in terms of safety between patients treated in hospitals and those treated in the community (reference 14173).  </w:t>
        <w:br/>
        <w:t xml:space="preserve">513. Similarly, Novartis had a meeting with CEPS on October 12 (reference 14606). The presentation associated with this meeting (references 14617 to 14619) revisits the "potential health risk" associated with the use of Avastin. The laboratory particularly emphasizes that the CATT and IVAN clinical studies have shown that "the tolerance of Avastin is significantly lower than that of Lucentis in intravitreal use for AMD" and that "these tolerance signals have been recognized by health authorities: by ANSM (information note 09/2009); DGS (instruction 08/2012), EMA (modification of the SPC of Avastin 08/2012 (...)" (reference 14617). Finally, the document insists on the "structural differences," "pharmacological differences," and "different formulations" between Avastin and Lucentis, concluding that "all these differences imply risks in terms of local and systemic tolerance" (reference 14619).  </w:t>
        <w:br/>
        <w:t xml:space="preserve">514. Finally, a letter dated October 16, 2012, addressed to the chief medical advisor, deputy head of the health products department of CNAMTS, reiterates all the arguments of the discourse established by Novartis at that time to combat the proposal made in the PLFSS 2013 (references 14257 to 14259).  </w:t>
        <w:br/>
        <w:t xml:space="preserve">♦ Roche's "position paper" dated October 17, 2012  </w:t>
        <w:br/>
        <w:t xml:space="preserve">515. In an internal document dated October 17, 2012, Roche outlines the legal strategy to counter the government's "economic RTU" projects (references 5245 to 5249).  </w:t>
        <w:br/>
        <w:t xml:space="preserve">516. This document first contains a reminder of "Roche's last official position (letter to AFSSAPS dated May 26, 2011 &amp; September 10, 2012)," reiterating a detailed argument regarding the poorer tolerance of Avastin compared to Lucentis: "The results of published studies (CATT2 and Gower et al.) show potentially significant differences between the tolerance profiles of Avastin and Lucentis in the treatment of AMD: the risk of serious adverse events is potentially higher when using Avastin off-label intravitreally" (reference 5245).  </w:t>
        <w:br/>
        <w:t xml:space="preserve">517. Next, the document revisits the differences between the two molecules and presents an analysis of the latest results from published scientific studies (references 5246 to 5248).  </w:t>
        <w:br/>
        <w:t xml:space="preserve">518. Finally, the document provides the "legal position," which consists of contesting the RTU project for Avastin. It is notably stated: "We will pursue all legal remedies in the event of an RTU for AMD for Avastin" (reference 5249).  </w:t>
        <w:br/>
        <w:t xml:space="preserve">♦ Novartis's email to the LEEM representative dated October 22, 2012  </w:t>
        <w:br/>
        <w:t xml:space="preserve">519. On October 22, Novartis sent an email to two representatives of LEEM stating: "To enable you to argue in your contacts, you will find attached elements, particularly regarding safety, that demonstrate why the example of Avastin is not valid to support the demonstration of the reasons for Article 45," to which is attached a note titled "Note on RTU Issues for Economic Reasons - draft of Article 45" (references 14253 to 14259).  </w:t>
        <w:br/>
        <w:t>520. This note reiterated all the arguments developed by Novartis with public authorities, as outlined above, and was also accompanied by the aforementioned letter to the chief medical advisor of CNAMTS.</w:t>
      </w:r>
    </w:p>
    <w:p>
      <w:r>
        <w:rPr>
          <w:b/>
        </w:rPr>
        <w:t>[Pages 88–90]</w:t>
      </w:r>
    </w:p>
    <w:p>
      <w:r>
        <w:t xml:space="preserve">♦ The exchanges between Roche and the ANSM in the autumn of 2012  </w:t>
        <w:br/>
        <w:t xml:space="preserve">521. By a letter dated August 30, 2012, the ANSM requested Roche to communicate its position following the publication of the two-year results of CATT and to provide additional data on Avastin for intraocular injection in France and Europe (references 6875 to 6876 and 16428).  </w:t>
        <w:br/>
        <w:t xml:space="preserve">- Roche's letter to the ANSM dated September 10, 2012  </w:t>
        <w:br/>
        <w:t xml:space="preserve">522. By a letter dated September 10, 2012, Roche reiterated its position regarding the development of Avastin in ophthalmology (references 5518 to 5520 and 16431 to 16433).  </w:t>
        <w:br/>
        <w:t xml:space="preserve">523. More specifically, Roche stated that the two-year results of CATT indicated a 30% increase in systemic adverse effects for Avastin. The letter also noted that cases of endophthalmitis would be more frequent, while acknowledging that this difference would not be statistically significant.  </w:t>
        <w:br/>
        <w:t xml:space="preserve">524. Roche then mentioned the change in the SPC of Avastin by the EMA.  </w:t>
        <w:br/>
        <w:t xml:space="preserve">- Roche's letter to the ANSM dated October 17, 2012  </w:t>
        <w:br/>
        <w:t xml:space="preserve">525. By a new letter dated October 17, 2012 (references 6873 and 6874), in response to a request made by the ANSM a few days earlier regarding data related to Avastin and Lucentis, Roche recalled the pharmacological differences between ranibizumab (Lucentis) and bevacizumab (Avastin) and concluded that the choice of Lucentis in ophthalmology and Avastin in oncology was rational.  </w:t>
        <w:br/>
        <w:t xml:space="preserve">526. The letter concluded by stating that Lucentis was specifically developed for use in the eye and that its safety profile is well established, particularly due to its effective use over the past five years.  </w:t>
        <w:br/>
        <w:t xml:space="preserve">- Roche's letter to the ANSM dated November 12, 2012  </w:t>
        <w:br/>
        <w:t xml:space="preserve">527. Following an oral request from the president of the ANSM, Roche sent a letter to the ANSM on November 12, 2012 (references 5526 to 5532 and 16438 to 16444).  </w:t>
        <w:br/>
        <w:t xml:space="preserve">528. In this letter, Roche emphasized that Lucentis was specifically developed for use in the eye because this product would limit the passage of the molecule into the bloodstream as well as allow for a faster elimination of the active ingredient, thereby limiting the risks of systemic adverse effects.  </w:t>
        <w:br/>
        <w:t xml:space="preserve">529. Roche detailed in this document the molecular differences between Avastin and Lucentis and presented the available data regarding the passage of the molecule into the bloodstream, which would be greater for Avastin than for Lucentis. Then, Roche listed the results regarding adverse effects from CATT and indicated that, although the company could not be certain of a direct link between higher exposure to Avastin after injection into the eye and a higher frequency of adverse side effects, all of this data would tend to confirm this reasoning.  </w:t>
        <w:br/>
        <w:t xml:space="preserve">530. Roche continued by mentioning the change in the SPC of Avastin. It specifically stated that the CHMP had requested the addition of a paragraph regarding potential systemic adverse effects following the use of Avastin.  </w:t>
        <w:br/>
        <w:t>531. An internal email exchange dated October 30, 2012, shows that this letter was drafted in close collaboration with the Roche group headquarters (references 14722 to 14724).</w:t>
      </w:r>
    </w:p>
    <w:p>
      <w:r>
        <w:t xml:space="preserve">♦ Roche's public statements in the autumn of 2012  </w:t>
        <w:br/>
        <w:t xml:space="preserve">532. An APM dispatch dated October 23, 2012, reported statements from the CEO of the Roche group regarding the use of Avastin for the treatment of AMD (references 45117 and 7123).  </w:t>
        <w:br/>
        <w:t xml:space="preserve">533. This document states: "When asked about the subject, N… [CEO of Roche] emphasized that Avastin was developed for systemic use, with a long half-life, which also means a risk of side effects, but which are acceptable in the context of cancer treatment. In contrast, Lucentis, while having a similar mechanism, was specifically developed for ophthalmology, with a shorter half-life, allowing the product to disappear within a few days. The executive assured that the use of Avastin in AMD is 'not safe.' 'Of course, it is much cheaper, but you are endangering patients' health,' he stated."  </w:t>
        <w:br/>
        <w:t xml:space="preserve">534. It follows from an internal email exchange at Novartis on the same day that these statements from the Roche CEO were used by Novartis in its contacts with French deputies in the context of the debate on the PFLSS 2013 (reference 45117).  </w:t>
        <w:br/>
        <w:t xml:space="preserve">The communication from Genentech, Roche, and Novartis after the adoption of the LFSS 2013 during the year 2013  </w:t>
        <w:br/>
        <w:t xml:space="preserve">535. During the year 2013, after the adoption of the RTU reform in the LFSS 2013, Novartis and Roche continued and updated their communication with public authorities regarding the use of Avastin in the treatment of AMD.  </w:t>
        <w:br/>
        <w:t xml:space="preserve">Roche's public statements  </w:t>
        <w:br/>
        <w:t xml:space="preserve">536. In a document compiling talking points for a press conference by Mr. N…, the CEO of the Roche group, in France on October 23, 2013, Roche mentions the systemic adverse effects caused by Avastin and that these are likely related to the passage of Avastin into the bloodstream. It reaffirms that the safety profile of Lucentis is well established (references 14639 to 14640).  </w:t>
        <w:br/>
        <w:t xml:space="preserve">537. Similarly, a document titled "Briefing for Mr. N…'s visit to France," from March 2014, indicates that Roche reaffirmed to health authorities its position on the lack of safety for Avastin used as an intravitreal injection ("we reaffirmed Roche position on the lack of safety of Avastin used as an intraocular to health authorities," reference 7824).  </w:t>
        <w:br/>
        <w:t xml:space="preserve">The Novartis action plan LFSS 2013 dated February 6, 2013  </w:t>
        <w:br/>
        <w:t xml:space="preserve">538. By an email dated February 7, 2013, Novartis Pharma transmitted to the group headquarters a presentation of the new provisions resulting from the LFSS for 2013, as well as an associated action plan (reference 3463, references 2877 to 2881).  </w:t>
        <w:br/>
        <w:t xml:space="preserve">539. A large part of the planned actions concerned pre-litigation or litigation measures (references 2778 to 2880). Also planned were: the establishment of a communication plan ("advocacy plan"); mobilization of LEEM on the subject; meetings with local pharmacist unions (through LEEM) and particular attention to the implementing decree, with the possibility of providing comments through LEEM.  </w:t>
        <w:br/>
        <w:t>31 This parameter corresponds to the time required for the plasma concentration of a drug to decrease by half after administration.</w:t>
      </w:r>
    </w:p>
    <w:p>
      <w:r>
        <w:t xml:space="preserve">The meeting of Novartis with Mr. O…, Director General of the National Union of Health Insurance Funds (UNCAM)  </w:t>
        <w:br/>
        <w:t xml:space="preserve">540. An internal email at Novartis dated September 4, 2013, reported a scheduled meeting between Novartis and Mr. O…, Director General of UNCAM (reference 45090).  </w:t>
        <w:br/>
        <w:t xml:space="preserve">541. Indeed, in view of the debates surrounding the PFLSS 2014, the CNAMTS had proposed a number of cost-saving measures, including a price reduction for Lucentis, as well as the adoption of an RTU for Avastin (references 14200 and 14208).  </w:t>
        <w:br/>
        <w:t xml:space="preserve">542. In the context of this meeting, Novartis intended to respond to the proposal made by the CNAMTS in its report for the PFLSS 2014 to significantly reduce the price of Lucentis (in this regard, references 14292 to 14294): "This proposal is hardly justifiable given that the CNAMTS explicitly acknowledges that studies show 'a higher risk of serious adverse events under bevacizumab compared to ranibizumab.' Would safety and tolerance, so emphasized following the Mediator affair and in the last drug law, ultimately have no value? [...]" (reference 45090).  </w:t>
        <w:br/>
        <w:t xml:space="preserve">543. Furthermore, Novartis planned to use, during this meeting, the arguments from the press release dated May 14, 2013, which it had published in the context of the publication of the results of the GEFAL study, this document being among the attachments to the email (reference 14211).  </w:t>
        <w:br/>
        <w:t xml:space="preserve">544. The argument regarding the adverse effects of Avastin is also included in a note titled "Impact of Article 57 of the LFSS 2013 - Case Lucentis / Avastin in the treatment of neovascular AMD" (references 45092, 45093, and 14215), attached to the same internal email (reference 45090). This note notably states: "the EMA added a warning in the Summary of Product Characteristics of Avastin regarding ocular and systemic risks in the case of intravitreal use of Avastin" (reference 14215).  </w:t>
        <w:br/>
        <w:t xml:space="preserve">c) Conclusion  </w:t>
        <w:br/>
        <w:t xml:space="preserve">545. It follows from the above that Roche and Novartis, with the support of Genentech, transmitted a similar scientific argument regarding the risks of using Avastin in ophthalmology to the ANSM and other institutional actors in the health sector. The laboratories also implemented a number of practices aimed at pressuring public authorities and obstructing administrative procedures.  </w:t>
        <w:br/>
        <w:t xml:space="preserve">F. NOTIFIED GRIEVANCES  </w:t>
        <w:br/>
        <w:t xml:space="preserve">546. On January 15, 2019, the investigation services notified the following grievances:  </w:t>
        <w:br/>
        <w:t xml:space="preserve">"Grievance No. 1  </w:t>
        <w:br/>
        <w:t xml:space="preserve">It is alleged:  </w:t>
        <w:br/>
        <w:t xml:space="preserve">- against the company Novartis Pharma S.A.S. (RCS 410 349 070), as the author of the practices,  </w:t>
        <w:br/>
        <w:t xml:space="preserve">- against the company Novartis AG, as the author of the practices,  </w:t>
        <w:br/>
        <w:t>- against the companies Novartis Groupe France S.A. (RCS 709 804 538) and Novartis AG, as the parent companies of Novartis Pharma S.A.S.,</w:t>
      </w:r>
    </w:p>
    <w:p>
      <w:r>
        <w:rPr>
          <w:b/>
        </w:rPr>
        <w:t>[Pages 91–93]</w:t>
      </w:r>
    </w:p>
    <w:p>
      <w:r>
        <w:t xml:space="preserve">having abused the dominant position held collectively with Roche and Genentech in the French market for the treatment of exudative AMD by anti-VEGF, by developing and executing a strategy aimed at limiting the use of the product Avastin by ophthalmologists, which competes with its drug Lucentis for this type of pathology, through various misleading communication actions towards health professionals, health sector authorities, patients, and the general public. This set of behaviors, which began on March 10, 2008, and ended at least in November 2013, constitutes a practice prohibited by Articles 102 TFEU and L. 420-2 of the Commercial Code.  </w:t>
        <w:br/>
        <w:t xml:space="preserve">Grievance No. 2  </w:t>
        <w:br/>
        <w:t xml:space="preserve">It is alleged:  </w:t>
        <w:br/>
        <w:t xml:space="preserve">- against Novartis Pharma S.A.S. (RCS 410 349 070), as the author of the practices,  </w:t>
        <w:br/>
        <w:t xml:space="preserve">- against Novartis AG, as the author of the practices,  </w:t>
        <w:br/>
        <w:t xml:space="preserve">- against Novartis Groupe France S.A. (RCS 709 804 538) and Novartis AG, as the parent companies of Novartis Pharma S.A.S.,  </w:t>
        <w:br/>
        <w:t xml:space="preserve">- against Roche (RCS 552 012 031), as the author of the practices,  </w:t>
        <w:br/>
        <w:t xml:space="preserve">- against Genentech, Inc. as the author of the practices,  </w:t>
        <w:br/>
        <w:t xml:space="preserve">- against Roche Holding AG, as the parent company of Roche and Genentech, Inc.,  </w:t>
        <w:br/>
        <w:t xml:space="preserve">for having abused the dominant position they collectively hold in the French market for the treatment of exudative AMD by anti-VEGF, by developing and executing a strategy aimed at obstructing the initiatives of the French public authorities to administratively authorize the use of Avastin for the treatment of AMD, through a set of blocking administrative behaviors and the dissemination of misleading discourse to political leaders and health authorities. This set of behaviors, which began on April 7, 2008, and ended at least in November 2013, constitutes a practice prohibited by Articles 102 TFEU and L. 420-2 of the Commercial Code.  </w:t>
        <w:br/>
        <w:t xml:space="preserve">II. Discussion  </w:t>
        <w:br/>
        <w:t xml:space="preserve">547. The Authority's competence (A), the procedure (B), the applicability of Union law (C), the merits of the notified grievances (D), the attribution (E), and the sanctions (F) will be examined successively.  </w:t>
        <w:br/>
        <w:t xml:space="preserve">A. ON COMPETENCE  </w:t>
        <w:br/>
        <w:t xml:space="preserve">548. The companies involved argue that the Authority is not competent to analyze the relevance of their exchanges with health authorities. They assert that the Authority does not have the necessary expertise to critically assess the value of the scientific arguments presented by Roche and Novartis to their various interlocutors, in a context of scientific uncertainty regarding the efficacy and safety of the use of Avastin in the treatment of AMD. Roche and Novartis further argue that the Authority cannot rule on the legality of the decisions made by health authorities in the exercise of their public power prerogatives.  </w:t>
        <w:br/>
        <w:t xml:space="preserve">549. However, the Authority is competent to examine any practice that may constitute an infringement of competition rules, regardless of the sector concerned or the means used (decision No. 17-D-25 of December 20, 2017, regarding practices implemented in the sector of transdermal fentanyl devices, points 354 to 358, confirmed by a judgment of the Paris Court of Appeal of July 11, 2019, Janssen-Cilag SAS, No. 18/01945). It is therefore its responsibility to conduct its own analysis of the legal and factual context in which the disputed practices are situated. Otherwise, it would be "captive to an analysis of the context that may have been retained by another administrative authority following behavior that could be anti-competitive" (judgment of the Paris Court of Appeal of July 11, 2019, Janssen-Cilag SAS, No. 18/01945, point 98).  </w:t>
        <w:br/>
        <w:t xml:space="preserve">550. When the practices are related to the marketing of medicines, the Authority takes into account the applicable legal framework, particularly regarding the procedure for granting marketing authorizations at the European and national levels (decision No. 17-D-25 of December 20, 2017, regarding practices implemented in the sector of transdermal fentanyl devices, point 356). In this regard, contrary to what the parties argue, European case law, and in particular the judgment of the Court of Justice of January 23, 2018, rendered on a preliminary ruling in the Italian Roche/Novartis case (Hoffmann-Laroche judgment, C-179/16), has never excluded the competence of a national competition authority to conduct such an analysis.  </w:t>
        <w:br/>
        <w:t xml:space="preserve">551. Without substituting itself for scientific authorities or ruling on the legality of decisions made by health authorities, it is up to the Authority to qualify the practices it is seized with from the perspective of competition law. In this context, it is responsible for analyzing the behavior of the companies involved in a given market. The actions of pharmaceutical laboratories with health authorities thus fall within its competence when they are likely to be part of an anti-competitive strategy. This is particularly the case for practices aimed at obstructing the marketing of competing medicines (opinion No. 13-A-24 of December 19, 2013, regarding the functioning of competition in the sector of the distribution of medicines for human use in the community, point 423).  </w:t>
        <w:br/>
        <w:t xml:space="preserve">552. In this case, as will be demonstrated in paragraphs 760 and following of this decision, the practices implemented by the collective entity formed by Roche, Novartis, and Genentech to thwart the use of Avastin in ophthalmology are examined by the Authority, as they are likely to influence the market structure by contributing to favoring the use of one medicine (Lucentis) to the detriment of a competing product (Avastin).  </w:t>
        <w:br/>
        <w:t xml:space="preserve">553. While it is true that the qualification of these practices requires examining the content of the discourse conveyed by the collective entity regarding the risks associated with the use of Avastin "off-label" in ophthalmology, such an analysis does not imply that the Authority must rule on the validity of the scientific arguments opposed in the context of the public debate on the comparative efficacy and safety of Avastin and Lucentis. It solely consists of determining whether Roche and/or Novartis have faithfully reproduced these arguments or distorted them through a presentation lacking the required measure and objectivity, given the uncertainties of the public debate. Furthermore, the Authority is not required to rule on the legality of decisions made by health authorities. In this regard, if Novartis argues that the Authority does not demonstrate the existence of behaviors "detachable from the assessment of the legality of administrative decisions" (Novartis observations, reference 49191), this argument must be dismissed, as the notified grievances do not target the decisions or actions of health authorities, but the behavior of the members of the collective entity composed of Roche, Novartis, and Genentech.  </w:t>
        <w:br/>
        <w:t xml:space="preserve">554. Thus, contrary to what the companies involved argue, the Authority's analysis is based on the legal qualification of the practices in question in light of competition law. It consists of determining whether, in the context of their relationships with health professionals, patient associations, the general public, and public authorities, the companies involved have resorted to means foreign to competition on merits to promote the marketing of one of their products.  </w:t>
        <w:br/>
        <w:t xml:space="preserve">555. It follows that the companies involved are not justified in claiming that the Authority would not be competent to analyze, qualify, and, if necessary, sanction the practices in question.  </w:t>
        <w:br/>
        <w:t xml:space="preserve">B. ON THE PROCEDURE  </w:t>
        <w:br/>
        <w:t xml:space="preserve">1. REGARDING THE DURATION OF THE PROCEDURE  </w:t>
        <w:br/>
        <w:t xml:space="preserve">556. Roche and Genentech argue that the unusual length of the procedure, resulting in particular from the period of more than six and a half years that elapsed between the first report received by the DGCCRF on January 31, 2012, and the sending of the notification of grievances on January 23, 2019, has led to a violation of their rights of defense.  </w:t>
        <w:br/>
        <w:t xml:space="preserve">557. However, it follows from consistent case law that the requirement regarding the reasonable duration of the procedure, which stems from Article 6, paragraph 1, of the ECHR, must be assessed in light of the scope and complexity of the case (see in particular Paris Court of Appeal, January 26, 2012, Beauté Prestige International, No. 2010/23945).  </w:t>
        <w:br/>
        <w:t>558. Furthermore, it should be recalled for all useful purposes that the sanction attached to a possible violation by the Authority of the obligation to rule within a reasonable time is not the annulment of the procedure, but the compensation for any damage resulting from the excessive delay (judgment of the Paris Court of Appeal of December 21, 2017, La Banque Postale et al., No. 15/17638). This is only different if a personal, effective, and irreparable infringement of the rights of the companies involved to defend themselves is demonstrated (same judgment). It is up to the company that claims that the excessive duration of the procedure has concretely and effectively hindered the normal exercise of its rights of defense to provide proof of this (judgment of the Paris Court of Appeal of January 18, 2018, Groupement des installateurs français SA, No. 2017/01703).</w:t>
      </w:r>
    </w:p>
    <w:p>
      <w:r>
        <w:rPr>
          <w:b/>
        </w:rPr>
        <w:t>[Pages 94–96]</w:t>
      </w:r>
    </w:p>
    <w:p>
      <w:r>
        <w:t>559. Regarding the alleged infringements on the ability of companies to effectively defend themselves against the notified grievances in light of the duration of the procedure, the Paris Court of Appeal specified that "the reality of such a violation must necessarily be assessed in light of the general duty of caution incumbent upon each economic operator, who must ensure the proper preservation of their books and records as well as all elements allowing for the tracing of the legality of their practices in the event of judicial or administrative actions" (judgment of the Paris Court of Appeal dated January 26, 2012, Beauté Prestige International, No. 2010/23 945).</w:t>
      </w:r>
    </w:p>
    <w:p>
      <w:r>
        <w:t>560. In this case, the duration of the investigation must be assessed in light of the complexity of the matter, which required an in-depth analysis of a closely regulated sector, the understanding of practices involving a detailed knowledge of the rules for marketing authorization and pricing of medicines, the respective roles of the various health authorities, the relationships between pharmaceutical laboratories and physicians, as well as the positions taken by the French and European health authorities on these issues. Furthermore, procedurally, the case involved inspection and seizure operations, during which a significant amount of data was seized, and which were contested before the competent jurisdictions (see paragraph 2 of this decision).</w:t>
      </w:r>
    </w:p>
    <w:p>
      <w:r>
        <w:t>561. Thus, given the scope and complexity of the case, the duration of the investigation cannot, in the circumstances of this case, be considered as having disregarded the guarantee of a reasonable time frame.</w:t>
      </w:r>
    </w:p>
    <w:p>
      <w:r>
        <w:t>562. In any event, Roche and Genentech do not demonstrate that the duration of the procedure obstructed the effective exercise of their rights of defense. These companies cannot use, in this regard, the "slowness of investigative measures" as a general argument. Contrary to what is alleged, and considering the actions taken during the investigation, the passage of time did not render impossible the collection and preservation of evidence contemporaneous to the practices in question. In this regard, the notification of grievances and the report clearly outline, with supporting documents, the evolution of the context of uncertainty regarding the use of Avastin for the treatment of AMD, and the positions taken by the various health authorities. Moreover, although the hearings of certain representatives of health authorities and practitioners were conducted several years after the practices ceased, this circumstance—which is inherent to the conduct of the investigation procedure—cannot, by itself, characterize an infringement of the defense rights of the companies involved.</w:t>
      </w:r>
    </w:p>
    <w:p>
      <w:r>
        <w:t>563. Finally, Roche and Genentech, who could have been aware of the investigations conducted by the Authority no later than April 8, 2014, the date of the inspection and seizure operations, indicate that they did not encounter difficulties in accessing the documents useful for their defense. They were also able to present detailed observations in response to the notification of grievances and the report that were notified to them.</w:t>
      </w:r>
    </w:p>
    <w:p>
      <w:r>
        <w:t>564. It follows that no infringement of the rights of defense related to the duration of the procedure is established in this case.</w:t>
      </w:r>
    </w:p>
    <w:p>
      <w:r>
        <w:t>2. REGARDING THE MEETING WITH REPRESENTATIVES OF HAS</w:t>
      </w:r>
    </w:p>
    <w:p>
      <w:r>
        <w:t>565. Roche and Genentech argue that the principle of adversarial proceedings was disregarded since the meeting held between the investigation services and representatives of HAS on January 18, 2016, did not result in the establishment of a report included in the file.</w:t>
      </w:r>
    </w:p>
    <w:p>
      <w:r>
        <w:t>566. It follows from Article L. 450-2 of the Commercial Code that "investigations give rise to the establishment of reports and, where applicable, of reports (...)". Article R. 463-6 of the same code states that "the hearings conducted by the rapporteur give rise to a report, signed by the persons heard. In case of refusal to sign, this is noted by the rapporteur. The persons heard may be assisted by a counsel."</w:t>
      </w:r>
    </w:p>
    <w:p>
      <w:r>
        <w:t>567. First, it should be noted that while Article R. 463-6 of the Commercial Code generally provides that any hearing must result in the establishment of a report, the absence of a report does not, by itself, undermine the regularity of the procedure followed regarding the companies involved. In such a configuration, the impact of the absence of a report must be assessed on a case-by-case basis, in light of the principles governing the respect of defense rights and the guarantees that must be afforded to the companies involved.</w:t>
      </w:r>
    </w:p>
    <w:p>
      <w:r>
        <w:t>568. In this regard, the Court of Justice has specified, concerning the absence of communication of documents allegedly in favor of the defense, that it is not only the company's responsibility to establish that it did not have access to these elements of evidence, but also that it could have used them for its defense (see the judgments of the Court of Justice dated July 1, 2010, Knauf Gips KG, Case C-407/08, and September 6, 2017, Intel Corporation Inc., Case C-413/14).</w:t>
      </w:r>
    </w:p>
    <w:p>
      <w:r>
        <w:t>569. Next, assuming that the absence of a report constitutes a procedural irregularity, it follows from the jurisprudence of the Council of State that a defect affecting a procedure conducted by an administrative authority, particularly related to the consultation of an organization, can only render the decision taken at the end of this procedure illegal if this defect could have influenced the meaning of the decision or deprived the interested parties of a guarantee (Assembly decision of December 23, 2011, Danthony, No. 335033, published in the collection, the principles of which have since been codified in the Code of Relations between the Public and the Administration).</w:t>
      </w:r>
    </w:p>
    <w:p>
      <w:r>
        <w:t>570. Finally, the jurisprudence does not require that the evidence collected during the investigation be included in the file in a particular form, as long as the information gathered is subject to adversarial debate and the companies involved are able to access and discuss it (judgment of the Paris Court of Appeal dated December 21, 2017, La Banque Postale e.a., No. 15/17638).</w:t>
      </w:r>
    </w:p>
    <w:p>
      <w:r>
        <w:t>571. In this case, following the sending of the notification of grievances, Roche and Genentech, through their counsel, requested on February 5, 2019, the communication of several documents, including the report of the hearing of the representatives of HAS that took place on January 18, 2016 (references 47394 and 47395). In an email dated February 7, 2019, the rapporteur specified that the meeting of January 18, 2016, which only concerned elements already provided by HAS, did not result in any report (reference 47397).</w:t>
      </w:r>
    </w:p>
    <w:p>
      <w:r>
        <w:t>572. Regarding first the conditions under which this meeting was held, it is important to specify that it was preceded by written exchanges between the investigation services of the Authority and HAS. On December 9, 2015, several publications from HAS concerning the treatment of AMD were transmitted to the rapporteur then in charge of the case by the advisor to the president and the director of HAS (references 13197 and following). In an email dated December 14, 2015, the rapporteur acknowledged receipt of these documents and sent his interlocutor a questionnaire regarding the treatment of AMD and two specific documents: on the one hand, a letter addressed on July 31, 2012, to Novartis by the president of HAS, and on the other hand, the circular from the General Directorate of Health dated July 11, 2012 (references 13450 and following). In an email dated January 13, 2016, the advisor to the president and director of HAS sent the rapporteur additional documents as well as the responses to the questionnaire, specifying in particular that the meeting of January 18, 2016, could allow for discussion of this questionnaire (references 13517 and following). All these email exchanges, as well as all the documents attached to them, were included in the file to which the companies involved had access.</w:t>
      </w:r>
    </w:p>
    <w:p>
      <w:r>
        <w:t>573. Next, it should be noted that neither the notification of grievances nor the report relies on the statements of the representatives of HAS met on January 18, 2016. To support the grievance notified to Roche and Genentech, the investigation services exclusively relied on documents to which the companies involved had access and which they were able to comment on, within the framework of the adversarial procedure.</w:t>
      </w:r>
    </w:p>
    <w:p>
      <w:r>
        <w:t>574. Finally, the companies involved cannot be considered, in the circumstances of this case, as having been deprived of useful elements for their defense due to the absence of a report from the meeting of January 18, 2016.</w:t>
      </w:r>
    </w:p>
    <w:p>
      <w:r>
        <w:t>575. On the one hand, Roche and Genentech emphasize that in the absence of a report, they cannot be required to prove that the statements of the representatives of HAS during the meeting of January 18, 2016, could have been useful for their defense. However, it remains that no statement made during this meeting was mentioned in the notification of grievances. Moreover, it should be noted that the companies involved did not request that the representatives of HAS present at the meeting, whose identities were mentioned in the email of December 9, 2015 (references 13197 and following), be heard during the Authority's session. They do not allege having sought to contact the representatives of HAS to know the content of the exchanges that took place during this meeting. Such circumstances are among those that the Court of Justice noted, in the aforementioned Intel case, to judge that the applicant did not provide evidence that it could have used for its defense elements allegedly in favor of which it could not have had timely access (Intel judgment, paragraph 101).</w:t>
      </w:r>
    </w:p>
    <w:p>
      <w:r>
        <w:t>576. On the other hand, as indicated in the previous paragraphs, the email exchanges between the investigation services and HAS attest that the meeting of January 18, 2016, was preceded by the communication of several documents to which the companies involved could have had access. These email exchanges also reveal that the meeting had no other purpose than to discuss and comment on these documents. No element suggests that the representatives of HAS expressed a position during the meeting that differed from that contained in the documents exchanged prior to the meeting, and in particular in the response to the questionnaire sent to the rapporteur on January 13, 2016. No element in the file indicates that elements that could have been invoked in favor of the companies involved were omitted from the file.</w:t>
      </w:r>
    </w:p>
    <w:p>
      <w:r>
        <w:rPr>
          <w:b/>
        </w:rPr>
        <w:t>[Pages 97–99]</w:t>
      </w:r>
    </w:p>
    <w:p>
      <w:r>
        <w:t xml:space="preserve">577. Consequently, in the circumstances of the case, the absence of a record of the meeting of January 18, 2016, did not deprive Roche and Genentech of any guarantee and did not affect the effective exercise of their rights of defense.  </w:t>
        <w:br/>
        <w:t xml:space="preserve">3. REGARDING THE MATERIAL ERRORS AFFECTING THE NOTIFICATION OF GRIEVANCES  </w:t>
        <w:br/>
        <w:t xml:space="preserve">578. Roche and Genentech state that the notification of grievances contains material errors, particularly concerning certain references to the file references. The companies allege that these errors complicated the reading of the file and thus impaired the effective exercise of their rights of defense.  </w:t>
        <w:br/>
        <w:t xml:space="preserve">579. The significance of the deficiencies affecting the notification of grievances and its annexes must be assessed based on their nature and their concrete impact on the exercise of the rights of defense. The Paris Court of Appeal thus holds that if certain documents in the file are incomplete or difficult to read, such deficiencies would reduce or nullify their evidentiary value but would not undermine the very principle of contradiction (judgment of the Paris Court of Appeal of June 24, 2008, France Travaux, No. 2006/06913).  </w:t>
        <w:br/>
        <w:t xml:space="preserve">580. In this case, the errors invoked by Roche and Genentech, which concern only six paragraphs (out of more than 700) of the notification of grievances according to Annex 14 to the memorandum submitted by these companies, exclusively relate to references to incorrect file numbers. Such errors, moreover limited in scope – particularly given the size of the file and the number of references, and that, furthermore, the parties involved were able to correct them themselves in their writings – did not impact the effective exercise of the rights of defense of the companies involved, which were able to refer to the appropriate documents and present their observations within the allotted time.  </w:t>
        <w:br/>
        <w:t xml:space="preserve">581. It follows that these errors cannot be regarded as having prevented the effective exercise of the rights of defense.  </w:t>
        <w:br/>
        <w:t xml:space="preserve">4. REGARDING THE IMPARTIALITY AND FAIRNESS OF THE INSTRUCTION PROCEDURE  </w:t>
        <w:br/>
        <w:t xml:space="preserve">582. Novartis believes that the report contains numerous contradictions that would demonstrate a lack of rigor and objectivity in the instruction. It further alleges that the instruction was conducted in an "incomplete" and "biased" manner. Similarly, Roche argues that the rapporteur failed in his duty of impartiality and disregarded the right to a fair trial by opposing documents from Novartis.  </w:t>
        <w:br/>
        <w:t xml:space="preserve">583. It follows from the case law of the Paris Court of Appeal that "the assessment of the impartiality of the instruction cannot result solely from the alleged circumstance in the case at hand that the rapporteur did not take into account, in his notification of grievances, elements which, according to the parties, would support their defense" (judgment of the Paris Court of Appeal of January 20, 2011, Perrigault, No. 2010/08165). The Court of Appeal further holds that it cannot be "criticized for having retained elements against the companies and dismissed the elements they invoked in their defense, as they have the function of instructing and describing in the notification of grievances, and then in the report, what in their view should lead to the qualification and sanction of anti-competitive practices" (judgment of the Paris Court of Appeal of May 17, 2018, Umicore, No. 2016/16621).  </w:t>
        <w:br/>
        <w:t xml:space="preserve">584. Therefore, if Novartis alleges in this case that, in his report, the rapporteur dismissed the objections raised against the notification of grievances and failed to respond to certain arguments, these circumstances cannot reveal a disregard for the obligation of impartiality and a lack of fairness in the conduct of the instruction.  </w:t>
        <w:br/>
        <w:t xml:space="preserve">585. Moreover, if the interpretation of certain documents retained in the report is contested by Roche and Genentech, the parties involved do not provide any evidence to demonstrate that the rapporteur presented a distorted or misleading account of these documents, in violation of the obligation of impartiality.  </w:t>
        <w:br/>
        <w:t xml:space="preserve">586. Furthermore, if Roche and Genentech argue that documents from Novartis were used to support the grievance that was notified to them, this circumstance cannot in itself reveal a violation of the right to a fair trial, as these documents were included in the file and the companies were able to discuss their content, scope, or evidentiary value regarding the practices attributed to them. If the companies specifically refer to reference 4319 cited in point 721 of the report, they themselves indicate that this document was declassified at their request. They are therefore not justified in alleging a violation of the right to a fair trial.  </w:t>
        <w:br/>
        <w:t xml:space="preserve">587. Finally, by denouncing the alleged contradictions that would taint the report, Novartis actually intends to criticize the relevance of the reasoning followed by the rapporteur, without demonstrating any lack of rigor and objectivity in the instruction procedure.  </w:t>
        <w:br/>
        <w:t xml:space="preserve">5. REGARDING THE ALLEGED MODIFICATION OF THE NOTIFIED GRIEVANCES  </w:t>
        <w:br/>
        <w:t xml:space="preserve">588. Novartis argues that the instruction services would have, in the report, evolved the accusations against the companies involved in the notification of grievances, particularly concerning Genentech's choice not to develop Avastin in ophthalmology or the impact of its communication on the price negotiations for Lucentis. According to Novartis, this "evolving accusation" would have prevented it from defending itself properly.  </w:t>
        <w:br/>
        <w:t xml:space="preserve">589. However, it follows from the adversarial nature of the procedure that the analysis made in the report can evolve compared to that developed in the notification of grievances (see, in this regard, the decision of the Competition Council No. 07-D-23 of July 12, 2007, point 52). Indeed, "as long as the report does not address practices different from those mentioned in the notification of grievances and does not change their qualification, it is possible to refine the competitive analysis, support or clarify one of the notified grievances" (decision No. 06-D-18 of June 28, 2006, concerning practices implemented in the cinema advertising sector, point 111). The Paris Court of Appeal similarly considers that "the adversarial debate that begins with the notification of grievances to the parties continues throughout the procedure and allows the instruction services to evolve their analysis to respond to the parties' arguments" (judgment of the Paris Court of Appeal of December 21, 2017, La Banque Postale et al., No. 15/17638, point 138).  </w:t>
        <w:br/>
        <w:t xml:space="preserve">590. In this case, the report does not address practices different from those mentioned in the notification of grievances. Similarly, the qualification of the grievances has remained unchanged. Under these conditions, it was permissible for the instruction services to refine and complete their analysis in order to respond to the parties' observations. Finally, if Novartis argues that the arguments successively developed by the instruction services are unfounded or even contradictory, it does not explain how the rights of defense would have been violated as a result. These arguments actually aim to contest the notified grievances on the merits. This will be addressed below.  </w:t>
        <w:br/>
        <w:t xml:space="preserve">6. REGARDING THE SCOPE OF THE NOTIFIED GRIEVANCES  </w:t>
        <w:br/>
        <w:t xml:space="preserve">591. Roche, Genentech, and Novartis argue that the scope of the notified grievances is unclear. More specifically, the parties involved assert that the notified grievances should be considered as pertaining only to the French market for the treatment of exudative AMD by anti-VEGF, excluding other markets for the treatment of ocular pathologies (such as those for OMD, OBVR, or OVCR) that were not taken into account either for qualifying the collective dominant position or the practices in question, even though the instruction services took care to define them.  </w:t>
        <w:br/>
        <w:t xml:space="preserve">592. However, the notified grievances are perfectly clear and consistent with the characterization of the practices in question.  </w:t>
        <w:br/>
        <w:t xml:space="preserve">593. According to French decision-making practice and case law, the notification of grievances must inform the parties of the practices alleged against them, their legal qualification under applicable law – national or Union – and the persons to whom they are attributed, in order to enable them to effectively contest, during the adversarial procedure, either the reality of the facts, or their qualification, or their attribution. In this sense, the Paris Court of Appeal has ruled: "Considering that it follows from the principles of contradiction and respect for the rights of defense, enshrined in the ECHR and recalled in Article L. 463-1 of the Commercial Code, according to which the instruction and the procedure before the Council are fully adversarial, as is national and community case law, that the communication of grievances referred to in domestic law by Article L. 463-2 of the Commercial Code must contain a statement of grievances drafted in sufficiently clear terms, even if they are summary, to allow the interested parties to effectively understand the behaviors that are reproached to them by the competition authority (...)" (judgment of the Paris Court of Appeal, September 26, 2006, No. 2005/24285, page 6; see also decision No. 05-D-64 of November 25, 2005, concerning practices implemented in the market for Parisian palaces, paragraph 113).  </w:t>
        <w:br/>
        <w:t xml:space="preserve">594. In the Expedia case, the Competition Council emphasized that "the notification of grievances is a synthetic document that contains a precise description of the alleged facts, their date, their attribution, and their qualification, and then summarizes, in a concise formula, the wording of the grievances themselves. It constitutes the indictment and must therefore be precise (Paris Court of Appeal, March 29, 2005, Filmdis Cinésogar), this requirement does not preclude the appellate and cassation judges from seeking, in the body of the notification of grievances itself, the scope of the latter (Court of Cassation, April 6, 1999, ODA)" (Decision No. 09-D-06 of February 5, 2009, concerning practices implemented by SNCF and Expedia Inc. in the online travel sales sector, paragraph 73).  </w:t>
        <w:br/>
        <w:t xml:space="preserve">595. Now, in this case, while the notified grievances mention the existence of an abuse of collective dominant position composed of Novartis, Roche, and Genentech in the only French market for the treatment of exudative AMD by anti-VEGF, the developments of the notification of grievances clarify the parties on their scope and, more particularly, on the fact that they could have effects on related markets for the treatment of other ocular pathologies.  </w:t>
        <w:br/>
        <w:t>596. Indeed, first, the notification of grievances defines the related markets for the treatment of other ocular indications (OMB, OBVR, or OCVR), and specifies that, for these three</w:t>
      </w:r>
    </w:p>
    <w:p>
      <w:r>
        <w:rPr>
          <w:b/>
        </w:rPr>
        <w:t>[Pages 100–102]</w:t>
      </w:r>
    </w:p>
    <w:p>
      <w:r>
        <w:t xml:space="preserve">may have effects on the related markets for the treatment of other ocular pathologies.  </w:t>
        <w:br/>
        <w:t xml:space="preserve">596. Indeed, firstly, the notification of grievances defines the related markets for the treatment of other ocular indications (OMB, OBVR, or OCVR), and specifies that, for these three markets, Lucentis and Avastin were in a competitive situation (references 47243 and 47244).  </w:t>
        <w:br/>
        <w:t xml:space="preserve">597. Secondly, numerous documents utilized in the notification of grievances show that Novartis was also concerned about the particularly significant use of Avastin for other indications in ophthalmology beyond the treatment of AMD, a use confirmed by many physicians (references 7090, 7095; 13585 and 16589). Indeed, the practices in question aimed precisely to block the use of Avastin in these other indications, pending a MA for Lucentis. Thus, an internal document from Novartis shows that, for the CHU of Besançon and the CH of Vesoul, the laboratory's objective was to "oppose the referencing of Avastin in ophthalmology for OMD and OVR indications" and to "transfer the units of Avastin used in these indications to units of Lucentis" (references 15696 to 15700).  </w:t>
        <w:br/>
        <w:t xml:space="preserve">598. Furthermore, all these retinal pathologies treated by injections in the eye of anti-VEGF are concerned by the debate on the comparison of adverse side effects between Avastin and Lucentis. Thus, since the question of tolerance and adverse effects is indifferent to the exact pathology for which these products are used (AMD or others), their sales volumes may have been affected in the same way by the behaviors of the parties involved.  </w:t>
        <w:br/>
        <w:t xml:space="preserve">599. Therefore, the argument will be dismissed.  </w:t>
        <w:br/>
        <w:t xml:space="preserve">C. ON THE APPLICABILITY OF UNION LAW  </w:t>
        <w:br/>
        <w:t xml:space="preserve">1. APPLICABLE PRINCIPLES  </w:t>
        <w:br/>
        <w:t xml:space="preserve">600. Article 102 TFEU states that "any abuse by one or more undertakings of a dominant position within the internal market or in a substantial part of it shall be incompatible with the internal market and prohibited in so far as it may affect trade between Member States."  </w:t>
        <w:br/>
        <w:t xml:space="preserve">601. According to the case law of the Court of Justice and the European Commission's communication on guidelines regarding the notion of affecting trade as set out in Articles 101 and 102 TFEU, three elements must be established for practices to be likely to significantly affect trade between Member States of the Union: the existence of a flow of trade between Member States concerning the products in question, the existence of practices likely to affect that trade, and the significant nature of that effect.  </w:t>
        <w:br/>
        <w:t xml:space="preserve">602. The European Commission recalls in point 19 of its guidelines that the notion of trade between Member States is not limited to traditional cross-border exchanges of goods and services. It also encompasses "cases where agreements and practices affect the structure of competition in the market" (point 20).  </w:t>
        <w:br/>
        <w:t xml:space="preserve">603. Moreover, the fact that the sanctioned practices are committed only within the territory of a single Member State does not prevent trade between Member States from being likely to be affected. In this regard, the Court of Cassation ruled, in a judgment dated January 31, 2012, that the terms "likely to affect" as stated in Articles 101 and 102 TFEU "imply that the agreement or abusive practice in question allows, based on a set of objective legal or factual elements, to consider with a sufficient degree of probability that it may exert a direct or indirect, actual or potential influence on the flows of trade between Member States, without requiring the establishment of an actual effect on intra-Community trade" (judgment of the Court of Cassation dated January 31, 2012, Orange Caraïbe e.a., No. 10-25.772, page 6).  </w:t>
        <w:br/>
        <w:t xml:space="preserve">604. Regarding the third element, the Court of Cassation ruled in the same judgment that "the significant nature of the direct or indirect, potential or actual effect on intra-Community trade results from a set of criteria, among which are the nature of the practices, the nature of the products concerned, and the market position of the undertakings involved" (judgment of the Court of Cassation dated January 31, 2012, Orange Caraïbe e.a., No. 10-25.772, page 6; see also, in this sense, judgment of the Paris Court of Appeal dated March 28, 2013, Société des pétroles Shell e. a., No. 2011/18 245 and judgment of the Court of Cassation dated January 20, 2015, Société Chevron Products Company e. a., No. 13-16.745).  </w:t>
        <w:br/>
        <w:t xml:space="preserve">605. Finally, the European Commission recalls in point 45 of its guidelines that: "The assessment of the significant nature depends on the circumstances of each case, and in particular on the nature of the agreement or practice, the nature of the products concerned, and the market position of the undertakings involved. If the agreements or practices are, by their very nature, likely to affect trade between Member States, the threshold for significance is lower than that for agreements and practices that are not, by their very nature, likely to affect that trade. The stronger the market position of the undertakings involved, the more likely it is that an agreement or practice likely to affect trade between Member States can be considered to do so significantly."  </w:t>
        <w:br/>
        <w:t xml:space="preserve">2. ASSESSMENT IN THIS CASE  </w:t>
        <w:br/>
        <w:t xml:space="preserve">606. Roche and Genentech argue that Union law would not be applicable to the present case, given, on the one hand, the national specificities of the pharmaceutical sector and, on the other hand, the specificities of the practices in question, which fall under the category of exploitative abuses, for which the characterization of an effect on trade between Member States is "more complex."  </w:t>
        <w:br/>
        <w:t xml:space="preserve">607. However, the arguments of Roche and Genentech must be dismissed for the following reasons, which demonstrate that the practices in question were likely to transcend national borders and affect trade among Member States.  </w:t>
        <w:br/>
        <w:t xml:space="preserve">608. Firstly, notwithstanding the particularities of the regulatory framework specific to each State and the national specificities related to the more or less widespread use of Avastin in the treatment of AMD, the products in question, Lucentis and Avastin, are marketed throughout the territory of the European Union. The administrative procedures prior to the marketing of these medicines have indeed been conducted at the European level: both Avastin and Lucentis have been subject to a European MA, granted in accordance with the provisions of Directive No. 2001/83/EC of November 6, 2001. Similarly, the procedures for amending the summary of product characteristics ("SPC") for these two medicines have been implemented at the European level, under the auspices of the Committee for Medicinal Products for Human Use ("CHMP"). Furthermore, the question of the comparative efficacy and safety of these two medicines in the treatment of AMD has led to scientific studies in several European countries, such as France (GEFAL study) and the United Kingdom (IVAN study).  </w:t>
        <w:br/>
        <w:t xml:space="preserve">609. Secondly, the companies distributing these products, respectively Novartis and Roche, belong to international pharmaceutical groups that are present through their subsidiaries in most European States.  </w:t>
        <w:br/>
        <w:t xml:space="preserve">610. Lastly, the practices in question, which were implemented at the national level, were likely to influence the sales of Avastin and Lucentis beyond the French territory, and thus to have affected the market structure at the European level. Indeed, communication practices, such as those implemented under grievance No. 1 and grievance No. 2, are likely to influence the structure of a market by contributing to favoring the use of certain products to the detriment of competing products, insofar as these practices occurred in the context of an existing debate at the European level on the comparative efficacy and safety of the two medicines. In these conditions, the decision of a national health authority to favor or restrict the use of Avastin in the treatment of AMD, as well as the positions taken by study groups whose expertise is recognized beyond national borders, may have affected the sales of the concerned medicines in several European countries.  </w:t>
        <w:br/>
        <w:t xml:space="preserve">611. Moreover, the practices in question were part of a European, even global, strategy implemented by the collective entity composed of Novartis, Roche, and Genentech (see paragraphs 713 to 725 of this decision). In this regard, it should be noted that the Autorità Garante della Concorrenza e del Mercato (AGCM) applied Union law in the Italian Roche/Novartis case, with Roche and Novartis being sanctioned on the basis of Article 101(1) TFEU for establishing an anti-competitive agreement "by object" aimed at generating an artificial difference between the specialties Avastin and Lucentis for the treatment of AMD (see paragraphs 236 to 240 above).  </w:t>
        <w:br/>
        <w:t xml:space="preserve">612. It follows from the above that the practices in question are likely to significantly affect trade between Member States and to be qualified under Article 102 TFEU.  </w:t>
        <w:br/>
        <w:t xml:space="preserve">D. ON THE MERITS OF THE NOTIFIED GRIEVANCES  </w:t>
        <w:br/>
        <w:t xml:space="preserve">1. REGARDING THE DELIMITATION OF THE RELEVANT MARKET  </w:t>
        <w:br/>
        <w:t xml:space="preserve">a) The product market  </w:t>
        <w:br/>
        <w:t xml:space="preserve">Applicable Principles  </w:t>
        <w:br/>
        <w:t>613. In its communication on the definition of the relevant market for the purposes of Community competition law (OJEC 1997, C 372, p. 5; hereinafter, the "Commission Communication on the Definition of the Relevant Market"), the European Commission indicated that "a relevant product market comprises all products and/or services that the consumer considers interchangeable or substitutable by reason of their characteristics, their price, and the use to which they are put" (point 7). Following the same approach, the Authority recalled in its 2011 annual report that "the market is defined as the place where the supply and demand for specific products or services meet, considered by buyers or users as substitutable for each other, but not substitutable for other goods and services offered" (page 106).</w:t>
      </w:r>
    </w:p>
    <w:p>
      <w:r>
        <w:rPr>
          <w:b/>
        </w:rPr>
        <w:t>[Pages 103–105]</w:t>
      </w:r>
    </w:p>
    <w:p>
      <w:r>
        <w:t>614. As the Court of Justice emphasizes in the Generics (UK) judgment rendered on a preliminary ruling, "it follows from the case law that the notion of the relevant market implies that effective competition can exist between the products or services that are part of it, which requires a sufficient degree of interchangeability for the same use among all the products or services that are part of the same market. Interchangeability or substitutability is not assessed solely in light of the objective characteristics of the products and services in question. It is also necessary to take into account the conditions of competition and the structure of demand and supply in the market (judgment of January 23, 2018, F. Hoffmann-La Roche e.a., C-179/16, EU:C:2018:25, point 51 as well as cited case law)" (judgment of the Court of Justice of January 30, 2020, Generics (UK), case C-307/18, point 129).</w:t>
      </w:r>
    </w:p>
    <w:p>
      <w:r>
        <w:t>615. The pharmaceutical sector has a particularity in this regard, in that the purchasing decision is not made by the end user, but by the prescribing physician, who chooses the medication to be administered to their patient. In a judgment dated June 15, 1999, Lilly France (appeal No. 97-15185), the Court of Cassation upheld the Paris Court of Appeal, which had considered that "the interchangeability of medicines does not fundamentally depend on their physical or chemical identity, but on their functional interchangeability from the perspective of the dispenser, and therefore, in the case of prescription medicines, also from the perspective of the established physicians."</w:t>
      </w:r>
    </w:p>
    <w:p>
      <w:r>
        <w:t>616. In order to determine the relevant market for products and to assess the substitutability of one medicine for another, it is therefore necessary to take into account the conditions of competition and the structure of demand and supply in the market, evaluated particularly from the perspective of prescribing physicians, which is largely dependent on the therapeutic indications and contraindications of the medicines, as well as the particularities of the patients or the healthcare system concerned.</w:t>
      </w:r>
    </w:p>
    <w:p>
      <w:r>
        <w:t>617. Furthermore, in its judgment rendered on a preliminary ruling in the Italian Roche/Novartis case (judgment of January 23, 2018, Hoffmann-Laroche, C-179/16), the Court of Justice ruled on the possibility of including a medicine used "off-label" in the same relevant market as that of the medicines authorized for the treatment of a given pathology. More specifically, it held that "a national competition authority may include in the relevant market, in addition to the medicines authorized for the treatment of the relevant pathologies, another medicine whose MA does not cover this treatment, but which is used for this purpose and thus has a concrete substitutability relationship with the former. To determine whether such a substitutability relationship exists, this authority must, provided that an examination of the compliance of the product in question with the applicable provisions governing its manufacture or marketing has been carried out by the competent authorities or courts, take into account the result of this examination, assessing its potential effects on the structure of demand and supply" (point 67). More specifically, the Court of Justice emphasized that, to belong to the same product market, medicines must not be manufactured or sold illegally (point 52) and that the fact that a medicine is frequently prescribed outside its indication reveals the existence of a concrete substitutability relationship with the authorized specialties in that indication (point 66). This assessment also concerned the medicines used for the treatment of AMD, which are at issue in the present case.</w:t>
      </w:r>
    </w:p>
    <w:p>
      <w:r>
        <w:t>Appreciation in this case</w:t>
      </w:r>
    </w:p>
    <w:p>
      <w:r>
        <w:t>618. The practices at issue in this case concern the medicines Lucentis and Avastin, anti-VEGF used for the treatment of ocular pathologies, particularly for the treatment of exudative AMD.</w:t>
      </w:r>
    </w:p>
    <w:p>
      <w:r>
        <w:t>619. Indeed, in 2007, Lucentis was authorized for the treatment of this sole pathology. It was only after 2011 that the indications for Lucentis were extended to the treatment of other ocular pathologies (see paragraphs 78 and 80 of this decision). Avastin, for its part, despite its indication in oncology, has been used "off-label" by many physicians in the ophthalmic field, particularly for the treatment of AMD (see particularly, paragraphs 65 to 67 of this decision).</w:t>
      </w:r>
    </w:p>
    <w:p>
      <w:r>
        <w:t>The market for the treatment of exudative AMD</w:t>
      </w:r>
    </w:p>
    <w:p>
      <w:r>
        <w:t>620. In its recommendation of June 2012, HAS recommends the use of anti-VEGF for the treatment of AMD. More specifically, it mentions the anti-VEGF that have an MA for the treatment of AMD, namely ranibizumab (Lucentis) and pegaptanib (Macugen). Furthermore, HAS presented two other specialties that could be used: bevacizumab (Avastin), in "off-label" use, and aflibercept (Eylea), which was then in the process of being authorized.</w:t>
      </w:r>
    </w:p>
    <w:p>
      <w:r>
        <w:t>621. Regarding other forms of treatment, HAS indicates that "Contraindications to anti-VEGF are exceptional and therapeutic alternatives must be discussed on a case-by-case basis" (reference 14380).</w:t>
      </w:r>
    </w:p>
    <w:p>
      <w:r>
        <w:t>622. The HAS recommendation therefore leads to the conclusion that anti-VEGF constitutes the first-line treatment for exudative AMD.</w:t>
      </w:r>
    </w:p>
    <w:p>
      <w:r>
        <w:t>623. This is confirmed by the statements of the ophthalmologists interviewed during the investigation. For example, the head of the ophthalmology department at CHNO des Quinze-Vingt and at the Rothschild ophthalmological foundation stated: "As a preliminary point, I would like to remind you that the therapeutic class of anti-VEGF has revolutionized the management of neovascular AMD" (reference 13584, see also references 13589, 13594, and 13602). Thus, since its arrival on the market in 2007, Lucentis has been – and remains – the reference treatment. Furthermore, Eylea has been regularly used, very shortly after its entry into the French market in 2013 (references 13584 and 7089, see paragraphs 84 to 86 and 183 above). Finally, Avastin was also frequently used for the treatment of AMD and other ocular pathologies, at least until the publication of the DGS instruction in July 2012 (see paragraphs 65 to 67 and 173 to 180 above).</w:t>
      </w:r>
    </w:p>
    <w:p>
      <w:r>
        <w:t>624. Nevertheless, Roche, Genentech, and Novartis argue that Avastin and the other anti-VEGF authorized for the treatment of AMD, such as Lucentis and Eylea, do not belong to the same product market. They particularly argue that the fact that a very small number of physicians have chosen to prescribe Avastin instead of Lucentis is not sufficient to establish a concrete substitutability relationship between these two medicines, which have very different objective characteristics. They further assert that the regulatory framework and the positions of health authorities only allowed physicians to prescribe Avastin for the treatment of AMD in very rare situations, or even prohibited such use. Roche also produces an economic study, demonstrating, according to it, that the volumes of Avastin prescribed after the introduction of the RTU, which legitimized the use of Avastin "off-label," would have remained very low (around 1% according to the PMSI data exploited by this study) while the market shares of Eylea significantly increased as soon as it entered the market (reaching nearly 40% according to the data exploited).</w:t>
      </w:r>
    </w:p>
    <w:p>
      <w:r>
        <w:t>625. However, firstly, the fact that Avastin and Lucentis do not have the same objective characteristics (they differ in terms of ATC class, molecular properties, packaging, mode of action, and mode of delivery) is not sufficient to conclude that these two specialties do not belong to the same relevant market. Indeed, despite the fact that these two medicines have not been authorized for the same therapeutic indication, they have been used regularly and for several years by physicians operating in the most advanced services for the treatment of ocular conditions, for the same indication: the treatment of exudative AMD.</w:t>
      </w:r>
    </w:p>
    <w:p>
      <w:r>
        <w:t>626. First, several physicians indicated that they used Avastin outside the indication provided in its MA, both before and after the arrival of Lucentis on the market. For example, the head of clinical pharmacy at the Paris University Hospitals group indicated in a letter dated January 2012 addressed to the DGS that this establishment had "chosen to use Avastin (bevacizumab) off-label rather than Lucentis (ranibizumab) according to the terms of the MA, not only for economic reasons (Lucentis is indeed 40 times more expensive than our preparation and this approach has allowed us to save 3.5 million euros over 5 years) but also based on our analysis of various scientific publications" (reference 7105). This use, far from being a marginal practice, came from recognized practitioners (KOLs), operating in leading centers for the treatment of ocular conditions (for example, the Hospices civils de Lyon, which is one of the most recognized centers in ophthalmology in France).</w:t>
      </w:r>
    </w:p>
    <w:p>
      <w:r>
        <w:t>627. In this regard, Novartis also acknowledges in its observations in response to the notification of grievances that, when Lucentis arrived on the market in 2007, this medicine faced "an existing practice" and had to contend "with a habit taken by some physicians who used Avastin" (paragraph 773). This practice is confirmed by the AFSSAPS information point from September 2009 in which it states, regarding Avastin: "Its anti-VEGF mode of action, identical to that of the medicines with an MA in ophthalmology (Macugen and Lucentis), leads ophthalmologists to use Avastin in intravitreal injections in the treatment of ocular conditions with neovascularization, such as age-related macular degeneration (AMD)" (reference 48387) or further: "Avastin has a chemical structure similar to that of Lucentis, with ranibizumab being a modified fraction of bevacizumab. This similarity between the two molecules has led practitioners to consider that Avastin could be effective in ophthalmological indications, particularly in the treatment of AMD" (reference 48388).</w:t>
      </w:r>
    </w:p>
    <w:p>
      <w:r>
        <w:t>628. Thus, the practice of using Avastin for the treatment of AMD was linked to the widely shared conviction by the AFSSAPS and a number of physicians, in France as well as in other countries (Italy, Great Britain, etc.) of its effectiveness for this indication.</w:t>
      </w:r>
    </w:p>
    <w:p>
      <w:r>
        <w:t>629. Next, Novartis's internal estimates attest to a significant use of Avastin in the treatment of AMD. For example, in January 2008, Novartis</w:t>
      </w:r>
    </w:p>
    <w:p>
      <w:r>
        <w:rPr>
          <w:b/>
        </w:rPr>
        <w:t>[Pages 106–108]</w:t>
      </w:r>
    </w:p>
    <w:p>
      <w:r>
        <w:t>evaluated the market share of Avastin in France at 15% (see paragraph 180 above; also refer to references 2368, 4705, 13977, and 13978 for other internal estimates). Contrary to Roche's assertions, these estimates, which are based on survey data from ophthalmologists specializing in retina (i.e., Rekam panel) whose sample size is indeed small, lead to relatively wide confidence intervals for Avastin's market share (from 8 to 22% in January 2008 and from 6 to 20% in October 2008), but are sufficient to attest to a significant use of Avastin in the treatment of AMD. Beyond the market share estimates, these internal documents present Avastin as a competitor to Lucentis (see also references 2431 and 45134). Furthermore, no document disputes the reliability of these market share data, which have, on the contrary, been repeatedly used by Novartis to determine its own internal strategy, with the laboratory regularly commissioning these surveys from study organizations (references 3673 and 4705), which attests to the fact that it attributed sufficient probative value to them.</w:t>
      </w:r>
    </w:p>
    <w:p>
      <w:r>
        <w:t>630. Moreover, the usage figures from Hôtel-Dieu, reproduced in an internal Novartis document from June 2010, show that the number of ocular injections performed in 2009 by a single hospital (1,029 ocular injections of Avastin, nearly 650 for the treatment of AMD, reference 13995) was significantly higher than that extracted from the PMSI database for that same year (less than 500 ophthalmological injections of Avastin, of which less than 100 for AMD in public establishments, references 51689 to 51693), with the Hôtel-Dieu data being declarative and probably underestimated according to the very terms of the said document: "Source: Physician declarative data, probably underestimated" (reference 13995).</w:t>
      </w:r>
    </w:p>
    <w:p>
      <w:r>
        <w:t>631. Furthermore, in addition to being contradictory with the aforementioned elements of the file, the PMSI data, used by Roche in its economic study, present numerous limitations, which lead to their being stripped of any probative force for assessing, in the circumstances of the case, the use of Avastin, given the modalities and purpose of the data collection carried out to feed this database.</w:t>
      </w:r>
    </w:p>
    <w:p>
      <w:r>
        <w:t>632. Indeed, the PMSI data, which aim to collect data on hospital activity, reprocessed by Roche to calculate the volumes of Avastin used for the treatment of AMD, only imperfectly cover the "off-label" use of Avastin in the treatment of AMD. On the one hand, they do not take into account the "off-label" use of Avastin within the framework of the GHS. However, given the specificities of the activity-based pricing system, an intravitreal injection of Avastin could be integrated into the GHS and not be subject to any collection. In this sense, the head of the clinical pharmacy service of the G.H. Hôpitaux Universitaire de Paris Centre confirmed that the use of Avastin was taken from its own budget without reimbursement, and therefore without being recorded separately and coded in the PMSI ("the hospital did not gain more since it covered Avastin from its own budget without it being reimbursed," reference 7096). Moreover, the PMSI database allows for tracking reimbursements by Health Insurance and not for medical follow-up of administered treatments: it only makes sense for the transmission of coded acts that give rise to reimbursement. On the other hand, the use of Avastin "off-label" was not limited to hospitals. The internal pharmacy of Hôtel-Dieu, for example, developed a practice of repackaging Avastin into syringes so that these packages could then be used by ophthalmologists for treatments in private practices, as evidenced by an internal Novartis document from June 2010 ("internal use + supplier of 50 centers in wAMD and other indications," reference 13995). Similarly, an internal email from Novartis shows that, as part of an impact study of the RTU for the year 2013, where Novartis examines not only the consequences of the PLFSS on sales of Lucentis in hospitals but also those to office-based physicians, the laboratory acknowledges that Avastin was used "off-label" for the treatment of AMD in the community (reference 50409). However, the volumes of Avastin used in the community are not accounted for in the PMSI.</w:t>
      </w:r>
    </w:p>
    <w:p>
      <w:r>
        <w:t>633. Finally, the positions taken by health authorities confirm that Avastin was frequently used "off-label" for the treatment of AMD. For example, the GEFAL study protocol recalls that AVASTIN was "widely used in an unregulated manner to treat AMD in public establishments but also by private sector ophthalmologists. The numerous publications of reported cases or case series testify to the use of bevacizumab [AVASTIN] off-label worldwide and in France" (emphasis added, reference 2280). Likewise, in its email dated September 10, 2008, following up with Roche to request the necessary samples for conducting stability studies of the Avastin solution repackaged in syringes, in anticipation of the GEFAL study, AFSSAPS notes: "I believe these controls are absolutely necessary, due to the significant off-label use of the product" (emphasis added, reference 16403).</w:t>
      </w:r>
    </w:p>
    <w:p>
      <w:r>
        <w:t>634. Thus, contrary to what Roche, Genentech, and Novartis assert, it is established that Avastin was frequently prescribed for the treatment of AMD and other ocular pathologies, despite the fact that its MA did not cover these indications. Furthermore, several internal documents from Novartis attest to the fact that the use of Avastin "off-label" for the treatment of AMD was perceived as a potential threat to Lucentis, which the practices in question aimed to counter (see in particular paragraphs 259 to 260 and 359 of this decision). Such circumstances therefore reveal the existence of a concrete substitutability relationship between Avastin and other anti-VEGF agents authorized for the treatment of AMD (and other relevant ocular pathologies), including Lucentis.</w:t>
      </w:r>
    </w:p>
    <w:p>
      <w:r>
        <w:t>635. Secondly, contrary to what Roche, Genentech, and Novartis assert, the use of Avastin "off-label" in ophthalmology, and more specifically for the treatment of AMD, was not illegal.</w:t>
      </w:r>
    </w:p>
    <w:p>
      <w:r>
        <w:t>636. In this regard, the Court of Justice ruled, in a judgment rendered on a preliminary question concerning the Italian Roche/Novartis case (judgment of January 23, 2018, Hoffmann-Laroche, C-179/16): "in order to assess to what extent a pharmaceutical product whose MA does not cover the treatment of certain pathologies is substitutable for or interchangeable with another, which is authorized for the treatment of said pathologies, and whether the said products therefore fall within the same relevant market as recalled in points 50 and 51 of this judgment, the national competition authority must, provided that a review of the compliance of the product in question with the applicable provisions governing its manufacture or marketing has been carried out by the competent authorities or courts, take into account the result of this review, in assessing its potential effects on the structure of demand and supply" (point 61). It concluded that, in the present case, "the state of uncertainty surrounding the legality of the conditions for the repackaging and prescription of Avastin for the treatment of ocular pathologies did not prevent the AGCM, for the purposes of applying Article 101, paragraph 1, TFEU, from concluding that this product fell within the same market as another medicine whose MA specifically covers these therapeutic indications" (point 64). However, this preliminary question had been referred by the Italian Council of State in the context of a case that concerned precisely the same medicines as in the present case and the practices implemented by the same companies (Novartis and Roche) to combat the development, in Italy, of the use of Avastin "off-label," in preference to Lucentis, for the treatment of AMD, for cost reasons.</w:t>
      </w:r>
    </w:p>
    <w:p>
      <w:r>
        <w:t>637. In this case, the French regulatory framework did not prohibit the use of Avastin "off-label" for the treatment of ocular pathologies, such as the treatment of AMD.</w:t>
      </w:r>
    </w:p>
    <w:p>
      <w:r>
        <w:t>638. Indeed, firstly, contrary to what the companies in question assert, Article L. 5121-1 of the Public Health Code (which defined "hospital preparations" as follows: "any medicine, except for gene or cell therapy products, prepared according to the indications of the pharmacopoeia and in compliance with the good practices mentioned in Article L. 5121-5, due to the absence of an available or suitable pharmaceutical specialty by an internal pharmacy of a health establishment...") did not prohibit internal hospital pharmacies from repackaging Avastin for use in ophthalmology.</w:t>
      </w:r>
    </w:p>
    <w:p>
      <w:r>
        <w:t>639. An internal hospital pharmacy could thus be led to prepare syringes of Avastin, as long as the physician deemed that there was no suitable pharmaceutical specialty available with a market authorization, which was confirmed by the Council of State in its judgment of February 24, 2017 (rendered in the context of a challenge for abuse of power against the decision of the Director General of ANSM establishing the RTU for Avastin, CE, 1st and 6th combined sections, No. 392459, unpublished, see paragraph 72 of this decision).</w:t>
      </w:r>
    </w:p>
    <w:p>
      <w:r>
        <w:t>640. Thus, even in the presence of a specialty available on the market, such as Lucentis, if the physician deemed that the use of the Avastin specialty was the most appropriate treatment, the repackaging carried out by an internal hospital pharmacy did not contravene the provisions of Article L. 5121-1 of the Public Health Code.</w:t>
      </w:r>
    </w:p>
    <w:p>
      <w:r>
        <w:t>641. Secondly, Article L. 5121-12-1 of the Public Health Code, in its wording resulting from the Bertrand law, did not prohibit any "off-label" use of Avastin for indications for which Lucentis had an MA.</w:t>
      </w:r>
    </w:p>
    <w:p>
      <w:r>
        <w:t>642. Indeed, as emerges from paragraph 69 of this decision, while in practice this legislative evolution has reduced the possibilities for ophthalmologists to use Avastin for the treatment of AMD, given that there was a specialty with an MA for this indication, namely Lucentis, a physician could still, after the Bertrand law, consider that Lucentis was not appropriate for their patient and choose to administer Avastin, in the interest of the latter. This was also confirmed by the Council of State in its aforementioned judgment of February 24, 2017: "Considering that, in light of the development of the practice of prescribing certain specialties outside the indications or conditions of use of their marketing authorization, the potential benefits to be expected as well as the risks incurred, the legislator intended, through the development of temporary recommendations for use, and without the second paragraph of I of Article L. 5121-12-1 of the Public Health Code prohibiting these prescriptions in the absence of a recommendation, to strengthen the guarantees associated with this practice by providing physicians, through the National Agency for the Safety of Medicines and Health Products responsible for their development, with information relating in particular to the expected benefits of the specialty and the risks incurred in the indication or conditions of use in question and by establishing patient follow-up" (emphasis added). Indeed, this ability to administer to patients specialties outside the indication for which the MA was granted stems from the superior principle of freedom of prescription, which has legislative value and is among the ethical rules.</w:t>
      </w:r>
    </w:p>
    <w:p>
      <w:r>
        <w:rPr>
          <w:b/>
        </w:rPr>
        <w:t>[Pages 109–111]</w:t>
      </w:r>
    </w:p>
    <w:p>
      <w:r>
        <w:t>the present decision), il est manifeste qu’Avastin et Lucentis sont en concurrence sur le marché hospitalier.</w:t>
      </w:r>
    </w:p>
    <w:p>
      <w:r>
        <w:t>667. En second lieu, les médecins généralistes et les ophtalmologistes exerçant en ville peuvent également prescrire Avastin et Lucentis, ce qui démontre que ces deux médicaments sont en concurrence sur le marché de la ville.</w:t>
      </w:r>
    </w:p>
    <w:p>
      <w:r>
        <w:t>668. Par conséquent, il convient de conclure que, bien que des différences existent entre les marchés de la ville et de l’hôpital, Avastin et Lucentis doivent être considérés comme des produits concurrents sur les deux marchés.</w:t>
      </w:r>
    </w:p>
    <w:p>
      <w:r>
        <w:t>669. En outre, la distinction entre le marché de la ville et le marché hospitalier ne doit pas occulter le fait que les patients peuvent se voir prescrire l’un ou l’autre de ces médicaments, selon les préférences des médecins et les considérations économiques.</w:t>
      </w:r>
    </w:p>
    <w:p>
      <w:r>
        <w:t>670. En conséquence, l’Autorité considère que les marchés de la ville et de l’hôpital pour le traitement de la DMLA exsudative par anti-VEGF sont interconnectés et doivent être analysés ensemble dans le cadre de la présente décision.</w:t>
      </w:r>
    </w:p>
    <w:p>
      <w:r>
        <w:rPr>
          <w:b/>
        </w:rPr>
        <w:t>[Pages 112–114]</w:t>
      </w:r>
    </w:p>
    <w:p>
      <w:r>
        <w:t>able to coordinate their actions sur le marché » (arrêt du Tribunal du 9 juillet 2003, aff. T-191/98, Atlantic Container Line, point 135).</w:t>
      </w:r>
    </w:p>
    <w:p>
      <w:r>
        <w:t>687. En l'espèce, il ressort des éléments du dossier que Roche, Novartis et Genentech ont des liens économiques et juridiques qui les unissent, notamment à travers des accords de coopération et des échanges d'informations stratégiques. Ces entreprises ont agi de manière coordonnée pour influencer le marché des anti-VEGF, en particulier en ce qui concerne les prix et les stratégies de commercialisation de Lucentis et Avastin.</w:t>
      </w:r>
    </w:p>
    <w:p>
      <w:r>
        <w:t>Sur l’existence d’une position dominante collective</w:t>
      </w:r>
    </w:p>
    <w:p>
      <w:r>
        <w:t>688. Une fois établie l'existence d'une entité collective, il convient d'examiner si cette entité détient une position dominante sur le marché du traitement de la DMLA exsudative. Pour ce faire, il faut analyser la part de marché des entreprises concernées, leur capacité à influencer les prix et les conditions de vente, ainsi que leur comportement sur le marché.</w:t>
      </w:r>
    </w:p>
    <w:p>
      <w:r>
        <w:t>689. Les données disponibles montrent que Roche, Novartis et Genentech, ensemble, détiennent une part de marché significative dans le secteur des anti-VEGF, ce qui leur confère un pouvoir de marché considérable. Leur capacité à influencer les prix de Lucentis et Avastin, ainsi que leur coordination dans les pratiques commerciales, indiquent qu'elles agissent de manière à maintenir leur position sur le marché.</w:t>
      </w:r>
    </w:p>
    <w:p>
      <w:r>
        <w:t>690. En conclusion, il apparaît que Roche, Novartis et Genentech constituent une entité collective qui détient une position dominante sur le marché du traitement de la DMLA exsudative, ce qui soulève des préoccupations en matière de concurrence et justifie une intervention des autorités compétentes.</w:t>
      </w:r>
    </w:p>
    <w:p>
      <w:r>
        <w:rPr>
          <w:b/>
        </w:rPr>
        <w:t>[Pages 115–117]</w:t>
      </w:r>
    </w:p>
    <w:p>
      <w:r>
        <w:t xml:space="preserve">strongly encouraged to align their behavior in the market in order to maximize their joint profit (...) (judgment of the Tribunal dated September 30, 2003, Atlantic Container Line, Case T-191/98 et al., point 595).  </w:t>
        <w:br/>
        <w:t xml:space="preserve">687. The links or correlation factors considered may be either legal or economic. In the case of Compagnie maritime belge, the Court of Justice clarified that the existence of a collective dominant position may result "from the nature and terms of an agreement, the manner of its implementation, and consequently the links or correlation factors between the companies that result from it. However, the existence of an agreement or other legal links is not essential (...) [such a finding] could result from other correlation factors and would depend on an economic assessment, and in particular, an assessment of the market structure" (judgment of the Court of Justice dated March 16, 2000, Compagnie maritime belge, Cases C-395/96 and 396/96, point 45).  </w:t>
        <w:br/>
        <w:t xml:space="preserve">688. Similarly, in decision No. 06-D-02 dated February 20, 2006, regarding practices identified in the roadworks sector related to the production of bituminous mixtures in the Ardennes department, the Competition Council stated: "The existence of structural links between companies on the one hand, such as capital links or formal agreements between them, and the adoption of a common line of action in the market on the other hand, is sufficient to demonstrate the existence of a collective dominant position (CJEU, March 16, 2000, Compagnie maritime belge; GC, October 7, 1999, Irish Sugar; Court of Cassation, March 5, 1996, Total Réunion Comores; Paris Court of Appeal, October 30, 2001, OMVESA; Paris Court of Appeal, June 4, 2002, CFDT Radio Télé). In the absence of such links, the mere structure of the market may highlight a collective dominant position, if the cumulative criteria established by the Court of First Instance in its judgment Airtours of June 6, 2002 (Case T-342/99) are met, namely oligopolistic structure and market transparency, the possibility of retaliating against companies deviating from the common line of action, and finally the non-contestability of the market or the absence of potential competition" (points 107 to 109; see also decisions No. 06-D-18 dated June 28, 2006, regarding practices implemented in the cinema advertising sector, point 180, and No. 12-D-06 dated January 26, 2012, regarding practices implemented in the aggregates sector and downstream markets in Saint-Pierre and Miquelon, point 193).  </w:t>
        <w:br/>
        <w:t xml:space="preserve">On the existence of a dominant position  </w:t>
        <w:br/>
        <w:t xml:space="preserve">689. As in the case of abuse of individual dominant position, it is necessary to determine whether the collective entity has the power, given its particular position in the market, to abstract itself from the behavior of its competitors and customers.  </w:t>
        <w:br/>
        <w:t xml:space="preserve">690. In its decision No. 10-D-36 dated December 17, 2010, regarding practices implemented in the liquefied petroleum gas (LPG) sector, the Authority indicated that: "The concept of collective dominance refers to a group of companies that jointly possess market power comparable to that of a single company in a dominant position, that is to say, allowing it to abstract itself from the competition of other companies active in the same market. The concept of collective dominance thus combines two notions: firstly, that of interdependence, and secondly, the more classical notion of dominance. (...) In this regard, European courts have repeatedly stated that the examination of collective dominance must notably be assessed in light of the ability of the group of companies in question to behave in the relevant market, to a significant extent, in an 'independent' manner with respect to their competitors, their customers, and consumers (see, in particular, the judgment of the Court of Justice of the European Communities dated March 16, 2000, Compagnie maritime belge transports et autres/Commission, joined cases C-395/96 P and C-396/96 P, Rec. p. I-1365, points 33 and 34)" (points 36 and 38).  </w:t>
        <w:br/>
        <w:t xml:space="preserve">691. According to established case law, the assessment of a company's dominant position is based on a set of criteria that takes into account structural data, such as the market shares of the company and those of its main competitors, but also elements that may provide a competitive advantage to the company in question, such as belonging to a powerful group or holding a technological lead.  </w:t>
        <w:br/>
        <w:t xml:space="preserve">692. The Paris Court of Appeal noted that "the existence of a dominant position generally results from the combination of various factors, which, taken in isolation, would not necessarily be decisive but which together reflect the economic power required by case law" (judgment of the Paris Court of Appeal dated December 18, 2014, Sanofi, No. 2013/12370, page 7). The Authority recalled in its decision No. 13-D-11 dated May 14, 2013, regarding practices implemented in the pharmaceutical sector that "such a position may result from various factors characterizing the market itself or the company, such as holding either a legal or de facto monopoly on an activity, or holding substantial market shares. Such a position may also result from belonging to a large group, the weakness of competitors, holding a technological lead, or specific know-how" (point 311).  </w:t>
        <w:br/>
        <w:t xml:space="preserve">693. Regarding market power, outside of any monopoly situation, the Authority emphasized, in its aforementioned decision No. 13-D-11, that "Generally speaking, the examination of market shares is an essential parameter in assessing a company's potential dominance in its market. It follows from the case law of community and national courts that extremely large market shares constitute, by themselves, and unless exceptional circumstances exist, proof of the existence of a dominant position" (point 314). The Court of Justice indeed considers that the sustained possession of an extremely large market share constitutes, unless exceptional circumstances exist, proof of the existence of a dominant position, and that this is the case for a market share of over 50% (judgments of February 13, 1979, Hoffmann-La Roche/Commission, C-85/76, point 41, July 3, 1991, Akzo/Commission, C-62/86, Rec. p. I-3359, point 60, and December 6, 2012, AstraZeneca e.a./Commission, C-457/10 P, point 176).  </w:t>
        <w:br/>
        <w:t xml:space="preserve">694. However, as the Authority has pointed out several times, the analysis of a company's dominant position cannot always be limited to an examination of market shares. Other factors may be taken into account, particularly when the significance of the market share held by the company alone is not sufficient to characterize its dominant position in the market. Thus, consideration may be given to the ratio between the market shares held by the company in question and those held by its competitors, the intensity of competition, and barriers to entry in the relevant market, or even characteristics specific to the company in question: leadership (or capacity for influence) in the market, brand image, financial power (see, in this regard, decisions No. 10-D-32 dated November 16, 2010, regarding practices in the pay television sector, paragraph 532, No. 10-D-02 dated January 14, 2010, regarding practices implemented in the low molecular weight heparins sector, and No. 13-D-11 dated May 14, 2013, regarding practices implemented in the pharmaceutical sector, paragraph 316).  </w:t>
        <w:br/>
        <w:t xml:space="preserve">695. Regarding other factors, the Paris Court of Appeal noted, in a case concerning the pharmaceutical sector, on the one hand, that "the initial patent that this company [Sanofi Aventis] exploited in monopoly for ten years and the importance of the group to which it belongs allowed it to acquire a reference reputation, accentuated in this case by the ten years of experience it can and does assert to health professionals," and on the other hand, that "the visits to doctors permitted by the significant network of medical representatives that Sanofi Aventis had during the implementation of the alleged practices constituted an undeniable tool of influence with prescribers" (judgment of the Paris Court of Appeal dated December 18, 2014, Sanofi, No. 2013/12370, page 7).  </w:t>
        <w:br/>
        <w:t xml:space="preserve">b) Assessment in this case  </w:t>
        <w:br/>
        <w:t xml:space="preserve">696. It is necessary to successively examine whether Genentech, Roche, and Novartis constitute a collective entity, as defined above, and then the position held by this entity in the market for the treatment of exudative AMD.  </w:t>
        <w:br/>
        <w:t xml:space="preserve">On the existence of a collective entity comprising Genentech, Roche, and Novartis  </w:t>
        <w:br/>
        <w:t xml:space="preserve">697. In accordance with the principles outlined above, it is necessary to first examine the existing structural links between Genentech, Roche, and Novartis, and then determine whether these companies have been able to adopt a common line of action.  </w:t>
        <w:br/>
        <w:t xml:space="preserve">The structural links between Genentech, Roche, and Novartis  </w:t>
        <w:br/>
        <w:t xml:space="preserve">698. It appears from the elements of the file that Genentech, Roche, and Novartis are linked by a tight network of significant and strategic structural links (see paragraph 220 of this decision).  </w:t>
        <w:br/>
        <w:t xml:space="preserve">699. On the one hand, Genentech is linked to Roche and Novartis through licensing agreements concerning the marketing of Avastin and Lucentis, respectively.  </w:t>
        <w:br/>
        <w:t xml:space="preserve">700. Indeed, as previously indicated, the laboratory Genentech was the originator of the research on anti-VEGF and developed, in this context, ranibizumab (Lucentis) and bevacizumab (Avastin). The laboratory, which markets these two specialties in the American territory, has granted licenses for each of these products, respectively to Novartis and Roche for the rest of the world.  </w:t>
        <w:br/>
        <w:t xml:space="preserve">701. The contracts binding Genentech and Novartis, on the one hand, and Roche, on the other hand, provide for a very organized system of information feedback, discussion forums, and joint management committees.  </w:t>
        <w:br/>
        <w:t>702. Indeed, as highlighted in paragraphs 199 to 209 of this decision, while the licensing agreement binding Genentech and Roche for Avastin grants the latter a certain autonomy, particularly regarding relations with regulatory authorities outside the United States and efforts to promote and market the drug, this occurs within a very constrained framework. In particular, the marketing of Avastin can only be carried out within the framework of a development plan defined well in advance, including the initial indications, as well as other indications that may be developed (reference 50401). In this context, Roche is required to regularly inform Genentech about the commercial policy and positioning of Avastin in the granted territory (reference 50400). This information feedback mechanism is further complemented by the numerous contacts occurring between the two laboratories within the framework of the various committees (joint marketing committee, management committee, development committee, joint financial committee) created by the framework agreement binding them (references 45041 and 45042).</w:t>
      </w:r>
    </w:p>
    <w:p>
      <w:r>
        <w:rPr>
          <w:b/>
        </w:rPr>
        <w:t>[Pages 118–120]</w:t>
      </w:r>
    </w:p>
    <w:p>
      <w:r>
        <w:t>703. Similarly, regarding the license agreement concluded between Genentech and Novartis for Lucentis, as highlighted in paragraphs 210 to 220 of this decision, while each company is responsible for the regulatory and marketing activities of Lucentis in its respective territory, this autonomy is framed within a very structured context, in which both laboratories agree on the main decisions concerning the product's lifecycle, whether it concerns the development of new indications, the preparation of the scientific dossier, or the commercial positioning of the product. In particular, while both laboratories jointly define a development plan corresponding to the treatment of eye diseases (references 15512 and 45138), Novartis cannot organize or support studies outside this scope (reference 15530). The agreement also provides for a large number of information and consultation obligations between Novartis and Genentech on all aspects of Lucentis's lifecycle (references 15495 and 15496, references 45114 and 45115), as well as numerous contacts within committees (joint management committee and joint project team) established by the agreement (references 45139 and 15560).</w:t>
      </w:r>
    </w:p>
    <w:p>
      <w:r>
        <w:t>704. Roche, Genentech, and Novartis argue on this point that the information exchanges organized under these contracts cannot be considered as characterizing a collective dominant position, as they are limited to what is necessary between a licensor and a licensee, and do not exceed the traditional framework of a standard license agreement. However, while it is true that an exchange of information between a licensee and a licensor regarding the development and marketing of a licensed product generally falls within the classic implementation of commercial relationships between the concerned companies, the existence of such obligations may nonetheless be among the indicators used to characterize the existence of a collective entity.</w:t>
      </w:r>
    </w:p>
    <w:p>
      <w:r>
        <w:t>705. Furthermore, Genentech, Roche, and Novartis have particularly significant cross-shareholding ties.</w:t>
      </w:r>
    </w:p>
    <w:p>
      <w:r>
        <w:t>706. Indeed, as highlighted in paragraphs 188 and 220 of this decision, Roche was the majority shareholder of Genentech until 2009 and has held 100% of its capital since that date. Moreover, as noted in paragraph 195 of this decision, Novartis holds a non-controlling stake in Roche's capital, with 6.2% of the capital (the non-voting shares representing 81.5% of Roche Holding's capital) and 33.33% of the voting rights of Roche Holding (reference 47658).</w:t>
      </w:r>
    </w:p>
    <w:p>
      <w:r>
        <w:t>The common course of action of Genentech, Roche, and Novartis</w:t>
      </w:r>
    </w:p>
    <w:p>
      <w:r>
        <w:t>707. The contractual and capital structure existing between the laboratories Genentech, Roche, and Novartis has allowed them to adopt a common course of action in the market regarding the marketing of Lucentis and Avastin.</w:t>
      </w:r>
    </w:p>
    <w:p>
      <w:r>
        <w:t>708. Firstly, the structural ties presented above have enabled Genentech, Roche, and Novartis to be aware of each other's behaviors, and thus to ensure that they adopt the same course of action.</w:t>
      </w:r>
    </w:p>
    <w:p>
      <w:r>
        <w:t>709. Indeed, the aforementioned contractual provisions – and more specifically, the common management committees and the information exchanges they organize – ensure genuine transparency between the licensor and its licensees regarding their respective commercial, legal, and administrative policies. More specifically, Roche and Novartis have the opportunity to know the essential elements of their respective commercial policies, as well as the status of their relationships with health authorities, given Genentech's central role (revealed notably by its involvement in the practices sanctioned under grievance No. 2, cf. paragraphs 1018 to 1028 of this decision). Furthermore, the control exercised by Roche over Genentech allows, at the very least, for transparency of information with its subsidiary.</w:t>
      </w:r>
    </w:p>
    <w:p>
      <w:r>
        <w:t>710. Novartis argues that the contracts concluded with Genentech organize a certain autonomy for the parties in their respective territories regarding commercial and regulatory activities. However, it remains that these contracts organize a close collaboration on all aspects of the lifecycle of the concerned products (whether it concerns the development of new indications, the launch of new studies, relations with public authorities, scientific communications, or the commercial positioning of each product). In particular, as Novartis itself points out in its observations, the laboratory practically has no autonomy to decide to develop new indications for Lucentis if this were to contradict the development plan defined jointly with Genentech.</w:t>
      </w:r>
    </w:p>
    <w:p>
      <w:r>
        <w:t>711. Thus, even though each of the two licensees theoretically has the possibility of planning autonomous developments regarding the molecule for which it holds a license, the economy of the signed contracts provides that the involved parties must follow a common development plan. It is therefore impossible for one of the companies to prepare the development of a drug in a new indication, or to modify its commercial and scientific discourse, without the others being informed.</w:t>
      </w:r>
    </w:p>
    <w:p>
      <w:r>
        <w:t>712. Finally, although Roche and Novartis do not have a direct relationship under these various license agreements, the fact that Genentech is at the heart of this contractual system has allowed it to synthesize the economic, legal, and scientific stakes for the two molecules and to establish a common policy, as evidenced by the exchanges between the "Avastin team" and the "Lucentis team" at the time of the French government's announcement of its legislative reform plans regarding RTUs (cf. paragraphs 20 to 28 and 474 of this decision). Thus, Genentech, which formulated the positioning principles of Avastin and Lucentis for the entire world, directly intervened in determining the responses to be provided to the public debate regarding the marketing of its products, Avastin and Lucentis, in France. In this context, Roche and Novartis developed a very similar discourse, based on the same technical elements, largely provided by Genentech (cf. paragraphs 1018 to 1028 of this decision).</w:t>
      </w:r>
    </w:p>
    <w:p>
      <w:r>
        <w:t>713. Secondly, there was a strong financial incentive for the three laboratories not to deviate from the common course of action in the market, aimed at limiting "off-label" prescriptions of Avastin in favor of Lucentis sales.</w:t>
      </w:r>
    </w:p>
    <w:p>
      <w:r>
        <w:t>714. Indeed, given the price differences between the two specialties and the practice of producing several syringes from a single vial of Avastin (cf. paragraph 66 of this decision), any use of Avastin instead of Lucentis for an injection in the eye was likely to result in a significant loss of earnings for each of the three concerned laboratories. Firstly, for Novartis, which receives, as a licensee, the product of Lucentis sales in the concerned market: its commercial interest lies in maximizing sales of this product. Secondly, for Genentech, which receives, as a licensor, royalties from Lucentis sales in the concerned market: at equivalent doses, this laboratory receives less licensing revenue for Avastin sales in ophthalmology than for those of Lucentis. Finally, for Roche, which, as the principal and then sole shareholder of Genentech since March 2009, benefits from the profits of its subsidiary: its interests are therefore aligned with those of the American laboratory.</w:t>
      </w:r>
    </w:p>
    <w:p>
      <w:r>
        <w:t>715. Thus, given Roche's capital holding in Genentech, the commercial and development policies of these two entities are very closely linked, with Genentech depending on Roche for setting the general directions of its actions. In this context, Roche had no interest in pursuing a policy of positioning Avastin in the market in a way that did not align with the interests of its subsidiary Genentech.</w:t>
      </w:r>
    </w:p>
    <w:p>
      <w:r>
        <w:t>716. Roche and Genentech nonetheless argue that the fact that Genentech is not present in the French market for the treatment of exudative AMD and that Roche would be almost absent from the market undermines this finding. Similarly, Novartis contests, on the one hand, Genentech's commercial interest in maintaining a distinction between the indications of Avastin and Lucentis and, on the other hand, that this interest would have been shared by Novartis and Roche.</w:t>
      </w:r>
    </w:p>
    <w:p>
      <w:r>
        <w:t>717. However, it emerges from the case law that a collective dominant position can be characterized even when the concerned companies are not active in the same markets (judgments of the Court of Justice of April 27, 1994, Almelo, C-393/92 and of the Tribunal of October 7, 1999, Irish Sugar, T-228/97).</w:t>
      </w:r>
    </w:p>
    <w:p>
      <w:r>
        <w:t>718. Now, in this case, while Genentech is not active in France, it has developed both bevacizumab (Avastin) and ranibizumab (Lucentis) and exploits both in the United States (cf. paragraphs 61, 63, and 76 of this decision). Thus, in addition to receiving royalties from Novartis on Lucentis sales in the rest of the world, Genentech had a clear commercial interest in promoting a strict distinction between the use of Avastin in oncology and that of Lucentis in ophthalmology, regarding sales made in the American territory (where Lucentis cost $2,000 per dose, while the cost of treatment with Avastin ranged between $50 and $150). In this context, the development of the use of Avastin for the treatment of AMD, and more generally in ophthalmology, as well as the recognition of the efficacy and safety of this specialty by the French health authorities, was likely to have an effect on the American market, favoring the use of this alternative treatment to Lucentis. The scientific debate on the use of Avastin in ophthalmology being global (with studies conducted in the United States, Great Britain, or France, for example, as evidenced by the scientific studies presented in paragraphs 94 to 128 of this decision), Genentech therefore had no incentive to promote competition between the two products in the French market.</w:t>
      </w:r>
    </w:p>
    <w:p>
      <w:r>
        <w:t>719. Regarding the alleged near-absence of Roche in the market for the treatment of exudative AMD, it emerges from the preceding developments on the competitive relationship between Lucentis and Avastin (cf. paragraphs 618 to 682 of this decision) that this argument is actually lacking.</w:t>
      </w:r>
    </w:p>
    <w:p>
      <w:r>
        <w:t>720. Therefore, the laboratory Genentech, although present only in the American market, had a clear interest in adopting a common course of action with its licensees, Novartis and Roche, notably through information exchanges, in order to maximize its profit.</w:t>
      </w:r>
    </w:p>
    <w:p>
      <w:r>
        <w:t>721. This common course of action is also evident from several documents in the file, such as the email dated May 8, 2013, sent by the Lucentis product manager at Genentech to employees of the Roche group, mentioning a meeting with Novartis, with a view to adopting a common communication strategy at the time of the publication of the GEFAL study (cf. paragraph 430 of this decision) or the email exchanges at the end of June 2012 between Roche and the "LifeCycle Leader Avastin" of Genentech, presenting the position to be taken on the "off-label" use of Avastin in the treatment of AMD (cf. paragraphs 471 to 475 of this decision). These elements unequivocally demonstrate</w:t>
      </w:r>
    </w:p>
    <w:p>
      <w:r>
        <w:rPr>
          <w:b/>
        </w:rPr>
        <w:t>[Pages 121–123]</w:t>
      </w:r>
    </w:p>
    <w:p>
      <w:r>
        <w:t xml:space="preserve">of Avastin in the treatment of AMD (see paragraphs 471 to 475 of this decision). These elements unequivocally demonstrate that Genentech was involved in formulating responses to the public debate concerning the marketing of its products, Avastin and Lucentis, in France.  </w:t>
        <w:br/>
        <w:t xml:space="preserve">722. Contrary to Roche's assertions, the fact that the contractual provisions of the license agreements concluded by Genentech with Roche and Novartis require each licensee to maximize the profit of each of the concerned products does not undermine this finding. Moreover, the elements demonstrating Genentech's involvement in the abuse referred to in grievance No. 2 attest to the fact that it was the American laboratory that largely provided the useful elements to Roche and Novartis to develop and disseminate their discourse emphasizing the risks associated with the use of Avastin "off-label" in ophthalmology (see paragraphs 1018 to 1028 of this decision).  </w:t>
        <w:br/>
        <w:t xml:space="preserve">723. Consequently, the financial interests of Genentech, Roche, and Novartis were perfectly aligned around the preferential marketing of Lucentis, to the detriment of Avastin sales.  </w:t>
        <w:br/>
        <w:t xml:space="preserve">724. In this regard, it should be emphasized that, contrary to the claims of Roche and Genentech, the fact that the three laboratories never presented themselves as a single entity does not hinder this finding. Indeed, it emerges from the aforementioned case law that several companies can be considered as constituting a collective entity, even if they do not formally present themselves as a single operator, as long as they "act together as a collective entity" (see paragraph 686 of this decision).  </w:t>
        <w:br/>
        <w:t xml:space="preserve">725. It follows from the above that the network of license agreements established by Genentech, as well as the combination of their provisions, the modalities of their effective application, Genentech's interest in maintaining a distinction between Avastin and Lucentis, and the capital links existing between Roche and Genentech, have encouraged these companies to adopt coordinated behavior in the market and have very strongly limited their possibilities for divergent actions.  </w:t>
        <w:br/>
        <w:t xml:space="preserve">Conclusion on the collective entity formed by Genentech, Roche, and Novartis  </w:t>
        <w:br/>
        <w:t xml:space="preserve">726. In light of the above, it should be considered that Genentech, Roche, and Novartis form a collective entity for the purposes of the marketing of Avastin and Lucentis.  </w:t>
        <w:br/>
        <w:t xml:space="preserve">On the dominant position held by the collective entity  </w:t>
        <w:br/>
        <w:t xml:space="preserve">727. In accordance with the principles outlined above, it is necessary to examine whether the collective entity formed by Genentech, Roche, and Novartis had market power allowing it to disregard competition from other companies present in the market and the reactions of customers and consumers.  </w:t>
        <w:br/>
        <w:t xml:space="preserve">728. In this regard, it is important to examine the market shares of the collective entity, as well as the specific characteristics of the sector concerned.  </w:t>
        <w:br/>
        <w:t xml:space="preserve">On the market shares held by the collective entity  </w:t>
        <w:br/>
        <w:t xml:space="preserve">729. The elements present in the file show that the collective entity, formed by Genentech, Roche, and Novartis, had, at the time of the practices, very significant market shares in the French market for the treatment of exudative AMD.  </w:t>
        <w:br/>
        <w:t xml:space="preserve">730. Indeed, between 2008 and 2013, among all the medicines marketed for the treatment of exudative AMD in France (Lucentis, Avastin, Visudyne, and Macugen, see paragraphs 62 to 91 of this decision), only Macugen – distributed by Pfizer and representing, according to Novartis's internal estimates, only 4% of the market share in 2008 (reference 2424) – was not held by this entity.  </w:t>
        <w:br/>
        <w:t xml:space="preserve">731. In contrast, after its market entry in November 2013, Eylea – marketed in Europe by Bayer – captured 36% of the market share within three months (see paragraph 183 of this decision).  </w:t>
        <w:br/>
        <w:t xml:space="preserve">732. However, the companies involved assert, on the one hand, that the collective entity was constrained in its course of action, well before Eylea's effective market entry in November 2013, by the potential competition represented by the upcoming arrival of this medicine on the market. More specifically, Roche, Genentech, and Novartis argue that Eylea could be considered a potential competitor, thereby exerting competitive pressure on the collective entity, as early as the end of 2007, when phase III trials for aflibercept (Eylea) were launched.  </w:t>
        <w:br/>
        <w:t xml:space="preserve">733. In this case, while it is true that several internal documents from Novartis, dating from 2010 and 2012, mentioned the upcoming competition from Eylea, it must be noted that none of the elements in the file demonstrate Bayer's ability to access the market with this medicine within a timeframe capable of exerting competitive pressure on the collective entity at the time of the practices in question. On the contrary, the laboratory marketing Lucentis did not anticipate the arrival of this competitor before the end of 2011, as evidenced by an internal Novartis document from July 2008 ("VEGF Trap Eye (...) Bayer (...) Launch date: Q3-Q4 2011 (EU)," reference 2368; and "First real competitor: VEGF Trap (Regeneron) will be launched in 2011," reference 2446). However, this medicine would ultimately only be distributed in France starting in November 2013 (see paragraph 86 of this decision).  </w:t>
        <w:br/>
        <w:t xml:space="preserve">734. Moreover, according to European case law, "for an operator to be classified as a potential competitor, its potential entry must be able to occur quickly enough to exert and thus apply competitive pressure on market participants" (judgment of the Court of Justice of January 30, 2020, Generics (UK), case C-307/18, points 43 and 44). Specifically regarding the assessment of the situation of potential competition for the purposes of Article 102 TFEU, the Court of Justice clarified that a manufacturer can be considered a potential competitor if it is "able to present itself shortly on the relevant market with sufficient strength to constitute a serious counterweight" (judgment of the Court of Justice of January 30, 2020, Generics (UK), case C-307/18, point 133).  </w:t>
        <w:br/>
        <w:t xml:space="preserve">735. Therefore, even if the development of Eylea was known since 2007, this medicine cannot be considered to have constituted, before November 2013, a serious counterweight to the collective entity formed by Genentech, Roche, and Novartis. Moreover, no element in the file allows us to conclude that the potential market entry of Eylea would have been capable of constraining behavior and undermining the common action plan of the collective entity, as only its presence on the market as a real and immediate alternative could have allowed demand to potentially exert pressure on the collective entity.  </w:t>
        <w:br/>
        <w:t xml:space="preserve">736. On the other hand, Roche and Genentech argue that only a simple dominant position of Novartis could, in theory, be established, given the extremely high market shares of this laboratory, the virtually non-existent presence of Roche, and the total absence of Genentech in the relevant market. Roche and Genentech particularly assert that it is only in cases where no company has sufficient power in the market to characterize a simple dominant position that it may be necessary to verify the existence of a collective dominant position.  </w:t>
        <w:br/>
        <w:t xml:space="preserve">737. Contrary to the claims of the parties involved, when ruling on an abuse of collective dominant position, the Authority is not required to first examine whether the operators in the market hold a simple dominant position.  </w:t>
        <w:br/>
        <w:t xml:space="preserve">738. In this case, while it is true that Novartis had very high individual market shares, in this instance, the laboratory did not have the ability to develop behavior independent of that of Roche and Genentech in the French market for the treatment of exudative AMD. Indeed, the "quasi-monopolistic" situation enjoyed by Lucentis directly depended on the attitude of Roche and its licensor Genentech regarding the use of Avastin in ophthalmology. And, as recalled in paragraphs 707 to 725 of this decision, the development and lifecycle management strategy of Lucentis was determined in close collaboration with Genentech and Roche through, among other things, management committees.  </w:t>
        <w:br/>
        <w:t xml:space="preserve">739. Furthermore, not only did Roche not oppose the discourse conveyed by Novartis to professionals and health authorities, but it adopted, contrary to any individual economic rationality, a communication similar to that of its competitor, in favor of the use of Lucentis and, in fact, to the detriment of the sales of its own product, Avastin (see paragraphs 843, 894, and 1034 of this decision).  </w:t>
        <w:br/>
        <w:t xml:space="preserve">740. Consequently, contrary to the assertions of Roche and Genentech, Novartis did not, in any event, have the capacity to develop independent behavior in the French market for the treatment of exudative AMD. Conversely, as emerges from the developments above, the collective entity formed by Genentech, Roche, and Novartis was not confronted, until the end of 2013, with any competitor likely to challenge its market power.  </w:t>
        <w:br/>
        <w:t xml:space="preserve">On the specific characteristics of the sector and the actors involved  </w:t>
        <w:br/>
        <w:t xml:space="preserve">741. Firstly, Novartis is, according to its own analyses, a reference laboratory in the field of ophthalmology in the French market (see notably references 2424 and 2521), which has developed particular relationships with the various actors in the sector.  </w:t>
        <w:br/>
        <w:t xml:space="preserve">742. Indeed, Novartis has a significant network of medical visitors and specialized hospital delegates who maintain daily relationships with ophthalmologists (see paragraph 258 of this decision). It has also established internal medical teams, the MSLs (or "medical referents"), which allow it to possess scientific expertise in the field of ophthalmology and to position itself as a credible interlocutor with practitioners (see paragraph 233 of this decision). Furthermore, it maintains important links with the leading physicians in the sector, the KOLs (or "Key Opinion Leaders"), and with major hospital services, by organizing advisory committees, participating in congresses and seminars, and funding numerous research protocols (see paragraphs 234 and 235 of this decision). Finally, Novartis is a privileged partner of the main associations of patients suffering from AMD (Retina France and Association DMLA).  </w:t>
        <w:br/>
        <w:t xml:space="preserve">743. Secondly, the pharmaceutical sector is, given the objective of public health protection, highly regulated and characterized by particularly high barriers to entry.  </w:t>
        <w:br/>
        <w:t>744. In fact, the process for obtaining a marketing authorization or an extension of indication for a medicine is particularly long and complex. It is indeed necessary to conduct, in addition to the development of the molecule, large-scale clinical studies and to follow complex administrative procedures (granting of the marketing authorization).</w:t>
      </w:r>
    </w:p>
    <w:p>
      <w:r>
        <w:rPr>
          <w:b/>
        </w:rPr>
        <w:t>[Pages 124–126]</w:t>
      </w:r>
    </w:p>
    <w:p>
      <w:r>
        <w:t xml:space="preserve">dispose de façon absolument objective, complète et fiable (décisions n° 13-D-11, précitée, point 357 ; n° 13-D-21, précitée, point 354).  </w:t>
        <w:br/>
        <w:t xml:space="preserve">768. Finally, the Authority notes that the mission of health agencies, which are responsible for ensuring, through their safety and health vigilance missions, the effectiveness, quality, and proper use of all health products, particularly relies on the transmission of information by health professionals as well as by pharmaceutical laboratories (decision No. 17-D-25, aforementioned, point 420).  </w:t>
        <w:br/>
        <w:t xml:space="preserve">b) Regarding the practice targeted by grievance No. 1  </w:t>
        <w:br/>
        <w:t xml:space="preserve">Applicable Principles  </w:t>
        <w:br/>
        <w:t xml:space="preserve">769. In a judgment dated December 18, 2014, the Paris Court of Appeal considered "that the provisions of domestic and community law prohibiting the implementation of practices that could hinder competition must be strictly interpreted."  </w:t>
        <w:br/>
        <w:t xml:space="preserve">770. The Authority will now examine the practices of Genentech, Roche, and Novartis in light of these principles.  </w:t>
        <w:br/>
        <w:t xml:space="preserve">771. The Authority notes that the practices in question were implemented in a highly regulated environment, where the stakes are significant, particularly concerning public health and patient safety.  </w:t>
        <w:br/>
        <w:t xml:space="preserve">772. The Authority will analyze the communication practices of Novartis towards health professionals, patient associations, the general public, and health authorities, as well as the communication practices of Roche, Novartis, and Genentech towards health authorities.  </w:t>
        <w:br/>
        <w:t xml:space="preserve">773. The Authority will also consider the context in which these practices were carried out, including the risk aversion of health professionals and the representatives of health authorities, which is particularly pronounced in this sector due to the human stakes involved.  </w:t>
        <w:br/>
        <w:t xml:space="preserve">774. The Authority has previously noted that health professionals, particularly those involved in decision-making at AFSSAPS, exhibit a risk aversion due to the potential legal implications of their decisions on public health (Paris Court of Appeal judgment of July 11, 2019, Janssen-Cilag SAS, No. 18/01945, point 273).  </w:t>
        <w:br/>
        <w:t xml:space="preserve">775. The Authority has also recognized that disparaging communication by a dominant company against a new competing product can hinder its market access, especially in the pharmaceutical sector, where such communication can raise concerns about the efficacy or safety of a new drug (Paris Court of Appeal judgment of July 11, 2019, Janssen-Cilag SAS, No. 18/01945, point 411).  </w:t>
        <w:br/>
        <w:t xml:space="preserve">776. The Authority has made this observation multiple times (decisions No. 13-D-11, aforementioned, point 358; No. 13-D-21, aforementioned, point 355; and No. 17-D-25, aforementioned, point 419).  </w:t>
        <w:br/>
        <w:t xml:space="preserve">777. Therefore, it is essential to consider the strong resistance to change among prescribing physicians and pharmacists, as well as the risk aversion of health professionals, in the analysis of a pharmaceutical laboratory's commercial discourse (Paris Court of Appeal judgment of December 18, 2014, No. 2013/12370, page 14, confirmed by a judgment of the Court of Cassation on October 18, 2016, No. 15-10384).  </w:t>
        <w:br/>
        <w:t xml:space="preserve">778. Furthermore, the Authority has previously noted that physicians do not always have precise and complete knowledge of all available medications (decisions No. 13-D-11 of May 14, 2013, regarding practices implemented in the pharmaceutical sector, point 347; No. 13-D-21 of December 18, 2013, regarding practices implemented in the French market for high-dose buprenorphine marketed in the community, point 350; and No. 17-D-25, aforementioned, point 415).  </w:t>
        <w:br/>
        <w:t xml:space="preserve">779. The Authority has also previously addressed the central role of "medical visits" by representatives of laboratories (known as "medical visitors"), who present medications to physicians. This constitutes, for physicians, a major source of information about medications due to its accessibility, cost-free nature, and interactivity (decisions No. 13-D-11, aforementioned, points 352 to 357; No. 13-D-21, aforementioned, point 353; and No. 17-D-25, aforementioned, point 417).  </w:t>
        <w:br/>
        <w:t>780. The importance of medical visits as a source of information thus imposes on those who conduct them, namely the medical visitors, the obligation to share the information they possess in an absolutely objective, complete, and reliable manner (decisions No. 13-D-11, aforementioned, point 357; No. 13-D-21, aforementioned, point 354).</w:t>
      </w:r>
    </w:p>
    <w:p>
      <w:r>
        <w:rPr>
          <w:b/>
        </w:rPr>
        <w:t>[Pages 127–129]</w:t>
      </w:r>
    </w:p>
    <w:p>
      <w:r>
        <w:t>disposes of absolutely objective, complete, and reliable information (decisions No. 13-D-11, aforementioned, point 357; No. 13-D-21, aforementioned, point 354).</w:t>
      </w:r>
    </w:p>
    <w:p>
      <w:r>
        <w:t>768. Finally, the Authority notes that the mission of health agencies, which are responsible for ensuring, through their safety and health vigilance missions, the effectiveness, quality, and proper use of all health products, particularly relies on the transmission of information by health professionals as well as by pharmaceutical laboratories (decision No. 17-D-25, aforementioned, point 420).</w:t>
      </w:r>
    </w:p>
    <w:p>
      <w:r>
        <w:t>b) Regarding the practice targeted by grievance No. 1</w:t>
      </w:r>
    </w:p>
    <w:p>
      <w:r>
        <w:t>Applicable Principles</w:t>
      </w:r>
    </w:p>
    <w:p>
      <w:r>
        <w:t>769. In a judgment dated December 18, 2014, the Paris Court of Appeal considered "that the provisions of domestic and community law prohibiting the implementation of abusive practices of dominant position are drafted in general terms and that any practice, including disparagement of current or potential competitors, is likely to constitute an abuse as provided by these texts as long as it has the object or may have the effect of distorting competition (Article L. 420-2 of the Commercial Code) or is likely to affect trade between Member States of the European Union (Article 102 TFEU)" (judgment No. 2013/12370, confirmed by the judgment of the Court of Cassation of October 18, 2016, No. 15-10384).</w:t>
      </w:r>
    </w:p>
    <w:p>
      <w:r>
        <w:t>770. According to a consistent decision-making practice of the Authority, disparagement may consist of publicly discrediting a person, product, or identified service. It is distinguished from criticism in that it emanates from an economic actor seeking to gain a competitive advantage by penalizing its competitor (decisions No. 13-D-11 of May 14, 2013, regarding practices implemented in the pharmaceutical sector, point 365; No. 13-D-21 of December 18, 2013, regarding practices implemented in the French market for high-dose buprenorphine marketed in the city, point 360; and decision No. 17-D-25 of December 20, 2017, regarding practices implemented in the sector of transdermal fentanyl devices, point 530).</w:t>
      </w:r>
    </w:p>
    <w:p>
      <w:r>
        <w:t>771. For disparagement to be qualified as an abuse of dominant position, a link must be established between the dominance of the company and the practice of disparagement (decision No. 09-D-14 of March 25, 2009, regarding practices implemented in the electricity supply sector, points 57 and 58, confirmed by the judgment of the Paris Court of Appeal of March 23, 2010, Gaz et électricité de Grenoble, No. 2009/09599; see also decision No. 10-D-32 of November 16, 2010, regarding practices in the pay television sector, point 305, and decisions No. 13-D-11, aforementioned, point 366; No. 13-D-21, aforementioned, point 361; and No. 17-D-25, aforementioned, point 531).</w:t>
      </w:r>
    </w:p>
    <w:p>
      <w:r>
        <w:t>772. To assess the existence of a disparagement practice, the Authority first focuses on verifying whether the commercial discourse held by the company in a dominant position is based on objective findings or whether it consists of unverified assertions (decision No. 07-D-33 of October 15, 2007, regarding practices implemented by France Télécom in the broadband Internet access sector, point 305; see also decisions No. 13-D-11, aforementioned, point 367; No. 13-D-21, aforementioned, point 362; and No. 17-D-25, aforementioned, point 532).</w:t>
      </w:r>
    </w:p>
    <w:p>
      <w:r>
        <w:t>773. In the pharmaceutical sector, the Authority considers that while it is perfectly permissible for a laboratory to highlight the objective qualities of a product, emphasizing not only qualities but differences that, in the context of the discourse held and the conditions under which it is heard, can only be understood as substantial differences, likely to raise an objective doubt about the qualities of competing generic specialties or the risks associated with substitution, may indicate an intention to mislead the practitioner and constitute an abuse of dominant position (decisions No. 13-D-11, aforementioned, point 373; No. 13-D-21, aforementioned, point 365; and No. 17-D-25, aforementioned, point 533).</w:t>
      </w:r>
    </w:p>
    <w:p>
      <w:r>
        <w:t>774. This analysis has been confirmed by the Paris Court of Appeal. It thus emphasized that "on the one hand, the disclosure of information likely to discredit a competitor constitutes disparagement, regardless of whether it is accurate (Com., September 24, 2013, appeal No. 12-19.790); on the other hand, the disclosure of information likely to discredit a product constitutes disparagement, unless the information in question relates to a matter of general interest and is based on sufficient factual grounds, and provided that it is expressed with a certain measure (Com., January 9, 2019, appeal No. 17-18.350)" (judgment of July 11, 2019, Janssen-Cilag SAS, No. 18/01945, point 353; see also judgment of the Court of Cassation of March 4, 2020, A.St.A World-Wide, No. 18-15.651). Similarly, it ruled that "the dissemination of negative information, or even the instillation of doubt about the intrinsic qualities of a drug, may be sufficient to immediately discredit it among health professionals." Indeed, "instilling doubt in the minds of health professionals, focused on the quality or properties of the generic drug, by providing incomplete, ambiguous information or presenting it in such a way as to suggest the existence of a risk in substituting it or unjustifiably maintaining a fear or prevention in this regard, constitutes a disloyal and abusive practice, which, if it has the object and may have the effect of restricting the market dissemination of this generic drug, contravenes the provisions (...) of competition law" (judgment of the Paris Court of Appeal of December 18, 2014, No. 2013/12370, page 14, confirmed by a judgment of the Court of Cassation of October 18, 2016, No. 15-10384).</w:t>
      </w:r>
    </w:p>
    <w:p>
      <w:r>
        <w:t>775. In direct connection with the case at hand, the Court of Justice ruled, in the judgment rendered on the preliminary question in the Roche/Novartis case (judgment of January 23, 2018, Hoffmann-Laroche, C-179/16), that information that "aimed, on the one hand, to mislead the EMA and the Commission and to obtain the addition of the mention of adverse effects in the summary of product characteristics of this product, in order to allow the holder of the MA to engage in a communication campaign with health professionals, patients, and other concerned parties to artificially amplify this perception, and, on the other hand, to exaggerate, in a context of scientific uncertainty, the public's perception of the risks associated with the off-label use of Avastin, particularly given that the EMA and the Commission did not modify the summary of characteristics of this drug regarding its 'adverse effects,' but merely issued 'special warnings and precautions for use'" (point 92).</w:t>
      </w:r>
    </w:p>
    <w:p>
      <w:r>
        <w:t>776. In this sense, the Paris Court of Appeal emphasized "on the one hand, that the disclosure of information likely to discredit a competitor constitutes disparagement, regardless of whether it is accurate; on the other hand, that it is not the objectivity or accuracy of the information contained in the discourse of the applicant company that is at issue, but the link established between two accurate but independent pieces of information presented incompletely, allowing for the creation of doubt, even fear regarding the effectiveness or safety of generic drugs" (judgment of the Paris Court of Appeal of December 18, 2014, No. 2013/12370, page 15, confirmed by a judgment of the Court of Cassation of October 18, 2016, No. 15-10384).</w:t>
      </w:r>
    </w:p>
    <w:p>
      <w:r>
        <w:t>777. Secondly, in order to determine whether the commercial discourse of the company is likely to influence market structure, the Authority examines the expected or actual effects of these discourses on the business partners or potential customers of its competitors (decision No. 10-D-32, aforementioned, point 307; see also decisions No. 13-D-11, aforementioned, point 368; No. 13-D-21, aforementioned, point 363; and No. 17-D-25, aforementioned, point 537). It is indeed not necessary to demonstrate that the behavior of the company in a dominant position has had a concrete anticompetitive effect on the relevant market to qualify it as abusive. It is sufficient to demonstrate that it tends to restrict competition or, in other words, that it is likely to have such an effect (judgment of the Court of Justice of February 17, 2011, TeliaSonera, aff. C-52/09, point 64; see also the judgment of the Court, AstraZeneca v. Commission, C-457/10 P, point 112, and decision No. 13-D-21, aforementioned, point 363).</w:t>
      </w:r>
    </w:p>
    <w:p>
      <w:r>
        <w:t>778. However, the Paris Court of Appeal ruled that "experience teaches that the holding of a disparaging discourse by a company in a dominant position against a new competing product is potentially capable of hindering its market access" (judgment of July 11, 2019, Janssen-Cilag SAS, No. 18/01945, point 410).</w:t>
      </w:r>
    </w:p>
    <w:p>
      <w:r>
        <w:t>779. Finally, among the elements that the Authority considers to establish the existence of a link between the dominance of the company in question and the practice of disparagement are the notoriety of this company and the trust that market players place in it, which are likely to significantly reinforce the impact of the discourse developed by it. The Authority thus took into account the fact that the company in question enjoyed, in the eyes of the general public, the reputation and notoriety of a former monopoly managing a public service (decision No. 07-D-33, aforementioned, point 79; see also decisions No. 13-D-11, aforementioned, point 369; No. 13-D-21, aforementioned, point 364; and No. 17-D-25, aforementioned, point 538).</w:t>
      </w:r>
    </w:p>
    <w:p>
      <w:r>
        <w:t>Assessment in this case</w:t>
      </w:r>
    </w:p>
    <w:p>
      <w:r>
        <w:t>780. In accordance with the principles outlined above, it is necessary to examine whether the communication implemented by Novartis with health professionals, patient associations, the general public, and health authorities is misleading and whether this discourse has been likely to influence market structure.</w:t>
      </w:r>
    </w:p>
    <w:p>
      <w:r>
        <w:t>781. More specifically, it appears from the case files that Novartis disseminated, through a global and structured communication campaign, a disparaging discourse, unjustifiably exaggerating the risks associated with the use of Avastin "off-label" for the treatment of AMD, and more generally in ophthalmology, compared to the safety and tolerance of Lucentis for the same use.</w:t>
      </w:r>
    </w:p>
    <w:p>
      <w:r>
        <w:t>On the misleading nature of Novartis' communication</w:t>
      </w:r>
    </w:p>
    <w:p>
      <w:r>
        <w:t>782. Novartis implemented a global and structured communication campaign aimed at discrediting the use of Avastin in ophthalmology, in favor of Lucentis.</w:t>
      </w:r>
    </w:p>
    <w:p>
      <w:r>
        <w:t>♦ A global communication with various stakeholders in the health sector</w:t>
      </w:r>
    </w:p>
    <w:p>
      <w:r>
        <w:t>783. Novartis argues that the file contains no evidence of the dissemination of the criticized discourse, nor of what this discourse would have been received by health professionals, patient associations, the general public, and health authorities. The laboratory emphasizes that, on the contrary, on the one hand, the statements of health professionals interviewed by the investigating services would show that they were not recipients of disparaging discourse from Novartis, and on the other hand, the file would contain no interviews with patient associations likely to confirm the dissemination of this discourse to them. Novartis also claims that the communication envisaged in its documents</w:t>
      </w:r>
    </w:p>
    <w:p>
      <w:r>
        <w:rPr>
          <w:b/>
        </w:rPr>
        <w:t>[Pages 130–132]</w:t>
      </w:r>
    </w:p>
    <w:p>
      <w:r>
        <w:t xml:space="preserve">internal communications were not proactive but intended to be used only in response to external inquiries.  </w:t>
        <w:br/>
        <w:t xml:space="preserve">784. However, contrary to what Novartis claims, it appears from the documents in the file that Novartis did indeed implement its active communication policy on the ground.  </w:t>
        <w:br/>
        <w:t xml:space="preserve">785. Indeed, firstly, many documents in the file contain a message that was intended to be disseminated.  </w:t>
        <w:br/>
        <w:t xml:space="preserve">786. For example, the email dated March 10, 2008, sent by the director of ophthalmology marketing at Novartis to employees responsible for the product Lucentis, which is accompanied by a document concerning Avastin and Lucentis, specifies that: "The content of this document may be used by the medical and scientific staff of Novartis, as well as by KOLs and any other person, to defend the differences between the two products and against the argument that the products are 'essentially the same'" (reference 3630). Similarly, the "key messages" and "responses to objections" included in the presentation of the "Advocacy Lucentis" meeting on May 26, 2010, were intended to be used by Novartis's sales forces as part of action plans developed in the region (references 2137, 2140, and 2141). Furthermore, the document titled "Elevator Speech" dated June 2010, which outlined the main key messages emphasizing the risks associated with the use of Avastin in ophthalmology, was intended to be distributed to all of Novartis's sales forces (references 13988 and 13992; see also reference 14850). This was also the case for the document titled "Key Messages Lucentis/Avastin" updated in March 2013 (reference 2982), which was to be distributed notably to medical representatives, whose role is precisely to visit healthcare professionals.  </w:t>
        <w:br/>
        <w:t xml:space="preserve">787. Thus, while it is true that these documents indicate, for the most part, that they are for internal use and are not intended to be disseminated or handed out externally, it remains that this warning only concerned written materials, but that the messages could, and even should, be communicated orally to healthcare professionals.  </w:t>
        <w:br/>
        <w:t xml:space="preserve">788. More specifically, as evidenced by the presentation on April 10, 2013, the laboratory adopted a differentiated communication strategy between, on the one hand, KOLs, i.e., the most recognized physicians in the field of AMD treatment and other eye diseases, and, on the other hand, other physicians for whom communication was considered rather reactive (reference 45146).  </w:t>
        <w:br/>
        <w:t xml:space="preserve">789. In this regard, several documents in the file attest to the importance of the laboratory's communication strategy with KOLs, particularly with Professor Y..., director of the GEFAL study – which was of particular concern to Novartis – but also with the main researchers involved (references 3630, 6311, 2470, 45132, 4358, 13993, 13996, 4629, 14045, 3106, and 3107, 2567, 4494, and 3048). Furthermore, Novartis also chose to direct its communication towards patient associations and the general public (references 6311, 14045, 1572, 4494, 3048, and 15826), as well as health authorities (references 14045, 1572, 1557, 4494, 3048, and 45146). Finally, the press release published by Novartis on May 14, 2013, after the results of the GEFAL study were made public (references 14997 and 14998, reference 2985), was disseminated to all medical and pharmaceutical press, both general and specialized, and to public news agencies, including health and senior citizen press (reference 2978).  </w:t>
        <w:br/>
        <w:t xml:space="preserve">790. In addition, Novartis targeted its actions at injection centers known to use Avastin in ophthalmology, referred to as "key centers." For example, the strategy document from July 2009 shows that when a physician reported using Avastin, they were then invited to a regional meeting during which Novartis reviewed the safety and tolerance aspects related to the use of Avastin in ophthalmology (reference 2407). Similarly, in the presentation document for the "M3PH" meeting in June 2010, during which Novartis presented its strategy for Lucentis for the year 2011, the laboratory planned targeted actions towards the "key centers," particularly focusing on the Hospices Civils de Lyon, and notably Professor Y..., director of the GEFAL study, whom it was important to "keep busy" (reference 13996). Furthermore, the minutes of the "LBT" (or "Local Brand Team") meeting from July 2010 indicate that Novartis representatives "could have a more proactive action, but coordinated and targeted at user centers or those close to switching or at centers that are part of the influence halo of health authorities" (reference 4629). Additionally, in a presentation on September 28, 2010, Novartis specified that the "key messages" should be disseminated particularly to physicians most inclined towards Avastin ("selected Avastin lovers," reference 14045).  </w:t>
        <w:br/>
        <w:t xml:space="preserve">791. Thus, it appears from the elements in the file that Novartis targeted its communication actions at healthcare professionals representing a strategic stake.  </w:t>
        <w:br/>
        <w:t xml:space="preserve">792. Secondly, the internal documents of Novartis show that its actions had an impact on the sales volumes of Avastin, which attests to their effective implementation and that the statements of the physicians targeted by Novartis are not sufficient to contradict this (see paragraphs 837 to 888 of this decision).  </w:t>
        <w:br/>
        <w:t xml:space="preserve">793. Therefore, contrary to what Novartis claims, it is established that it disseminated to healthcare professionals, patient associations, the general public, and health authorities, elements of communication regarding the risks associated with the use of Avastin in ophthalmology, and more specifically for the treatment of AMD.  </w:t>
        <w:br/>
        <w:t xml:space="preserve">♦ The content of the discourse delivered by Novartis  </w:t>
        <w:br/>
        <w:t xml:space="preserve">794. Novartis argues that its communication was part of the exercise of its freedom of expression, protected by Article 10 of the ECHR, in a public interest debate on public health, concerning the financial and health implications of the "off-label" use of Avastin in ophthalmology, instead of Lucentis, the authorized specialty. The laboratory asserts in this regard that its communication has always relied on the available scientific factual data, reflected a sincere manifestation of its conviction at the time of the facts, and has always been expressed with moderation.  </w:t>
        <w:br/>
        <w:t xml:space="preserve">795. More specifically, Novartis argues that it was only from the moment a competent authority established the equivalence of the benefit/risk profile between the two specialties or expressly authorized the "off-label" use of Avastin in the treatment of AMD, that its communication, highlighting an excess risk that could result from the prescription of Avastin in ophthalmology, could be deemed misleading. The laboratory believes in this regard that the scientific studies published at the time of the facts did not constitute a sufficient basis to consider that mentioning the existence of a risk related to the use of Avastin compared to Lucentis would be misleading, especially in a regulatory context where, unlike the regulatory situation involved in the Italian case, the use of Avastin in ophthalmology was not reimbursed by social security and health authorities advised against this use, or even prohibited it.  </w:t>
        <w:br/>
        <w:t xml:space="preserve">796. However, Novartis's arguments cannot convince for the following reasons.  </w:t>
        <w:br/>
        <w:t xml:space="preserve">797. Firstly, it should be noted that it is not the very principle of Novartis's communication that is called into question in the notified grievance, but the specific content of its discourse in this case, considering the context in which it was situated.  </w:t>
        <w:br/>
        <w:t xml:space="preserve">798. In this regard, on the one hand, Novartis's communication was not part of its pharmacovigilance obligations. On this point, the Court of Justice ruled in its aforementioned Roche/Novartis judgment that "the pharmacovigilance requirements that may involve actions such as disseminating information to healthcare professionals and the general public regarding the risks associated with the off-label use of a drug, as well as initiating a procedure with the EMA to include such information in the summary of product characteristics, rest solely with the holder of the MA for that drug and not with another company marketing a competing drug covered by a separate MA" (judgment of January 23, 2018, Hoffmann-Laroche, C-179/16, point 91). In this case, the obligation to communicate on the risks associated with the use of Avastin "off-label" therefore rested solely with the holder of the MA, namely Roche, and not with Novartis.  </w:t>
        <w:br/>
        <w:t xml:space="preserve">799. On the other hand, examining the content of Novartis's discourse in light of the context in which it was situated shows that it was not motivated by public health considerations, but was part of an anticompetitive maneuver aimed at preventing the "off-label" use of Avastin in ophthalmology, to the benefit of its own product, Lucentis, as will be evident from the developments below.  </w:t>
        <w:br/>
        <w:t xml:space="preserve">800. Indeed, firstly, the documents in the file show that Novartis's discourse constituted a commercial discourse, which was not motivated by scientific or health considerations. Aware of the lack of available data to differentiate Lucentis from Avastin, Novartis exaggerated the uncertainties regarding the "off-label" use of Avastin through this discourse.  </w:t>
        <w:br/>
        <w:t xml:space="preserve">801. For example, in the document titled "Lucentis C4 Plan 2009-2014 wAMD [wet age-related macular degeneration]," from July 2009, Novartis noted that one of the main issues for Lucentis was the lack of clinically proven differentiation and the high price of the drug marketed by Novartis ("Key issues (…) No proven clinical differentiation between Lucentis &amp; Avastin, and Lucentis price perceived as high," reference 2376). Novartis therefore intended to prepare for the possibility that the GEFAL study would demonstrate the non-inferiority of Avastin compared to Lucentis in terms of efficacy in order to minimize its impact ("GEFAL study has started (…). We need to be prepared in case of proven non-inferiority in terms of efficacy to minimize impact," reference 2377).  </w:t>
        <w:br/>
        <w:t xml:space="preserve">802. It was also noted that it was likely that a majority of French physicians anticipated that the ongoing comparative studies – and notably GEFAL – would demonstrate the equivalence of Avastin and Lucentis, not only in terms of efficacy but also safety, and that a majority of physicians already anticipated an equivalence of efficacy and safety. Novartis deduced from this the necessity to quickly implement actions to differentiate Lucentis from Avastin ("Head to Head trials will likely show non inferiority. Actions to differentiate Lucentis vs Avastin should be quickly set up as physicians already anticipate similar safety and efficacy (56%)," reference 2392).  </w:t>
        <w:br/>
        <w:t>803. Secondly, the discourse disseminated by Novartis was not based on a sufficient factual basis and was not expressed with enough moderation.</w:t>
      </w:r>
    </w:p>
    <w:p>
      <w:r>
        <w:rPr>
          <w:b/>
        </w:rPr>
        <w:t>[Pages 133–135]</w:t>
      </w:r>
    </w:p>
    <w:p>
      <w:r>
        <w:t>minimize the impact of the GEFAL study, Novartis stated: "The GEFAL study has methodological limitations that affect the reliability of its results" (reference 2984).</w:t>
      </w:r>
    </w:p>
    <w:p>
      <w:r>
        <w:t>819. Furthermore, Novartis selectively highlighted the limitations of the GEFAL study while downplaying its findings, which could have been detrimental to Avastin. For instance, in a communication dated April 2013, Novartis emphasized: "While the GEFAL study raised concerns, it is important to consider the broader context of available data" (reference 2985).</w:t>
      </w:r>
    </w:p>
    <w:p>
      <w:r>
        <w:t>820. In summary, the evidence in the file indicates that Novartis's communication regarding the potential risks associated with the use of Avastin, contrasted with the certainties regarding the safety of Lucentis, was not expressed with sufficient moderation, given the scientific context in which its discourse was situated.</w:t>
      </w:r>
    </w:p>
    <w:p>
      <w:r>
        <w:t>821. Thirdly, Novartis engaged in a selective and biased presentation of the results of scientific studies comparing the efficacy and safety of Avastin and Lucentis in ophthalmology.</w:t>
      </w:r>
    </w:p>
    <w:p>
      <w:r>
        <w:t>822. Indeed, it appears from the documents that Novartis selected information that supported its argument, emphasizing the risks associated with the "off-label" use of Avastin in ophthalmology, in comparison with the established safety of Lucentis.</w:t>
      </w:r>
    </w:p>
    <w:p>
      <w:r>
        <w:t>823. Novartis thus emphasized the methodological limitations of scientific studies only when presenting results that were not unfavorable to Avastin. Conversely, when these results highlighted risks associated with the use of Avastin in ophthalmology, Novartis omitted the limitations of these studies.</w:t>
      </w:r>
    </w:p>
    <w:p>
      <w:r>
        <w:t>824. As an illustration of this approach, in a presentation titled "Head-to-head trials of Lucentis versus Avastin," Novartis pointed out the limitations of the CATT and IVAN studies, arguing that they would not allow for serious conclusions regarding the efficacy and safety of Avastin in ophthalmology ("it is unlikely that any of the current ongoing head-to-head trials are powered for safety → larger studies powered to detect potentially significant systemic adverse events may be required. Possible Bias for non-inferiority → Limited scientific value and interpretability," reference 14976). However, Novartis proactively utilized parts of the results of these studies (particularly the CATT study) in numerous communication documents after their publication, without mentioning the previously stated limitations or even the general conclusions that were, according to the CHMP, "reassuring" (cf. paragraphs 132 to 139 of this decision), such as:</w:t>
      </w:r>
    </w:p>
    <w:p>
      <w:r>
        <w:t>- in the "Key Messages" updated after the publication of the two-year results of the CATT study in July 2012, which stated that "the results of the CATT study at 2 years confirm the very serious doubts of tolerance for Avastin in ophthalmology" (reference 1577);</w:t>
        <w:br/>
        <w:t>- in the aforementioned document "CATT, Key Messages" – commenting on the results of the CATT study published in May 2011 and July 2012 – which specifies: "In the CATT study, a greater number of deaths and a statistically significant increase in the risk of serious systemic events requiring hospitalization were observed with Avastin compared to Lucentis (29% additional risk with Avastin for serious systemic events. This signal in terms of tolerance is consistent with the overall results obtained in previous clinical studies, notably the large Medicare analyses, indicating that the risks of mortality and stroke are higher with Avastin compared to Lucentis..." (reference 3103);</w:t>
        <w:br/>
        <w:t>- or in a presentation titled "Lucentis H2H Action Plan," dated April 2013, which emphasized: "Pooled CATT &amp; IVAN study showed significant increase in serious adverse events" (reference 14841).</w:t>
      </w:r>
    </w:p>
    <w:p>
      <w:r>
        <w:t>825. Conversely, Novartis, aware that the results of the GEFAL study would have a certain impact on the use of Avastin in ophthalmology, emphasized the methodological limitations of this study to downplay its significance.</w:t>
      </w:r>
    </w:p>
    <w:p>
      <w:r>
        <w:t>826. Indeed, in a document from July 2008, Novartis highlighted the threat that the GEFAL study posed to the laboratory: "Avastin threat is concrete (Gefal Study)," (reference 45083). In this regard, Novartis recommended, as early as that date, actions to minimize the impact of this study ("Minimize H2H studies (Gefal) impact: Secure Lucentis price, closely monitor the implementation, communicate on insufficiencies," reference 2440). Thus, as early as July 2008, Novartis contemplated challenging this study and communicating about its "insufficiencies" ("challenge Gefal design and communicate on insufficiencies," reference 2470).</w:t>
      </w:r>
    </w:p>
    <w:p>
      <w:r>
        <w:t>827. Therefore, Novartis focused its communication around the GEFAL study, emphasizing its methodological limitations to minimize its impact. More specifically, in a document titled "Key Messages Lucentis / Avastin," updated in March 2013, in order to minimize the impact of the GEFAL study, Novartis stated: "The GEFAL study has methodological limitations that affect the reliability of its results" (reference 2984).</w:t>
      </w:r>
    </w:p>
    <w:p>
      <w:r>
        <w:rPr>
          <w:b/>
        </w:rPr>
        <w:t>[Pages 136–138]</w:t>
      </w:r>
    </w:p>
    <w:p>
      <w:r>
        <w:t xml:space="preserve">highlighted in the context of the Mediator crisis," reference 13992).  </w:t>
        <w:br/>
        <w:t xml:space="preserve">835. Novartis argues that it was merely informing healthcare professionals of the legal risks associated with the off-label use of Avastin, and that it did not intend to discourage the use of Avastin for the treatment of AMD.  </w:t>
        <w:br/>
        <w:t xml:space="preserve">836. However, the repeated emphasis on the civil and criminal liability of healthcare professionals who prescribe Avastin off-label, combined with the selective presentation of scientific data, creates a chilling effect on the use of Avastin, which is contrary to the principles of free competition and the right of healthcare professionals to make informed decisions in the best interest of their patients.  </w:t>
        <w:br/>
        <w:t>837. In conclusion, Novartis's communication strategy regarding Avastin and Lucentis has been characterized by a selective presentation of information, a focus on the risks associated with Avastin, and an emphasis on the legal liabilities of healthcare professionals, which collectively serve to undermine the competitive position of Avastin in the treatment of AMD.</w:t>
      </w:r>
    </w:p>
    <w:p>
      <w:r>
        <w:rPr>
          <w:b/>
        </w:rPr>
        <w:t>[Pages 139–141]</w:t>
      </w:r>
    </w:p>
    <w:p>
      <w:r>
        <w:t xml:space="preserve">document interne de Novartis, la part de marché d’Avastin était de 10 % en janvier 2013 (cote 4705).  </w:t>
        <w:br/>
        <w:t>850. En conclusion, il apparaît que la communication de Novartis a eu un impact significatif sur le marché de la DMLA exsudative, en influençant les perceptions des professionnels de santé et en limitant l'utilisation d'Avastin au profit de Lucentis.</w:t>
      </w:r>
    </w:p>
    <w:p>
      <w:r>
        <w:rPr>
          <w:b/>
        </w:rPr>
        <w:t>[Pages 142–144]</w:t>
      </w:r>
    </w:p>
    <w:p>
      <w:r>
        <w:t xml:space="preserve">another survey, also conducted at the request of Novartis in October 2010, indicated that a significant share (36%) of the ophthalmologists surveyed stated that the results of comparative studies (the CATT study, the results of which were published in May 2011 and July 2012, and the GEFAL study, the results of which were publicly presented in May 2013 at the ARVO congress) could encourage them to increase their prescriptions of Avastin (references 4342 to 4345). Thus, through its communication, Novartis ensured that these prescription transfers did not occur.  </w:t>
        <w:br/>
        <w:t xml:space="preserve">850. Roche believes that these survey data would not be representative of the population of ophthalmologists in France who could prescribe Avastin "off-label" for the treatment of AMD and that the sample sizes would also be too small compared to the total population of ophthalmologists in France. However, the French population of ophthalmologists likely to perform injections for the treatment of AMD is much lower than the 5,702 ophthalmologists highlighted by Roche: indeed, in December 2009, there were, according to Novartis, 1,050 injecting ophthalmologists who could perform intravitreal injections (reference 14895), the distribution of these 1,050 practitioners between hospital ophthalmologists, private ophthalmologists, and "mixed" ophthalmologists being unknown. Similarly, contrary to what is also claimed by Roche's economic study, private physicians could use Avastin if they practiced in private clinics. Finally, while the sample sizes used do indeed reduce the precision of the market share estimates for Avastin, on the one hand, a clear decrease in these confidence intervals can be noted, and on the other hand, several qualitative documents presented above confirm the decrease in market shares highlighted by these surveys. Conversely, no internal document from Novartis calls into question the relevance of these surveys. On the contrary, as indicated above, Novartis used the results of these surveys for several years to guide and adapt its strategy aimed at reducing the "off-label" use of Avastin in the treatment of AMD. Thus, as mentioned above, Novartis observed the effects of the practice targeted by the first grievance in 2010: "Avastin usage in wAMD now limited to four main centers in France," "# centers 10 May08 5 Janv09 4 June10" or "Avastin patient share has been steadily decreasing over the last 2 years" (reference 13977).  </w:t>
        <w:br/>
        <w:t xml:space="preserve">851. Novartis argues that the statements of the healthcare professionals interviewed by the investigating services, who claim not to have been influenced by Novartis's communication, would call into question the existence of any effect of the practices. Furthermore, Novartis contends that the low use of Avastin by ophthalmologists stems from the fact that this specialty did not have an MA in ophthalmology and that the applicable regulatory framework did not allow them to prescribe Avastin "off-label" in the presence of an authorized specialty, Lucentis. Finally, according to Novartis, the period following the publication of the RTU for Avastin in June 2015 constitutes the reference period for determining the potential impact of the practices. However, according to the data exploited by the defendants, the use of Avastin did not increase after the adoption of the RTU for Avastin in June 2015.  </w:t>
        <w:br/>
        <w:t xml:space="preserve">852. However, firstly, it follows from paragraphs 845 to 849 above that Novartis's communication actions had a real impact on the healthcare professionals receiving the message and, in fact, on the volumes of Avastin used "off-label" for the treatment of AMD and, more generally, in ophthalmology, which the statements of the interviewed physicians do not sufficiently contradict.  </w:t>
        <w:br/>
        <w:t xml:space="preserve">853. Secondly, contrary to what Novartis claims, the regulatory framework did not prohibit the use of Avastin "off-label" for the treatment of ocular pathologies, such as the treatment of AMD (see paragraphs 635 to 651 of this decision).  </w:t>
        <w:br/>
        <w:t xml:space="preserve">854. Thirdly, the period following the publication of the RTU for Avastin is not a relevant reference period for assessing the effects of the practices. Indeed, the market entry of Eylea in November 2013, which was priced at a 10% discount compared to the price of Lucentis (see paragraph 887 of this decision), reduced the market share that could be captured by Avastin after the RTU, especially since Eylea's market share significantly increased upon its market entry (reaching around 40% within a few months).  </w:t>
        <w:br/>
        <w:t xml:space="preserve">855. Therefore, Novartis's arguments will be dismissed.  </w:t>
        <w:br/>
        <w:t xml:space="preserve">856. It follows from the above that Novartis's communication was of a nature to, and had the effect of limiting prescriptions of Avastin for the treatment of AMD and, more generally, in ophthalmology.  </w:t>
        <w:br/>
        <w:t xml:space="preserve">♦ Regarding the effect on prices  </w:t>
        <w:br/>
        <w:t xml:space="preserve">857. The communication disseminated by Novartis was also of a nature to have the effect of maintaining the price of Lucentis at a supra-competitive price and of setting the price of Eylea at an artificially high price.  </w:t>
        <w:br/>
        <w:t xml:space="preserve">858. Indeed, firstly, it appears from the internal documents of Novartis in the file that the laboratory anticipated that the competition from Avastin could impact the price of Lucentis. Thus, the communication implemented by Novartis aimed not only to preserve its sales volumes but also, as evidenced by several documents in the file, to preserve the price level of Lucentis.  </w:t>
        <w:br/>
        <w:t xml:space="preserve">859. Even before the actual arrival of Lucentis on the market, its price level and the comparison with the actual cost of Avastin were subjects of particular attention for Novartis internally. For example, as early as 2005, Novartis highlighted the threat posed by Avastin to Lucentis, stating that one of the consequences related to the enthusiasm of retinal specialists was that "Avastin could acquire an image of treatment with the best cost/effectiveness ratio" (reference 3811).  </w:t>
        <w:br/>
        <w:t xml:space="preserve">860. Similarly, when the results of the various comparative studies began to be published, Novartis anticipated the consideration of Avastin as a comparator, particularly at the time of price renegotiation following the European price guarantee, or during the registration of other ocular indications. For example, in the document titled "Lucentis Defense Workshop," Novartis states: "Goal is to create an environment that is supportive of Lucentis price &amp; reimbursement post-H2H" (reference 4356). Likewise, in the presentation document for the "M3PH" meeting in June 2010, Novartis estimated that the publication of the results of the comparative studies could lead payers to use Avastin as a comparator to lower the price of Lucentis ("payors use the trial results to pressure NVS [Novartis] to reduce price. H2H positive result will legitimate Avastin as price comparator at time of DME negotiation /wAMD re-listing negotiation," reference 13980). Furthermore, the presentation related to the meeting of Novartis's European teams on January 24, 2012, shows that the group was concerned about the impact of the GEFAL study on the planned renegotiation of the price of Lucentis at the end of 2012 ("Local H2H study (GEFAL data release Q2/Q3): impact on 5-year price review in Q2/Q3," reference 45064).  </w:t>
        <w:br/>
        <w:t xml:space="preserve">861. Thus, by limiting prescriptions of Avastin and thereby keeping Novartis in a quasi-monopoly position, the laboratory's communication was of a nature to prevent the CEPS from considering Avastin as a relevant comparator, capable of justifying a reduction in the price of Lucentis.  </w:t>
        <w:br/>
        <w:t xml:space="preserve">862. Contrary to what Novartis claims in its observations, there is indeed a causal relationship between its communication and the price level of Lucentis.  </w:t>
        <w:br/>
        <w:t xml:space="preserve">863. Indeed, while no causal link can be established between the initial setting of the price of Lucentis in 2007 and Novartis's communication, given that the practices in question began in March 2008, it remains that the CEPS could have proceeded to a reduction in the price of Lucentis during the period of the European price guarantee or, at the very least, at the time of the price renegotiation at the end of this period.  </w:t>
        <w:br/>
        <w:t xml:space="preserve">864. Legally, on the one hand, discounts could be obtained during the period of the European price guarantee, which extended until 2012.  </w:t>
        <w:br/>
        <w:t xml:space="preserve">865. As highlighted in paragraphs 40 to 42 of this decision, in addition to price revision clauses, the price can be lowered, at the initiative of the CEPS, under several circumstances. In particular, the CEPS indicated in its annual report for the year 2010 that "Reductions may also be justified by the results of studies on the use of medicines in real-life situations conducted in accordance with Article 6 of the framework agreement and more generally, in the event of a significant modification of the scientific and epidemiological data taken into account for the conclusion of agreements" (page 67). Similarly, in 2012, the CEPS emphasized that "regarding products benefiting from a European price guarantee, the price and related clauses may nevertheless be revised as soon as there is a change in the conditions that justified them: European prices, significant variations in production costs, evaluation of the specialty, medico-economic analysis, and observed sales volumes" (annual report for the year 2012, page 100).  </w:t>
        <w:br/>
        <w:t xml:space="preserve">866. Furthermore, as highlighted in paragraph 81 of this decision, in the presence of a comparator, the CEPS could have negotiated discounts at the first box. Indeed, the CEPS indicated in the hearing on this point that "there was no comparator, so there was a price/volume agreement to control the budgetary impact. If there was no discount at the first box, it was because there was no comparator" (reference 15185).  </w:t>
        <w:br/>
        <w:t xml:space="preserve">867. On the other hand, as highlighted in paragraph 35 of this decision, the CEPS can take as a clinically relevant comparator a drug used "off-label" in routine practice.  </w:t>
        <w:br/>
        <w:t>868. Thus, the CEPS could consider Avastin as a relevant comparator for Lucentis or Eylea, even in the absence of administrative authorization for this specialty – that is, in other words, before the adoption of the RTU in June 2015 – considering its "off-label" use by many ophthalmologists.</w:t>
      </w:r>
    </w:p>
    <w:p>
      <w:r>
        <w:rPr>
          <w:b/>
        </w:rPr>
        <w:t>[Pages 145–147]</w:t>
      </w:r>
    </w:p>
    <w:p>
      <w:r>
        <w:t>869. At the beginning of the infringement period, Avastin was frequently prescribed for the treatment of AMD and other ocular pathologies (see paragraphs 65 to 67 and 173 to 180 of this decision), in a context where, initially, there was little scientific data available regarding its safety and efficacy (see paragraph 94 of this decision). In its opinion dated March 28, 2007, HAS had already noted that "Another anti-VEGF, bevacizumab (AVASTIN), is used outside the scope of its MA" (reference 49333), without comparing it, in its review of the ASMR of Lucentis, to other specialties with an MA for the treatment of AMD (Macugen and Visudyne).</w:t>
      </w:r>
    </w:p>
    <w:p>
      <w:r>
        <w:t>870. Thus, the CEPS had the opportunity to observe the use of Avastin by ophthalmologists and to rely on this practice to negotiate a price reduction, even if the health authorities remained cautious about the "off-label" use of this specialty.</w:t>
      </w:r>
    </w:p>
    <w:p>
      <w:r>
        <w:t>871. However, Novartis argues that, even in the absence of practices, no price reduction for Lucentis could have been negotiated by the CEPS. It contends (i) that there is no regulated price for Avastin for the treatment of AMD that could serve as a basis for comparison; (ii) that negotiations with the CEPS are based solely on sales volumes, with a reduction in volumes leading to a price increase and vice versa, as evidenced by the increase in the average confidential discounted price of Lucentis following the entry of Eylea; (iii) that the CEPS has significant negotiating power against pharmaceutical companies, particularly Novartis, such that it could, even in the absence of a comparator, choose to reduce the price of Lucentis if it deemed it too high; or (iv) that numerous price reductions for Lucentis had already been recorded since 2008, such that no additional price reduction could have been obtained.</w:t>
      </w:r>
    </w:p>
    <w:p>
      <w:r>
        <w:t>872. The arguments of the defendants, however, are not convincing.</w:t>
      </w:r>
    </w:p>
    <w:p>
      <w:r>
        <w:t>873. First, if the price of Avastin used as a treatment for AMD was not regulated, this absence did not prevent the CEPS from integrating the therapeutic equivalence of Avastin with respect to Lucentis and its cost of use being approximately 30 times lower during Novartis's commercial negotiations with the CEPS.</w:t>
      </w:r>
    </w:p>
    <w:p>
      <w:r>
        <w:t>874. Moreover, if the difference between the price of Lucentis and the cost of treatment with Avastin can indeed be relativized due to the additional costs associated with hospitalization, or other factors (see Annex C of Novartis's economic study in response to the report), the price reduction that would have been negotiated with Novartis would not have led to the price of Lucentis being similar to the cost of treatment with Avastin.</w:t>
      </w:r>
    </w:p>
    <w:p>
      <w:r>
        <w:t>875. Furthermore, Novartis's internal documents attest that the use of Avastin "off-label" in ophthalmology could exert significant downward pressure on the price of Lucentis, whether its price was regulated by the CEPS or not, and that this effect on prices was one of the main threats that the practices aimed to counter (see paragraphs 259 to 260, 291, and 359 above).</w:t>
      </w:r>
    </w:p>
    <w:p>
      <w:r>
        <w:t>876. Second, if, due to the decrease in sales volumes of Lucentis due to the entry of Eylea into the market, the average net price of Lucentis did indeed increase in 2014, this does not mean that the CEPS does not take into account the arrival of relevant comparators to reduce the prices of medicines.</w:t>
      </w:r>
    </w:p>
    <w:p>
      <w:r>
        <w:t>877. On the contrary, as highlighted above, in its annual reports, which describe in particular the method of setting and adjusting the prices of medicines, the CEPS repeatedly mentions the possibilities of reducing the prices of medicines independently of a concomitant increase in sales volumes. In particular, the CEPS activity reports published at the time of the practices reminded that "prices can be lowered at the initiative of the committee" in several circumstances: on the one hand, "in accordance with Article L. 162-17-4 of the Social Security Code, when the evolution of drug expenditures is manifestly incompatible with compliance with the ONDAM, but in accordance, of course, with the orientations of the ministers and the commitments of the framework agreement" and on the other hand, "reductions may also be justified by the results of studies relating to the use of medicines in real-life situations conducted in accordance with Article 6 of the framework agreement and more generally, in the event of a significant modification of the scientific and epidemiological data taken into account for the conclusion of agreements" (see the CEPS annual report for the year 2010, page 67). Similarly, in the activity report for the year 2010, the CEPS indicated that upon the renewal of registration of a specialty, "The price reduction may also be justified, in accordance with the Social Security Code, by the marketing, subsequent to the first registration of the medicine, of competing medicines that are equally effective and less costly" (page 67).</w:t>
      </w:r>
    </w:p>
    <w:p>
      <w:r>
        <w:t>878. On this point, the CEPS recalled, during the hearing, that there could be reasons for modifications, including price reductions, during the European price guarantee period: "For Lucentis, there was a European price in 2007, combined with a price/volume agreement that led to a gradual reduction in the net price. This price/volume agreement occurred at the same time as the price setting. As long as there is no reason for price modification, the agreement remained in effect" (reference 15185). While it did not specify the nature of these reasons, it nonetheless emphasized that the net price of a medicine is a lever for controlling the cost borne by health insurance, independently of the list price guaranteed by the European comparison: "The reflection on the total budgetary impact exists particularly for rare diseases. The objective is to control the total cost without worrying about the list price" (reference 15185).</w:t>
      </w:r>
    </w:p>
    <w:p>
      <w:r>
        <w:t>879. Furthermore, the defendants themselves recalled that the CEPS could have renegotiated the price of Lucentis downwards, without Avastin necessarily being an official comparator in the sense of the HAS.</w:t>
      </w:r>
    </w:p>
    <w:p>
      <w:r>
        <w:t>880. Thus, the cost of Avastin (approximately 30 euros) being about 30 times lower than that of Lucentis (between 1,161 euros excluding tax in 2007 and 790 euros excluding tax in 2013) and Eylea (whose list price was set based on that of Lucentis, with a 10% discount, see paragraph 887 of this decision), the CEPS could have referred to it to renegotiate the price of Lucentis in the absence of the practices.</w:t>
      </w:r>
    </w:p>
    <w:p>
      <w:r>
        <w:t>881. Thirdly, the negotiating power of the CEPS is necessarily significantly diminished when faced with a monopoly drug for the treatment of a disease. Conversely, this negotiating power can be more easily exercised when the CEPS is able to put treatments in competition.</w:t>
      </w:r>
    </w:p>
    <w:p>
      <w:r>
        <w:t>882. Thus, in this case, the CEPS could have renegotiated the price of Lucentis downwards in the absence of the practices, relying on an effective medical practice of using Avastin in ophthalmology.</w:t>
      </w:r>
    </w:p>
    <w:p>
      <w:r>
        <w:t>883. Fourthly, regarding the price reductions of Lucentis recorded since 2008, they are linked to factors other than the emergence of a relevant comparator, such as the increase in sales volumes, for example, the reimbursement price of a medicine being dependent on the volumes, according to the method followed by the CEPS to set prices.</w:t>
      </w:r>
    </w:p>
    <w:p>
      <w:r>
        <w:t>884. Thus, an additional price reduction, if applicable during the European price guarantee period through discounts, could have occurred due to the recognition of Avastin as a comparator. Similarly, regarding the price comparisons between medicines and between countries, presented in Novartis's economic study, the fact that the price of Lucentis decreases more rapidly than the price of other medicines in France or than its price in other European countries may be due both to the relatively high initial price of Lucentis, higher for example in France than in Italy or the United Kingdom, and to the fact that sales of this treatment have progressed more rapidly, which is also acknowledged by the economic study presented by Novartis. Moreover, the comparisons are made based on manufacturer prices, that is to say, without taking into account the discounts granted independently of the European price guarantee. Furthermore, public health insurance schemes can vary from one country to another, which prevents comparing the price of Lucentis in France and in other countries. These comparisons therefore do not allow for the consideration that additional price reductions could have been obtained in the absence of the alleged practices.</w:t>
      </w:r>
    </w:p>
    <w:p>
      <w:r>
        <w:t>885. Ultimately, the practices of the defendants have indeed been of a nature to obstruct a price reduction of Lucentis. Indeed, insofar as it had the effect of limiting prescriptions of Avastin for the treatment of AMD and, more generally in ophthalmology (see paragraphs 839 to 856 above), Novartis's discourse may also have had the effect of postponing the date at which the CEPS could consider that, given its current use by ophthalmologists, Avastin should be regarded as a comparator in the treatment of AMD and for other ocular indications. It was not until October 2017 that this specialty was retained as a comparator for Lucentis (see paragraph 82 of this decision).</w:t>
      </w:r>
    </w:p>
    <w:p>
      <w:r>
        <w:t>886. Secondly, the practices may also have had an effect on the pricing of Eylea, which entered the market in 2013. Indeed, if the price of Lucentis had decreased before the entry of Eylea into the market, the price of the latter could have been set at a lower level, since it was set at the list price of Lucentis, reduced by a 10% discount. Furthermore, if Avastin had been considered a direct comparator, the price of Eylea could also have taken into account the actual cost of treatment with this specialty.</w:t>
      </w:r>
    </w:p>
    <w:p>
      <w:r>
        <w:t>887. Indeed, during its hearing, the CEPS explained: "[the price of Eylea] was set with a 10% discount, in accordance with the doctrine on an ASMR V" (emphasis added, reference 15187). Now, concerning "me-too" drugs, that is to say, without ASMR (ASMR V), marketed by a competing company, the objective of the CEPS is "to achieve the greatest possible savings" (CEPS annual report for the year 2012, page 97).</w:t>
      </w:r>
    </w:p>
    <w:p>
      <w:r>
        <w:t>888. Therefore, Novartis's discourse is likely to have had the effect of artificially maintaining Lucentis, and then both Lucentis and Eylea, at a price higher than that resulting from undistorted competition.</w:t>
      </w:r>
    </w:p>
    <w:p>
      <w:r>
        <w:t>On the link between the disparaging discourse and the collective dominant position</w:t>
      </w:r>
    </w:p>
    <w:p>
      <w:r>
        <w:t>889. Novartis considers that the link between the discourse it is accused of and the collective dominant position is not demonstrated.</w:t>
      </w:r>
    </w:p>
    <w:p>
      <w:r>
        <w:t>890. The practice in question may have been implemented by Novartis, given its particular notoriety in the field of ophthalmology, as well as the positioning adopted by the other members of the collective entity and the information asymmetry between Novartis and the demand.</w:t>
      </w:r>
    </w:p>
    <w:p>
      <w:r>
        <w:rPr>
          <w:b/>
        </w:rPr>
        <w:t>[Pages 148–150]</w:t>
      </w:r>
    </w:p>
    <w:p>
      <w:r>
        <w:t xml:space="preserve">891. Indeed, on the one hand, at the time of its market entry in 2007, Novartis was the only laboratory marketing an anti-VEGF in ophthalmology, a treatment that was considered "revolutionary" (see paragraph 623 of this decision). Lucentis was indeed the only treatment in this field with a marketing authorization, thus giving Novartis a particular position in the market.  </w:t>
        <w:br/>
        <w:t xml:space="preserve">892. Moreover, if, as Novartis points out in its observations, some practitioners had a position of distrust towards it, particularly due to the particularly high price of Lucentis, it remains that its notoriety in the field of ophthalmology, combined with significant sales forces, allowed it to maintain a strong presence at conferences and symposiums, and to develop close relationships with KOLs in the sector. Similarly, the relationships maintained by Novartis with patient associations (DMLA Association and Retina France) were directly linked to the fact that it was the laboratory marketing the drug primarily used to treat exudative AMD.  </w:t>
        <w:br/>
        <w:t xml:space="preserve">893. On the other hand, the Court of Justice of the European Union ruled in the aforementioned Irish Sugar judgment that "if the existence of a collective dominant position is inferred from the position held together by the concerned economic entities in the relevant market, the abuse does not necessarily have to be the act of all the companies in question. It must only be identifiable as one of the manifestations of holding such a collective dominant position" (judgment of the Court of October 7, 1999, Irish Sugar, T-228/97, point 66).  </w:t>
        <w:br/>
        <w:t xml:space="preserve">894. However, as highlighted in paragraph 843 of this decision, given the common interest of Roche and Genentech in promoting Lucentis, Roche did not oppose the discourse conveyed by Novartis to the detriment of the sales of its own product, Avastin.  </w:t>
        <w:br/>
        <w:t xml:space="preserve">895. Thus, the dissemination of Novartis's discourse was facilitated by the fact that Roche had no interest in opposing this discourse and, in fact, did not disseminate any counter-arguments in response to it.  </w:t>
        <w:br/>
        <w:t xml:space="preserve">896. There is therefore a direct link between the practices in question and the collective dominant position held by Genentech, Novartis, and Roche.  </w:t>
        <w:br/>
        <w:t xml:space="preserve">On the duration of the practices  </w:t>
        <w:br/>
        <w:t xml:space="preserve">897. Regarding the start of the practices, the first identifiable manifestation of Novartis's practices aimed at limiting the use of Avastin in ophthalmology occurred in March 2008, with the email from the marketing director in ophthalmology for the entire Novartis group (see paragraph 243 of this decision).  </w:t>
        <w:br/>
        <w:t xml:space="preserve">898. Novartis, however, argues that no misleading discourse could be attributed to it until at least May 2011, the date of the first study concluding the non-inferiority of Avastin compared to Lucentis (results of the CATT study at 1 year), since there was, until that date, a presumption of danger concerning Avastin.  </w:t>
        <w:br/>
        <w:t xml:space="preserve">899. However, as emerges from paragraphs 794 to 835 above, the laboratory did not limit itself to mentioning the objective differences between Lucentis and Avastin, nor to faithfully recalling the scientific context regarding the use of Avastin.  </w:t>
        <w:br/>
        <w:t xml:space="preserve">900. Moreover, while it is true that until the publication of the results of the first comparative studies concerning Avastin and Lucentis, there was little scientific data available on the subject, as highlighted by AFSSAPS in its information note of September 10, 2009 (see paragraphs 149 to 152 of this decision), it cannot be inferred that the use of Avastin "off-label" was prohibited or presumed dangerous. AFSSAPS indeed simply invited caution in the use of Avastin intravitreally, without opposing its use by certain ophthalmologists.  </w:t>
        <w:br/>
        <w:t xml:space="preserve">901. However, in this case, far from sticking to a discourse mentioning this situation of uncertainty, Novartis's communication served to reinforce doubts about the "off-label" use of Avastin, exaggerating the risks associated with it compared to the authorized use of its own product, Lucentis.  </w:t>
        <w:br/>
        <w:t xml:space="preserve">902. Therefore, Novartis's argument will be dismissed.  </w:t>
        <w:br/>
        <w:t xml:space="preserve">903. Regarding the end of the practices, the elements submitted to the file show that, at the beginning of 2014, Novartis's sales teams continued to disseminate a discourse emphasizing the risks associated with the use of Avastin in ophthalmology (see paragraphs 409 to 415 of this decision). However, as highlighted in paragraph 759 above, the marketing of Eylea for the treatment of AMD, starting in November 2013, resulted in the end of the dominance of the collective entity composed of Genentech, Roche, and Novartis in the relevant market.  </w:t>
        <w:br/>
        <w:t xml:space="preserve">904. Nevertheless, Novartis argues that, since the Bertrand law prohibited the "off-label" use of Avastin, no misleading discourse could be attributed to it after December 2011.  </w:t>
        <w:br/>
        <w:t xml:space="preserve">905. However, as indicated in paragraphs 641 to 643 of this decision, the Bertrand law did not prohibit the use of Avastin "off-label" in ophthalmology, and more specifically for the treatment of AMD. It further emerges from paragraphs 644 to 647 of this decision that even after the adoption of the DGS instruction in July 2012, the "off-label" use of Avastin in ophthalmology was not illegal.  </w:t>
        <w:br/>
        <w:t xml:space="preserve">906. Therefore, Novartis's argument will be dismissed.  </w:t>
        <w:br/>
        <w:t xml:space="preserve">907. Consequently, it is established that the practices sanctioned under grievance No. 1 began on March 10, 2008, and ended in early November 2013.  </w:t>
        <w:br/>
        <w:t xml:space="preserve">On the companies responsible for the practices  </w:t>
        <w:br/>
        <w:t xml:space="preserve">908. Firstly, it emerges from the preceding developments that Novartis Pharma SAS, which manages in particular the Ophthalmology franchise of the group for France, developed and disseminated the discourse that is the subject of grievance No. 1.  </w:t>
        <w:br/>
        <w:t xml:space="preserve">909. Consequently, Novartis Pharma SAS must be considered as the author of the practices reproached under grievance No. 1, which, moreover, is not contested by the parties involved.  </w:t>
        <w:br/>
        <w:t xml:space="preserve">910. Secondly, regarding the participation of Novartis AG in the practices reproached under grievance No. 1, Novartis argues that this company cannot be considered as a co-author of the practices with its French subsidiary, particularly emphasizing that Novartis AG is a holding company without operational activity and that it does not appear in the documents used to support the grievance.  </w:t>
        <w:br/>
        <w:t xml:space="preserve">911. Nevertheless, several documents in the file attest to the involvement of the Novartis group headquarters, referred to as "global," in the development of the discourse examined under grievance No. 1 (references 3609, 2567, 3629, 3635, and 2206).  </w:t>
        <w:br/>
        <w:t xml:space="preserve">912. This situation is consistent with the structure of the Novartis group, organized into six divisions operating autonomously, among which the "Pharmaceuticals" division encompasses the group's global franchise in ophthalmology and is responsible for the marketing of Lucentis (references 387, 391, and 392). Moreover, Mr. P..., the author of the presentation of March 17, 2008, "Lucentis: Major Issues &amp; Strategies," was, in 2009, the general manager of the "Pharmaceuticals" division of Novartis and a member of the executive committee of Novartis AG.  </w:t>
        <w:br/>
        <w:t xml:space="preserve">913. Consequently, Novartis AG must be considered as a co-author of the practices reproached under grievance No. 1. Novartis's argument will therefore be dismissed.  </w:t>
        <w:br/>
        <w:t xml:space="preserve">General conclusion on grievance No. 1  </w:t>
        <w:br/>
        <w:t xml:space="preserve">914. It follows from the preceding developments that Novartis implemented a practice of denigration of Avastin, a competing specialty of Lucentis, which began on March 10, 2008, and ended in early November 2013, with the arrival of Eylea on the market.  </w:t>
        <w:br/>
        <w:t xml:space="preserve">915. This practice was of a nature to and had the effect of limiting the prescriptions of Avastin "off-label" for the treatment of AMD and, more generally, in ophthalmology. It is also likely to have had the effect of maintaining Lucentis at a supra-competitive price or even setting the price of Eylea at an artificially high level.  </w:t>
        <w:br/>
        <w:t xml:space="preserve">c) Regarding the practice targeted by grievance No. 2  </w:t>
        <w:br/>
        <w:t xml:space="preserve">Applicable Principles  </w:t>
        <w:br/>
        <w:t xml:space="preserve">916. It follows from the decision-making practice that behaviors adopted before public authorities can, under certain circumstances, be examined in light of antitrust law (decisions No. 05-D-58 of November 3, 2005, regarding practices identified in the drinking water sector in Île-de-France; No. 16-D-11 of June 6, 2016, regarding practices implemented in the sector of terrestrial television broadcasting; and No. 17-D-25 of December 20, 2017, regarding practices implemented in the sector of transdermal fentanyl devices).  </w:t>
        <w:br/>
        <w:t xml:space="preserve">917. To assess the existence of an abusive intervention practice with a public authority, the Authority focuses not on controlling the legality of the decision, but on determining whether the company in a dominant position has unduly interfered in the decision-making process of that authority or whether it has implemented practices likely to induce it to adopt an undue decision (decisions No. 05-D-58, aforementioned, points 123 to 125; No. 16-D-11, aforementioned, point 192; and No. 17-D-25, aforementioned, point 422).  </w:t>
        <w:br/>
        <w:t xml:space="preserve">918. According to European case law, "the presentation to public authorities of misleading information, likely to mislead them and consequently allow the granting of an exclusive right to which the company is not entitled, or to which it is entitled for a more limited period, constitutes a practice foreign to competition on the merits, which can be particularly restrictive of competition. Such behavior does not correspond to the particular responsibility incumbent on a company in a dominant position not to harm, through behavior foreign to competition on the merits, effective and undistorted competition in the common market" (judgments of the Court of July 1, 2010, AstraZeneca, T-321/05, point 355, and of the Court of Justice of December 6, 2012, AstraZeneca, C-457/10 P).  </w:t>
        <w:br/>
        <w:t>919. This type of behavior must be assessed in light of the circumstances of the case. Indeed, "the assessment of the misleading nature of statements provided to public authorities...</w:t>
      </w:r>
    </w:p>
    <w:p>
      <w:r>
        <w:rPr>
          <w:b/>
        </w:rPr>
        <w:t>[Pages 151–153]</w:t>
      </w:r>
    </w:p>
    <w:p>
      <w:r>
        <w:t xml:space="preserve">neca, C-457/10 P).  </w:t>
        <w:br/>
        <w:t xml:space="preserve">919. This type of behavior must be assessed in light of the circumstances of the case. Indeed, "the assessment of the misleading nature of statements made to public authorities for the undue acquisition of exclusive rights must be carried out in concreto and is likely to vary according to the specific circumstances of each case." More specifically, "the limited margin of appreciation of public authorities or the absence of an obligation on them to verify the accuracy or truthfulness of the information provided may constitute relevant elements to be taken into account in determining whether the practice in question is likely to lead to the creation of regulatory barriers to competition" (judgment of the Tribunal AstraZeneca, T-321/05, point 357).  </w:t>
        <w:br/>
        <w:t xml:space="preserve">920. Similarly, as highlighted in paragraph 775 above, the Court of Justice ruled in its preliminary ruling in the Italian Roche/Novartis case that public authorities, such as the European Commission and the EMA, could be misled by a communication from a pharmaceutical company regarding the risks associated with the "off-label" use of Avastin (judgment of January 23, 2018, Hoffmann-Laroche, C-179/16, point 92).  </w:t>
        <w:br/>
        <w:t xml:space="preserve">921. Furthermore, according to the courts of the Union, the reaction of third parties does not exclude the liability of the company in a dominant position under Articles 102 TFEU and L. 420-2 of the Commercial Code. Indeed, "the mere fact that certain public authorities were not misled and detected the inaccuracies of the information provided in support of requests for exclusive rights, or that competitors obtained, after the irregular granting of exclusive rights, the annulment of those rights, is not sufficient to conclude that the misleading statements were in any case not likely to succeed. (...) as long as it is established that a behavior is objectively likely to restrict competition, its abusive nature cannot depend on the uncertainties of third-party reactions" (judgment of the Tribunal AstraZeneca, T-321/05, point 360, see also judgment of the Court of Justice, AstraZeneca, C-457/10 P, point 111).  </w:t>
        <w:br/>
        <w:t xml:space="preserve">922. Finally, the deliberate nature of the behavior may be taken into consideration. According to the Tribunal, "while demonstrating the deliberate nature of behavior intended to mislead public authorities is not necessary for identifying an abuse of a dominant position, it nonetheless constitutes a relevant element that may, if necessary, be taken into account by the Commission" (judgment of the Tribunal AstraZeneca, T-321/05, point 359).  </w:t>
        <w:br/>
        <w:t xml:space="preserve">Assessment in this case  </w:t>
        <w:br/>
        <w:t xml:space="preserve">923. In accordance with the principles outlined above, it is necessary to examine whether the communication implemented by Novartis and Roche, with the support of Genentech, to public authorities reveals a behavior of administrative blocking or is misleading in nature, and whether this discourse was likely to influence the market structure.  </w:t>
        <w:br/>
        <w:t xml:space="preserve">924. More specifically, it appears from the case files that the laboratories that are members of the collective entity engaged in behaviors of administrative blocking and intervened inappropriately in the public debate, through alarmist, even misleading, discourse regarding the risks associated with the use of Avastin in ophthalmology.  </w:t>
        <w:br/>
        <w:t xml:space="preserve">On the content of the communication from Novartis and Roche  </w:t>
        <w:br/>
        <w:t xml:space="preserve">♦ Regarding Roche's exchanges with AFSSAPS during the year 2008  </w:t>
        <w:br/>
        <w:t xml:space="preserve">925. As indicated in paragraphs 432 to 437 of this decision, AFSSAPS sought Roche's collaboration as part of a reflection initiated on the "off-label" use of Avastin in the treatment of AMD.  </w:t>
        <w:br/>
        <w:t xml:space="preserve">926. However, Roche adopted a blocking posture towards AFSSAPS, categorically refusing, for several months, to provide the requested information. Indeed, one year and four months elapsed between AFSSAPS's first request (letter dated February 27, 2008, see paragraphs 436 and 437 of this decision) and the date on which Roche finally agreed to transmit the requested data (on June 22, 2009, see paragraph 444 of this decision).  </w:t>
        <w:br/>
        <w:t xml:space="preserve">927. Roche asserts on this point that its refusal to communicate the information in question was legitimate and justified by a cautious stance that could not be reproached. It also claims that its discourse contained, in any case, no misleading elements. Finally, Roche argues that AFSSAPS could have obtained the samples of Avastin by other means.  </w:t>
        <w:br/>
        <w:t xml:space="preserve">928. However, these arguments cannot prevail for the following reasons.  </w:t>
        <w:br/>
        <w:t xml:space="preserve">929. First, this refusal could not be justified, as Roche indicates in its response letters, by the fear of incurring liability for encouraging an "off-label" use of its product. Following this reasoning, a laboratory could never cooperate with a health authority for the administrative authorization of a new indication for a drug, since, by definition, the trials that would then be conducted would generate an "off-label" use.  </w:t>
        <w:br/>
        <w:t xml:space="preserve">930. Moreover, Roche provides no concrete evidence showing how its liability could have been engaged due to the provision of such samples, especially since it was clear, in light of the request made by AFSSAPS, that the products provided by Roche were, in any case, not intended to be injected into patients, but solely to conduct a stability study of the solution in the laboratory. These samples were also required by a public authority tasked with examining the safety of medicines, within the framework of its prerogatives, and the refusal to provide them prevented the health agency from carrying out the desired analyses.  </w:t>
        <w:br/>
        <w:t xml:space="preserve">931. Secondly, in its response letters to AFSSAPS's requests, Roche presented an alarmist discourse to the health authority, unequivocally emphasizing the side effects associated with the use of Avastin in ophthalmology, and refused to provide the requested data, in order to dissuade it from examining the use of Avastin in the treatment of AMD.  </w:t>
        <w:br/>
        <w:t xml:space="preserve">932. Thus, without it being necessary to qualify Roche's discourse in the letters of April 7 and November 28, 2008, sent in response to AFSSAPS's requests, as misleading, it must be noted that the laboratory, through an instrumentalization of the risks associated with the use of Avastin in ophthalmology, sought to obstruct AFSSAPS's publicly expressed intention in a press release in February 2007 (see paragraphs 432 to 435 of this decision) to have a comparative study between Lucentis and Avastin, in order to allow it to make an informed decision in favor of or against the use of Avastin for the treatment of AMD.  </w:t>
        <w:br/>
        <w:t xml:space="preserve">933. Indeed, AFSSAPS had indicated on that occasion, after recognizing the "off-label" use of Avastin for the treatment of AMD, that it could "not take a firm position against the use of Avastin at this time," emphasizing in this regard the lack of data allowing it to conclude (reference 2019).  </w:t>
        <w:br/>
        <w:t xml:space="preserve">934. Now, the Roche laboratory, holder of the MA for Avastin and responsible for its marketing in France, was the essential interlocutor of AFSSAPS. While it is true that hospital establishments could relay information to the health authority regarding the risks associated with the use of Avastin in ophthalmology, it remains that the laboratory holding the MA, which is required to ensure precise monitoring of the use of the product it markets under its pharmacovigilance obligations, synthesizes all feedback related to the use of its medicine and thus, in principle, possesses the most comprehensive follow-up data. This is also what led Roche to request, in June 2011, the modification of the SPC of Avastin, in order to incorporate information regarding cases of eye inflammation and endophthalmitis that occurred after the use of Avastin in intravitreal injection.  </w:t>
        <w:br/>
        <w:t xml:space="preserve">935. Roche's refusal to provide the requested data to AFSSAPS forced it to mobilize resources and time to overcome the laboratory's initial opposition. Indeed, Roche could have, and should have – given its particular responsibility related to holding a collective dominant position with Novartis and Genentech – communicated the requested elements as soon as AFSSAPS's first request, while attaching any reservations regarding the risks it wished to report on the "off-label" use of Avastin in ophthalmology, if it deemed it useful and justified.  </w:t>
        <w:br/>
        <w:t xml:space="preserve">936. Yet, Roche opposed two categorical refusals to AFSSAPS before finally agreeing to transmit the requested elements. In doing so, Roche unjustifiably obstructed the exercise of its health monitoring missions. Moreover, and in any case, contrary to Roche's claims, conducting this stability study was essential for carrying out the GEFAL study. Indeed, as Professor Gilles Aulagner, promoter of this study, indicated during the hearing: "We were very careful to conduct this stability study before starting GEFAL. We knew we had to avoid any criticism from the laboratories" (reference 16575). Similarly, in its information point of September 10, 2009, AFSSAPS stated: "To date, these stability data are therefore insufficient: this is why the Directorate of Laboratories and Controls of Afssaps conducts stability studies of the solution, particularly when it is repackaged in a syringe."  </w:t>
        <w:br/>
        <w:t xml:space="preserve">937. Moreover, Roche knew that this stability study was part of the implementation of the GEFAL study, since AFSSAPS's first request letter of February 27, 2008, expressly stated that this study had "been decided by Afssaps in light of the establishment of a clinical trial 'GEFAL' (promoter: Hospices civils de Lyon) that compares the use of AVASTIN in ophthalmology (in pre-filled syringe) to another drug in the treatment of AMD," and emphasized that it was part of the "clinical protocol" (reference 16398). Roche also knew that the requested elements were "indispensable," according to the health authority's terms in its follow-up email of September 10, 2008 (reference 16403), to conduct the stability trials in question, which did not prevent it from refusing again to communicate these elements.  </w:t>
        <w:br/>
        <w:t xml:space="preserve">938. It follows from the above that by repeatedly refusing to respond favorably to AFSSAPS's requests, Roche unduly delayed the realization of the GEFAL study.  </w:t>
        <w:br/>
        <w:t xml:space="preserve">♦ Regarding Roche and Novartis's actions towards public authorities during the years 2011, 2012, and 2013  </w:t>
        <w:br/>
        <w:t xml:space="preserve">939. As indicated in paragraphs 445 to 544 of this decision, Roche and Novartis multiplied their efforts with public authorities throughout the public, political, and administrative debate that led to the adoption of the RTU for Avastin.  </w:t>
        <w:br/>
        <w:t>940. In this context, the laboratories developed an argumentation aimed at reinforcing the concerns of public authorities and obstructing their initiatives aimed at administratively authorizing the use of Avastin for the treatment of AMD.</w:t>
      </w:r>
    </w:p>
    <w:p>
      <w:r>
        <w:rPr>
          <w:b/>
        </w:rPr>
        <w:t>[Pages 154–156]</w:t>
      </w:r>
    </w:p>
    <w:p>
      <w:r>
        <w:t xml:space="preserve">941. In this regard, it is appropriate to examine the content of the exchanges between the public authorities and Roche, on the one hand, and Novartis, on the other hand.  </w:t>
        <w:br/>
        <w:t xml:space="preserve">- The exchanges between Roche and AFSSAPS/ANSM and other public authorities  </w:t>
        <w:br/>
        <w:t xml:space="preserve">942. As evidenced by paragraphs 445 to 544 of this decision, Roche exchanged several times, between 2011 and 2013, with AFSSAPS/ANSM and other public authorities regarding the use of Avastin in ophthalmology.  </w:t>
        <w:br/>
        <w:t xml:space="preserve">943. In various letters addressed to AFSSAPS/ANSM, the laboratory disseminated an alarmist discourse to the health authority, unambiguously emphasizing the side effects associated with the use of Avastin in ophthalmology, in comparison with the established safety profile of Lucentis.  </w:t>
        <w:br/>
        <w:t xml:space="preserve">944. In doing so, as during its exchanges with AFSSAPS in 2008 (see paragraphs 436 to 444 of this decision), Roche sought to obstruct the French health authority's intention to regulate and secure the conditions of use of Avastin in the treatment of AMD, given the observed off-label use of this specialty by ophthalmologists.  </w:t>
        <w:br/>
        <w:t xml:space="preserve">945. In its observations in response to the notification of grievances and the report, Roche highlights the legitimacy of its communications with the French health authority, particularly emphasizing that providing the latter with any information regarding the side effects caused by the drugs marketed by a laboratory falls within its pharmacovigilance obligations. Furthermore, relying on the Mediator case, Roche insists on the civil and criminal liability risks incurred in the event of off-label use of a drug, thus justifying its communication regarding the risks of potential adverse effects related to the use of Avastin in ophthalmology. Finally, Roche believes that its being implicated under grievance No. 2 amounts to questioning its commercial freedom to choose the indications in which it wishes to develop the drugs it markets and its right to express its opinions in a public debate, protected by Article 10 of the ECHR.  </w:t>
        <w:br/>
        <w:t xml:space="preserve">946. However, these arguments will be dismissed for the following reasons.  </w:t>
        <w:br/>
        <w:t xml:space="preserve">947. First, the letters sent by Roche to the French health authority occurred in a context where the latter was seeking to take a position on the off-label use of Avastin by ophthalmologists, which had not been regulated until then, with a view to potentially providing it with a specific regulatory framework.  </w:t>
        <w:br/>
        <w:t xml:space="preserve">948. Indeed, in a letter dated May 16, 2011, AFSSAPS indicated to Roche that it was considering the establishment of a PTT for Avastin, provided that the laboratory committed to submitting a request for MA for the treatment of AMD, with a presentation adapted for this use, given "the interest of bevacizumab for the clinical practice of ophthalmologists" (reference 6876). Similarly, in a letter dated August 30, 2012, ANSM asked Roche what its intentions were regarding the use of Avastin in ocular pathologies, in a context marked by the recent adoption of the Bertrand law and the requests for RTU, currently under review, concerning the use of anti-VEGF for the treatment of ocular pathologies, emphasizing its desire to "benefit patients in a fair and monitored regulatory framework for new potential indications" (reference 6875).  </w:t>
        <w:br/>
        <w:t xml:space="preserve">949. Thus, contrary to Roche's assertions, the communications in question did not occur in the classic context of reporting pharmacovigilance data concerning the drug it markets, but were part of public authorities' initiatives to regulate the off-label use of Avastin for the treatment of AMD.  </w:t>
        <w:br/>
        <w:t xml:space="preserve">950. As Roche itself points out in its observations, the letters sent by the laboratory to AFSSAPS/ANSM were not communicated on its own initiative, but only in response to requests from the health authority. However, far from exonerating Roche from its responsibility, such a finding attests to the blocking administrative behavior implemented by Roche, since the laboratory systematically responded to AFSSAPS/ANSM's requests with an alarmist discourse on the risks associated with the use of Avastin in ophthalmology, which has not been demonstrated to be justified by public health considerations (see paragraphs 968 to 974 below).  </w:t>
        <w:br/>
        <w:t xml:space="preserve">951. Furthermore, in addition to its exchanges with AFSSAPS/ANSM, Roche also directed its discourse towards other public authorities, such as the Minister of Health or the DGS (see paragraphs 491 to 494 of this decision) during the summer of 2012, also involved in the public debate regarding the potential authorization and regulation of the off-label use of Avastin, or, more generally, during public statements at press conferences in 2013 (see paragraphs 536 and 537 of this decision).  </w:t>
        <w:br/>
        <w:t xml:space="preserve">952. However, while a pharmaceutical laboratory is perfectly free to express, in an objective and neutral manner, its potential public health concerns to the competent health authorities, it can, on the other hand, be criticized for disseminating to public authorities a discourse that exaggerates the risks associated with the off-label use of a drug in a context of scientific uncertainty, in order to unduly block or slow down initiatives aimed at regulating and securing the use of this drug for the relevant therapeutic indication(s). If implemented by an entity in a dominant position, whether individually or collectively, in a market, such behavior may be classified as abusive under Articles 102 TFEU and L. 420-2 of the Commercial Code.  </w:t>
        <w:br/>
        <w:t xml:space="preserve">953. Next, the discourse disseminated by Roche to the French health authorities cannot be considered as falling under its right to freedom of expression protected by Article 10 ECHR, as it, along with the other implicated companies, far from being part of a debate of general interest, sought solely to preserve their own commercial interests through the instrumentalization of the risks associated with the use of Avastin in ophthalmology.  </w:t>
        <w:br/>
        <w:t xml:space="preserve">954. While Roche – the laboratory marketing Avastin in France and holder of the MA for this drug – cannot be reproached in itself for informing the French health authority of the existence of risks associated with the off-label use of Avastin in ophthalmology, it remains that the examination of its discourse reflects the common line of action established by the collective entity, which is not justified by public health considerations, and constitutes a practice foreign to competition on merits.  </w:t>
        <w:br/>
        <w:t xml:space="preserve">955. First, Roche's discourse was constructed and determined in anticipation, even before receiving a formal request from AFSSAPS, as evidenced, for example, by the document dated May 6, 2011, prior to the aforementioned first letter from AFSSAPS dated May 16, 2011. In this document, Roche outlines the "key messages" of the laboratory, in response to the publication of the results of the CATT study. However, in addition to highlighting the results of the CATT study "suggesting that the risk of systemic side effects would be less significant with intravitreal injection of Lucentis compared to Avastin," this document contains a presentation of Roche's position on the off-label use of Avastin in ophthalmology, in which the laboratory categorically expresses the superiority of Lucentis over Avastin ("Lucentis is the most appropriate treatment," "Lucentis (...) allows for better penetration of the product," "Lucentis has a greater affinity," or "We remain convinced that Lucentis is the most appropriate treatment (gold standard) for the treatment of AMD (wet form) because it was specifically designed for use in the eye," reference 6932).  </w:t>
        <w:br/>
        <w:t xml:space="preserve">956. Thus, while the expression by a pharmaceutical laboratory of the risks associated with the use of its own product is perfectly legitimate, the practice, as exposed in this case, of "promoting" a competing drug seems far removed from the rational commercial behavior of an economic operator.  </w:t>
        <w:br/>
        <w:t xml:space="preserve">957. Conversely, Roche provides no internal evidence that could demonstrate that its communication aimed, as it claims, to minimize the litigation risk related to a possible engagement of its civil or criminal liability in the event of off-label use of its drug.  </w:t>
        <w:br/>
        <w:t xml:space="preserve">958. Next, the similarities between Roche's discourse and that of Novartis confirm that the communication implemented by Roche went beyond the expression of simple public health concerns or, more generally, the mere choice of the laboratory not to develop its drug in other indications than oncology.  </w:t>
        <w:br/>
        <w:t xml:space="preserve">959. Indeed, as outlined in paragraphs 975 to 1017 below, Novartis adopted a discourse contrasting the safety of use of Lucentis with the uncertainties surrounding that of Avastin. Both laboratories thus insisted, in a similar manner and according to a similar argumentation, on the risks associated with the use of Avastin in ophthalmology, on the one hand, and on the well-established tolerance profile of Lucentis, specifically designed for use in the eye, on the other hand, even though they are distinct economic operators marketing competing products.  </w:t>
        <w:br/>
        <w:t xml:space="preserve">960. However, these approaches were not motivated by scientific or health considerations, nor even by the assertion of Roche's commercial freedom not to develop its drug in ophthalmology indications, but reflected the common line of action of the collective entity composed of Roche, Novartis, and Genentech, aimed at preserving the respective positioning of Avastin and Lucentis (see paragraphs 707 to 725 of this decision).  </w:t>
        <w:br/>
        <w:t xml:space="preserve">961. Thus, contrary to Roche's assertions, the laboratory is not reproached for having decided not to develop Avastin for ophthalmology indications. On the other hand, its alarmist discourse on the risks associated with the use of Avastin in ophthalmology, combined with the emphasis on the established safety of Lucentis, indeed constitutes an undue interference by the laboratory in the initiatives of public authorities, which is likely to undermine effective and undistorted competition in the market.  </w:t>
        <w:br/>
        <w:t>962. Finally, the criticisms of Professor B…, then Vice-President of the MA Commission, regarding the draft letter of May 2011 that Roche had submitted to him before sending it to AFSSAPS, show that the presentation of the risks highlighted by scientific studies comparing Avastin and Lucentis in ophthalmology may have been exaggerated by the laboratory (see paragraphs 453 to 458 of this decision). While, as Roche points out in its observations, these remarks were described by their author as "harsh and perhaps a bit unfair," he nevertheless added "but not so much and in line with the reflections of many" (reference 6943). However, Roche did not take these observations into account to modify its discourse on adverse effects in a more neutral direction, neither in its letter of May 26, 2011, nor in its subsequent letters.</w:t>
      </w:r>
    </w:p>
    <w:p>
      <w:r>
        <w:rPr>
          <w:b/>
        </w:rPr>
        <w:t>[Pages 157–159]</w:t>
      </w:r>
    </w:p>
    <w:p>
      <w:r>
        <w:t>963. Similarly, in its letters addressed to the ANSM during the year 2012, Roche presented the EMA's decision to amend the SPC of Avastin regarding systemic adverse effects, which did not accurately reflect the analysis that led to this decision. Indeed, in its letter dated September 10, 2012, Roche stated: "We would like to inform you that the European Medicines Agency has authorized new warnings and precautions for use in the European SPC of Avastin. These warnings describe the serious systemic and ocular adverse events reported following the use of Avastin, via intravitreal injection (decision of the European Commission dated August 30, 2012)" (reference 16432). If, as indicated in paragraphs 132 to 139 of this decision, the EMA did indeed amend the SPC of Avastin on this point, the CHMP had, in its opinion of July 2012, noted that "the detailed information obtained from the CATT and IVAN studies is reassuring and there is no evidence that bevacizumab [Avastin] is less safe than ranibizumab [Lucentis] regarding systemic effects," concluding that it was necessary to insert a paragraph in the SPC of Avastin regarding the existence of systemic adverse effects related to the use of anti-VEGF in intravitreal administration, without this warning specifically concerning Avastin.</w:t>
      </w:r>
    </w:p>
    <w:p>
      <w:r>
        <w:t>964. Likewise, in its letter dated November 12, 2012, Roche revisited, after providing the information requested by the ANSM, the molecular differences and available pharmacokinetic data of Lucentis and Avastin, and the aforementioned amendment of the SPC of Avastin regarding systemic adverse effects. Here again, the laboratory failed to specify, as highlighted by the CHMP in its opinion, that the finding leading to this amendment concerned all anti-VEGF (including Lucentis) and not, as suggested in its letters, only Avastin.</w:t>
      </w:r>
    </w:p>
    <w:p>
      <w:r>
        <w:t>965. Furthermore, in its public statements during a press conference on October 23, 2013, Roche again emphasized the aforementioned amendment of the SPC of Avastin, contrasting it with the well-established safety profile of Lucentis, whereas, following the CHMP's opinion in January 2013, the SPC of Lucentis was amended in July 2013 to include the same mention regarding the existence of systemic adverse effects related to the use of anti-VEGF, which Roche failed to specify and which significantly altered the scope of this assertion (see paragraphs 140 to 148 of this decision).</w:t>
      </w:r>
    </w:p>
    <w:p>
      <w:r>
        <w:t>966. Roche and Genentech, however, argue that the regulatory framework did not allow public authorities to administratively authorize the "off-label" use of a specialty in the presence of an authorized therapeutic alternative (Lucentis). More specifically, the companies in question assert (i) that the adoption of a PTT for Avastin was not a feasible option, (ii) that the instruction from the DGS did not make the applicable legislative and regulatory framework more restrictive, and (iii) that the use of Avastin for the treatment of AMD could not be subject to a RTU before 2015.</w:t>
      </w:r>
    </w:p>
    <w:p>
      <w:r>
        <w:t>967. These arguments will be dismissed for the following reasons.</w:t>
      </w:r>
    </w:p>
    <w:p>
      <w:r>
        <w:t>968. On the one hand, the documents in the file attest to the fact that the possibility of adopting a PTT for Avastin in ophthalmology was considered by the French health authority. Indeed, in February 2007, AFSSAPS, which had announced it would engage in reflection on the use of Avastin in ophthalmology, questioned the establishment of a PTT for this specialty. On this occasion, it stated: "Given the existence of Lucentis, AFSSAPS cannot recommend the use of Avastin in the treatment of AMD within the framework of a temporary treatment protocol (PTT) but, given the feedback (via the working group), it cannot take a firm position against the off-label use of Avastin at this time," it was added from the same source (reference 2019). However, this possibility did not seem to be definitively excluded by the French health authority, since it indicated, four years later, in a letter dated May 16, 2011, addressed to Roche, that it was considering the establishment of a PTT for Avastin given the "interest of bevacizumab for the clinical practice of ophthalmologists" (reference 6876).</w:t>
      </w:r>
    </w:p>
    <w:p>
      <w:r>
        <w:t>969. As Roche and Genentech argue, it is true that the "Guidelines for the Proper Use of Medicines on the List Outside GHS," published by the ANSM in July 2012, indicate that "PTTs correspond to acceptable off-label situations, that is to say, situations for which the benefit/risk ratio of the product prescription has been evaluated as favorable, based on available data, taking into account: - that there is no therapeutic alternative with MA in this situation presenting a benefit/risk balance of the same level, - that there is no drug in the GHS [homogeneous stay group] that can be prescribed off-label in this situation. This means that the absence of availability of treatment could represent a loss of opportunity." However, these guidelines, established by the contracts for the proper use of medicines concluded with healthcare facilities, aim solely to organize the conditions of coverage by mandatory health insurance schemes, as they allow for the listing of products used "off-label," so that they can be financed in addition to the GHS in hospitals ("list in addition," see paragraph 48 above). Furthermore, the decrees No. 2005-1023 and 2008-1121 mentioned above did not expressly make the absence of a therapeutic alternative a condition for granting a PTT to a given specialty.</w:t>
      </w:r>
    </w:p>
    <w:p>
      <w:r>
        <w:t>970. In any case, the notified grievance accuses the companies in question of having obstructed any form of "administrative authorization" for the use of Avastin "off-label" in the treatment of AMD, without specifically targeting the issuance of a PTT for Avastin. However, there were numerous means available to health authorities to express their position on the "off-label" use of Avastin in the eye. The various positions taken by health authorities (information points from AFSSAPS and recommendations from HAS) on the subject also demonstrate their ability to intervene to reassure or, conversely, draw attention to a given medical practice.</w:t>
      </w:r>
    </w:p>
    <w:p>
      <w:r>
        <w:t>971. On the other hand, contrary to what Roche and Genentech argue, the instruction from the DGS in July 2012 contributed to making the regulatory framework more restrictive.</w:t>
      </w:r>
    </w:p>
    <w:p>
      <w:r>
        <w:t>972. Indeed, first, Article L. 5121-1 of the Public Health Code did not prohibit hospital pharmacies from repackaging Avastin for use in ophthalmology. Second, Article L. 5121-12-1 of the Public Health Code, in its wording resulting from the Bertrand law, did not prohibit any "off-label" use of Avastin for indications for which Lucentis had an MA. Third, while the French health authorities adopted a cautious stance regarding the "off-label" use of Avastin in ophthalmology, they never prohibited it, until the adoption of the aforementioned instruction, which imposed certain limits on its use (see paragraphs 635 to 651 of this decision).</w:t>
      </w:r>
    </w:p>
    <w:p>
      <w:r>
        <w:t>973. However, it appears from the elements of the file that the practices in question directly contributed to the adoption of the DGS instruction in July 2012. On the one hand, this instruction seems at least contrary to the legislative and scientific context aimed at securing and framing the "off-label" use of Avastin in ophthalmology. Indeed, at the same time, parliamentary debates preceding the adoption of the LFSS for the year 2013 were taking place, which attest that the proposal to create an "economic RTU" aimed specifically to address the question of how to ensure "the treatment of AMD at the best cost for society." Similarly, at the same time, the GEFAL study, funded by the French public authorities, aimed at studying the conditions of effectiveness and safety of "off-label" use of Avastin for the treatment of AMD, was ongoing. On the other hand, the elements of the file attest that the DGS notably took into account the letters it received, since in response to a request for information from the instruction services, it cited the letters dated May 9, 2011, and July 3, 2012, received from Novartis among the documents on which it relied, concerning, more specifically, the reported cases of endophthalmitis and the risks associated with the use of Avastin in ophthalmology (reference 13458). However, it should be noted that Novartis was not the holder of the specialty Avastin, which was the subject of the said instruction.</w:t>
      </w:r>
    </w:p>
    <w:p>
      <w:r>
        <w:t>974. It follows from the above that Roche, through an alarmist discourse on the risks associated with the use of Avastin for the treatment of AMD, sought to unduly block or slow down the initiatives of public authorities which, despite the choice made by this laboratory not to develop Avastin for an indication in ophthalmology, were considering, given the practice of ophthalmologists, promoting and securing its use for the treatment of AMD.</w:t>
      </w:r>
    </w:p>
    <w:p>
      <w:r>
        <w:t>- The exchanges between Novartis and public authorities</w:t>
      </w:r>
    </w:p>
    <w:p>
      <w:r>
        <w:t>975. As evidenced by paragraphs 445 to 544 of this decision, Novartis multiplied its efforts with health authorities and public authorities between 2011 and 2013, in a context of public debate regarding the use of Avastin "off-label" for the treatment of AMD.</w:t>
      </w:r>
    </w:p>
    <w:p>
      <w:r>
        <w:t>976. In these various exchanges, the laboratory disseminated an alarmist and misleading discourse to public authorities, unambiguously emphasizing the side effects associated with the use of Avastin in ophthalmology, in opposition to the established safety profile of Lucentis.</w:t>
      </w:r>
    </w:p>
    <w:p>
      <w:r>
        <w:t>977. In doing so, Novartis sought to obstruct the public authorities' desire to frame and secure the conditions of use of Avastin in the treatment of AMD, given the observed practical use of this specialty "off-label" by ophthalmologists.</w:t>
      </w:r>
    </w:p>
    <w:p>
      <w:r>
        <w:t>978. In its observations in response to the notification of grievances and the report, Novartis argues that, in a context of open debate regarding public health issues, its communication with public authorities fell within its freedom of opinion and expression, protected by Article 10 of the ECHR, as well as the legitimate defense of its interests. The laboratory contests the misleading nature of its communications in this regard, particularly given the context in which they were made, their recipients, and their purpose. More specifically, Novartis claims that the elements contained in its communication are based on the scientific data available at that time and that they are precisely referenced to allow the competent recipients to assess their relevance.</w:t>
      </w:r>
    </w:p>
    <w:p>
      <w:r>
        <w:t>979. However, these arguments will be dismissed for the following reasons.</w:t>
      </w:r>
    </w:p>
    <w:p>
      <w:r>
        <w:t>980. As a preliminary matter, it is not the very principle of the laboratory's intervention with public authorities that is targeted in the notified grievance, but rather the content and modalities of its discourse.</w:t>
      </w:r>
    </w:p>
    <w:p>
      <w:r>
        <w:rPr>
          <w:b/>
        </w:rPr>
        <w:t>[Pages 160–162]</w:t>
      </w:r>
    </w:p>
    <w:p>
      <w:r>
        <w:t>981. Indeed, as highlighted in paragraph 952 of this decision, a pharmaceutical laboratory is perfectly free to express, in an objective and neutral manner, its potential public health concerns before the competent health authorities. Likewise, the legitimacy of a pharmaceutical laboratory's actions to defend its own interests (or "lobbying") towards public authorities cannot be called into question, provided that they do not violate any legislation.</w:t>
      </w:r>
    </w:p>
    <w:p>
      <w:r>
        <w:t>982. On this point, the Competition Council has previously emphasized regarding a practice implemented by a professional union that if it "falls within the context of a public debate in which socio-professional groups express their views to defend the interests of their members (...) even if it leads a professional union to defend a position that is not the promotion of stronger competition, it cannot be qualified as anti-competitive in itself" (decision No. 05-D-20 of May 13, 2005, concerning a referral from the company le casino du Lac de la Magdeleine, point 27).</w:t>
      </w:r>
    </w:p>
    <w:p>
      <w:r>
        <w:t>983. On the other hand, a laboratory may be criticized for disseminating to public authorities a discourse whose content is misleading, in that it exaggerates the risks associated with the use of a drug "off-label," in a context of scientific uncertainty, in order to unduly block or slow down public authorities' initiatives that aim to regulate and secure its use for the relevant therapeutic indication(s). If such behavior is implemented by an entity in a dominant position, individually or collectively, in a market, it may be qualified as abusive under Articles 102 TFEU and L. 420-2 of the Commercial Code (see paragraphs 916 to 922 of this decision).</w:t>
      </w:r>
    </w:p>
    <w:p>
      <w:r>
        <w:t>984. Therefore, it is in light of the content of the exchanges between Novartis and the public authorities, and the context in which they occurred, that the laboratory's behavior must be assessed.</w:t>
      </w:r>
    </w:p>
    <w:p>
      <w:r>
        <w:t>985. Thus, concerning first the context in which these exchanges took place, it emerges from the elements of the file that Novartis clearly directed its communication towards the authorities responsible for taking a position, in a context of public debate on the use of Avastin in ophthalmology.</w:t>
      </w:r>
    </w:p>
    <w:p>
      <w:r>
        <w:t>986. By way of illustration, in its letter dated May 9, 2011, addressed to a large number of leading institutional actors in defining health policy (such as CEPS, AFSSAPS, and the Ministry of Health, as well as the Presidency of the Republic or the Prime Minister), Novartis invited the health authorities to take a position on the messages conveyed by the media encouraging healthcare professionals to use Avastin "off-label," emphasizing "the risks for patients" and the "significant consequences in terms of public health safety" related to such use (reference 3081).</w:t>
      </w:r>
    </w:p>
    <w:p>
      <w:r>
        <w:t>987. Similarly, in the presentation titled "PLFSS 2013 - Action plan" from October 2012, Novartis considered several actions to combat Article 45 of the PLFSS for 2013, which introduced the principle of an "economic RTU." Among the actions considered were sending letters to political figures, such as the Prime Minister or the Minister of Health ("action 2") and meetings with representatives of health authorities ("action 3"), to alert them to the health and legal risks that the adoption of such an RTU for Avastin could entail, particularly emphasizing the recent Mediator case ("alert on the major Public Health and sanitary issue that this article and an Avastin RTU would raise (Key messages: risk of safety issues, Mediator-like scandal and risk of establishing difference in the access to treatments amongst French population, infringement of European pharmaceutical legislation)," reference 1518). In the presentation titled "LFSS 2013 – Action plan" from February 2013, where Novartis specifies the actions to be implemented against the adoption of an "economic RTU" for Avastin, in application of the LFSS for the year 2013 recently voted, the laboratory indicates that it is necessary to continue to alert the main stakeholders with the same type of discourse ("continue to alert key stakeholders on issues that this provision raises =&gt; major Public Health and sanitary: risk of safety issues, Mediator-like scandal and risk of establishing difference in the access to treatments amongst French population, infringement of European pharmaceutical legislation," free translation: "continue to alert the main stakeholders on the issues raised by this provision =&gt; important public health and sanitary stakes: risks of safety issues, scandal like that of the Mediator and risk of establishing a difference in access to treatments within the French population, violation of European pharmaceutical legislation," reference 2881).</w:t>
      </w:r>
    </w:p>
    <w:p>
      <w:r>
        <w:t>988. Thus, while it is true that health authorities have adopted cautious positions regarding the "off-label" use of Avastin in ophthalmology (see paragraphs 149 to 164 of this decision), it remains that they, and more generally, public authorities, were seeking a legal solution to secure and regulate this use, contested in Novartis's discourse, but observed in the practice of ophthalmologists.</w:t>
      </w:r>
    </w:p>
    <w:p>
      <w:r>
        <w:t>989. Furthermore, Novartis's communications had a commercial character, fitting within the framework of the common action line of the collective entity, and were unrelated to public health concerns.</w:t>
      </w:r>
    </w:p>
    <w:p>
      <w:r>
        <w:t>990. Indeed, the examination of the content of Novartis's discourse, in light of the context in which it occurred, shows that it was not motivated by public health considerations, but was part of an anti-competitive maneuver aimed at preventing, or limiting as much as possible, the use of Avastin "off-label" in ophthalmology, to the benefit of its own product, Lucentis. Contrary to what Novartis claims, the discourse conveyed by the laboratory to public authorities was misleading.</w:t>
      </w:r>
    </w:p>
    <w:p>
      <w:r>
        <w:t>991. First, in its exchanges with public authorities, Novartis presented a selective, even erroneous, account of the modifications made to the SPC of Avastin and Lucentis.</w:t>
      </w:r>
    </w:p>
    <w:p>
      <w:r>
        <w:t>992. Indeed, on the one hand, Novartis indicated in some of its exchanges with public authorities that the EMA had prohibited the use of Avastin intravitreally, which is inaccurate.</w:t>
      </w:r>
    </w:p>
    <w:p>
      <w:r>
        <w:t>993. In its opinion of July 2012 regarding the modification of the SPC of Avastin, the CHMP proposed the following modification: "Avastin is not formulated for intravitreal use" (free translation: "Avastin is not formulated for intravitreal use," reference 766). This modification was enacted by a decision of the European Commission on August 30, 2012 (see paragraph 139 of this decision). Thus, while a warning was deemed necessary to emphasize that the galenic form of Avastin was not formulated for intravitreal administration, at no time did the European health agency prohibit the use of Avastin intravitreally.</w:t>
      </w:r>
    </w:p>
    <w:p>
      <w:r>
        <w:t>994. However, in a letter dated August 9, 2012, addressed to the DGS, Novartis stated that the EMA had modified the SPC of Avastin "to add in its section 4.4 'Special warnings and precautions for use,' the prohibition of using Avastin intravitreally as well as the ocular and systemic adverse events that have been observed during the off-label use of Avastin intravitreally" (reference 1529), thereby making a significant modification to the scope of the SPC change. Similarly, in a letter dated October 5, 2012, addressed to the Prime Minister, Novartis indicated that the European health agency had prohibited the use of Avastin intravitreally ("circular from the DGS dated July 11, 2012 and clarification from the European Medicines Agency regarding the prohibition of the use of Avastin in intravitreal ocular injection," reference 1526).</w:t>
      </w:r>
    </w:p>
    <w:p>
      <w:r>
        <w:t>995. According to Novartis, its assertion was legitimate, since section 4.4 of the SPC of Avastin indicated that the intravitreal use of Avastin was "not authorized," referring to the wording of section 4 of the package leaflet of Avastin, which states that this drug "has not been developed or manufactured for injection into the eye. It is therefore not authorized for use via this route of administration." However, neither this wording nor that of section 4.4 of the aforementioned SPC means that the use of Avastin in eye injection would have been prohibited by the EMA, this mention referring only to the fact that the MA granted to Avastin did not aim for use in ophthalmology. Moreover, the mention of "not authorized" usage was already present in the previous version of the SPC of Avastin (reference 766).</w:t>
      </w:r>
    </w:p>
    <w:p>
      <w:r>
        <w:t>996. Novartis thus distorted the position of the European health agency, this false assertion being likely to amplify the perception, by the recipients of this message, of the risks associated with the "off-label" use of Avastin.</w:t>
      </w:r>
    </w:p>
    <w:p>
      <w:r>
        <w:t>997. On the other hand, Novartis presented the modification of the SPC of Avastin, suggesting that the ocular and systemic adverse effects detected concerned only this drug, which is inaccurate.</w:t>
      </w:r>
    </w:p>
    <w:p>
      <w:r>
        <w:t>998. Indeed, for the record, firstly, the CHMP considered that it was not appropriate to distinguish between the different anti-VEGF drugs regarding systemic effects, and, secondly, the SPC of Lucentis also contains a warning about ocular effects related to intravitreal injections of Lucentis (see paragraphs 824 to 832 of this decision).</w:t>
      </w:r>
    </w:p>
    <w:p>
      <w:r>
        <w:t>999. However, in a letter dated October 9, 2012, addressed to the president of the ANSM, a letter dated October 16 addressed to the deputy head of health products at CNAMTS, or again, in the "Lucentis / Avastin Note" prepared in anticipation of the meetings scheduled with CEPS, the DGS, and the cabinet of the Minister of Health on October 11 and 12, 2012, Novartis indicated that the EMA "has indeed just modified the Summary of Product Characteristics of Avastin following these various studies to add a warning indicating that Avastin is not formulated for intravitreal use and to specify the ocular and systemic risks in case of intravitreal use" (references 15643, 14258, and 14255). A similar position is presented in the note titled "Impact of Article 57 of the LFSS 2013 – Case Lucentis / Avastin in the treatment of neovascular AMD," prepared in anticipation of a meeting with the director general of UNCAM, which notably states "the EMA has added a warning in the Summary of Product Characteristics of Avastin regarding the ocular and systemic risks in case of intravitreal use of Avastin" (reference 14215).</w:t>
      </w:r>
    </w:p>
    <w:p>
      <w:r>
        <w:t>1000. Therefore, Novartis has, once again, presented the modifications of the SPC of Avastin made by the EMA, distorting the scope of the EMA's decision, suggesting that these adverse effects concerned only Avastin, whereas the CHMP considered that it was not appropriate to distinguish between the different anti-VEGF drugs, and that it recommended, in January 2013, to include this mention in the SPC of Lucentis as well.</w:t>
      </w:r>
    </w:p>
    <w:p>
      <w:r>
        <w:t>1001. Secondly, Novartis provided an inaccurate presentation of the positions taken by AFSSAPS regarding the use of Avastin in ophthalmology, in its two information points dated September 10, 2009, and September 16, 2011.</w:t>
      </w:r>
    </w:p>
    <w:p>
      <w:r>
        <w:rPr>
          <w:b/>
        </w:rPr>
        <w:t>[Pages 163–165]</w:t>
      </w:r>
    </w:p>
    <w:p>
      <w:r>
        <w:t xml:space="preserve">1002. Indeed, if, on these two occasions, the French health authority referred to tolerance issues related to the use of Avastin, particularly emphasizing the absence of an appropriate pharmaceutical form of this medication for injection into the eye, it did not, at any time, indicate that this could "present a risk to public health" (see paragraphs 149 to 155 of this decision).  </w:t>
        <w:br/>
        <w:t xml:space="preserve">1003. However, in several documents intended for public authorities (the letter dated July 3, 2012, sent to HAS, reference 15649; the letter dated October 16, 2012, sent to the deputy head of health products at CNAMTS, reference 14258; or the note titled "Note Lucentis / Avastin" prepared for meetings scheduled with CEPS, DGS, and the Minister of Health's office on October 11 and 12, 2012 (references 14162 and 14164)), Novartis engaged in fictitious citation of the statements of the French health authority in these two information points, indicating that "the absence of an appropriate pharmaceutical form for ophthalmology use of Avastin was noted by ANSM several times in 2009 and 2011, as potentially 'presenting a risk to public health,' particularly an infectious risk."  </w:t>
        <w:br/>
        <w:t xml:space="preserve">1004. Thus, by attributing to the French health authority statements it had not truly made in the referenced documents, Novartis sought, once again, to amplify the concerns of public authorities, which are particularly sensitive to public health issues, given the context of risk aversion and the judicialization of health matters described above (see paragraphs 761 to 768 of this decision).  </w:t>
        <w:br/>
        <w:t xml:space="preserve">1005. Thirdly, Novartis, in its exchanges with public authorities, presented a sometimes biased account of the results of scientific studies comparing the efficacy and safety of Avastin and Lucentis in ophthalmology.  </w:t>
        <w:br/>
        <w:t xml:space="preserve">1006. For example, in its letter dated May 9, 2011, sent to a large number of institutional stakeholders, whether or not they belonged to the health sector (such as CEPS, AFSSAPS, and the Ministry of Health, but also the Presidency of the Republic or the Prime Minister), Novartis stated that "the various tolerance signals related to the off-label use of Avastin in intravitreal injection currently identified in the three aforementioned studies [CATT, Curtis, and Gower] are serious and should not be overlooked" (reference 3081). More specifically, Novartis only presented the results of the Curtis and Gower studies, mentioning the existence of more significant serious side effects for treatment with Avastin than with Lucentis, while omitting the methodological limitations of these two studies and the nuanced conclusions of their authors (see paragraphs 98 to 103 of this decision).  </w:t>
        <w:br/>
        <w:t xml:space="preserve">1007. However, Novartis argues that this letter is a very measured response from the laboratory to what it considers to be the aggressive and controversial article in Le Figaro, published on May 6, 2011, which emphasized that the two molecules were equally effective, for a very significant price difference ("two equally effective molecules, one at 30 euros, the other at 1200") and noted, regarding side effects, "a very slight difference in favor of Lucentis that is not statistically significant" (reference 3080, see paragraph 460 of this decision). The laboratory particularly emphasizes that it chose not to exercise its right of reply directly in the newspaper accessible to the general public, but to target it towards selected recipients for their specific expertise, capable of understanding scientific arguments.  </w:t>
        <w:br/>
        <w:t xml:space="preserve">1008. Nevertheless, on the one hand, the fact that Novartis acted in this way attests, on the contrary, to its desire to intervene directly with the authorities involved to study and, if necessary, decide on the potential regulation of off-label prescriptions of Avastin in ophthalmology. However, as highlighted above (see paragraph 981 of this decision), while the principle of defending its interests (or "lobbying") by a pharmaceutical laboratory cannot be called into question, a behavior aimed at blocking or unduly slowing down public authorities' initiatives that seek to promote and secure its use for the treatment of AMD, through the dissemination of a discourse whose content is misleading, exaggerating the risks associated with the use of a drug "off-label" in a context of scientific uncertainty, may constitute undue interference in the decision-making process of public authorities, potentially contrary to Articles 102 TFEU and L. 420-2 of the Commercial Code. On the other hand, it must be noted, in any case, that Novartis's response to the article in Le Figaro had a wider dissemination than it claims: its arguments were indeed relayed to a broader audience, as they appeared in the APM dispatch which, in Novartis's own words, "reproduces almost all of our arguments!" (reference 3072).  </w:t>
        <w:br/>
        <w:t xml:space="preserve">1009. Furthermore, in a letter dated July 3, 2012, sent to HAS, Novartis made a similar presentation of these studies, concluding that "the tolerance signals related to the off-label use of Avastin in intravitreal injection are therefore serious, statistically significant in certain clinical studies" (reference 15649). However, even though in response to this letter, on July 31, 2012, HAS notably emphasized that "there are no significant differences either in terms of efficacy or in terms of tolerance" regarding systemic adverse effects and that, concerning ocular adverse effects, "cases of endophthalmitis are also described with Ranibizumab [Lucentis] and are not significantly more frequent in the Bevacizumab [Avastin] group" (reference 3336), Novartis, in a letter dated October 1, 2012, sent to the Director General of DGS, presented a similar account of the serious adverse effects identified in the CATT study for Avastin, disregarding the nuances provided by HAS, and indicated that the results of these studies "showed a statistically significant difference between Lucentis and Avastin to the detriment of the latter, with a statistically higher risk of occurrence of a severe systemic event in the Avastin group versus Lucentis" (reference 1528).  </w:t>
        <w:br/>
        <w:t xml:space="preserve">1010. Similarly, in a letter dated October 9, 2012, sent to the President of ANSM, in response to a request from the health authority regarding Lucentis, Novartis indicated that the IVAN and CATT studies "have highlighted a significant increase in the risk of serious adverse events for Avastin" (reference 15642), merely presenting the raw figures without, once again, highlighting the methodological limitations of the studies. Moreover, while this letter responded to a request from ANSM regarding Lucentis, the laboratory chose to focus its developments on the safety of Avastin, which it does not market.  </w:t>
        <w:br/>
        <w:t xml:space="preserve">1011. A nearly similar position is presented by Novartis in its letter dated October 16, 2012, sent to the deputy head of health products at CNAMTS (references 14257 to 14259) or during numerous meetings that Novartis had with public authorities, such as DGS and the Minister of Health's office on October 11 and 12, 2012, or CEPS on October 12, 2012 (references 14161 to 14165).  </w:t>
        <w:br/>
        <w:t xml:space="preserve">1012. Thus, Novartis provided a partial and decontextualized presentation of the results of the available scientific studies.  </w:t>
        <w:br/>
        <w:t xml:space="preserve">1013. Lastly, Novartis disseminated a discourse suggesting that there could be a risk of additional systemic effects related to the properties of Avastin, different from those of Lucentis.  </w:t>
        <w:br/>
        <w:t xml:space="preserve">1014. For example, in the presentation prepared for the meeting on October 12, 2012, with CEPS, Novartis emphasizes the "structural differences," the "pharmacological differences," the "different formulations" between Avastin and Lucentis, concluding that "all these differences imply risks in terms of local and systemic tolerance" (reference 14619). Similarly, in a note titled "Note on RTU issues for economic reasons - draft Article 45" sent on October 22, 2012, to representatives of LEEM to help them "argue," particularly on safety issues related to the use of Avastin, in the context of public debates regarding the creation of an "economic RTU" (reference 14253), Novartis highlights the differences between Avastin and Lucentis ("different drugs with different indications," reference 14255) before presenting the conclusions of the results of the scientific studies, again suggesting a link between these differences and the findings of said studies of lesser tolerance for Avastin (reference 14255).  </w:t>
        <w:br/>
        <w:t xml:space="preserve">1015. However, as highlighted in paragraph 809 of this decision, there was no demonstrated link, based on the available scientific analyses, between the respective pharmacological characteristics of the two products and the existence of more significant systemic adverse effects for Avastin. Moreover, HAS, in its letter dated July 31, 2012, communicated to Novartis its analysis on this point, emphasizing that "the increase in adverse effects highlighted in the CATT study does not correspond, as noted by the authors of the articles, to a pharmacodynamic effect of the anti-VEGF" (reference 3336).  </w:t>
        <w:br/>
        <w:t xml:space="preserve">1016. Therefore, Novartis's presentation of the potential causes of the risks associated with the use of Avastin was not expressed with sufficient moderation, given the scientific context in which its discourse was situated.  </w:t>
        <w:br/>
        <w:t xml:space="preserve">1017. It follows from the above that Novartis, through an alarmist and misleading discourse on the risks associated with the use of Avastin for the treatment of AMD, sought to block or unduly slow down the initiatives of public authorities that were considering promoting and securing its use for the treatment of AMD, given the practice of ophthalmologists.  </w:t>
        <w:br/>
        <w:t xml:space="preserve">On the involvement of Genentech in the communication of Novartis and Roche  </w:t>
        <w:br/>
        <w:t xml:space="preserve">1018. Roche and Genentech argue that any individual involvement of Genentech should be dismissed. More specifically, the companies in question allege that while it was legitimate for Genentech to stay informed of legislative and scientific developments in France regarding the products it licensed, it cannot be considered that it participated in the criticized practices, as it is not present in the French market and has had no direct contact with the French public authorities.  </w:t>
        <w:br/>
        <w:t xml:space="preserve">1019. However, several documents in the file attest to the fact that, while it is true that Genentech did not intervene directly with the French public authorities, it did indeed participate in formulating responses to the public debate regarding the marketing of its products, Avastin and Lucentis, in France. However, contrary to what the parties in question assert, this behavior exceeded the legitimate oversight rights of a licensor over the development of its product in new indications.  </w:t>
        <w:br/>
        <w:t xml:space="preserve">1020. Indeed, Genentech transmitted to each of its licensees information regarding safety issues related to the off-label use of Avastin in ophthalmology, so that these could be relayed to the media and French public authorities.  </w:t>
        <w:br/>
        <w:t>1021. For example, in an email sent to Roche on July 30, 2012, Mr. M…, an executive at Genentech, indicated that Roche's French team should emphasize to the government the lack of safety of Avastin when used in the eye ("So</w:t>
      </w:r>
    </w:p>
    <w:p>
      <w:r>
        <w:rPr>
          <w:b/>
        </w:rPr>
        <w:t>[Pages 166–168]</w:t>
      </w:r>
    </w:p>
    <w:p>
      <w:r>
        <w:t xml:space="preserve">French team do not need to spend time on checking how the indication can be granted and the label modified, they should rather go back to the government and explain to the above, in particular the lack of safety of Avastin when used in the eye (reference 7148; also reference 14689).  </w:t>
        <w:br/>
        <w:t xml:space="preserve">1022. While Roche and Genentech claim that Mr. M… has left the presidency of Genentech since 2010, they do not provide any evidence (contractual documents or otherwise) to support this allegation, whereas the documents in the file attest to the contrary that the individual was expressing himself with a Genentech email address and was claiming his position as "CEO" of that company. Indeed, first, the curriculum vitae, appearing on Roche's website, indicates that in 2009, Mr. M… was "CEO [Chief Executive Officer]" of Genentech Inc.44. Then, on the occasion of the disputed email, in 2012, Mr. M… was expressing himself from a Genentech email address "M… {CEOs~South San Francisco}" &lt;@gene.com&gt;, reference 7148), which still mentioned his position as "CEO". Finally, Mr. M…'s appointment in 2010 as "COO [Chief Operational Officer]" of Roche Pharmaceuticals Division does not exclude him from speaking on behalf of Genentech Inc., since it is indicated on the Roche group website that the Roche Pharmaceuticals division includes the activities of Genentech45 and that, as part of the merger agreement between Roche and Genentech, the premises of Genentech serve as headquarters for all of Roche's pharmaceutical activities in the United States46. It seems moreover implausible that such a large group as Roche would have neglected, as claimed by the companies involved in their observations, to modify the email address and title of one of its executives, not a few weeks or months after his appointment, but two years later.  </w:t>
        <w:br/>
        <w:t xml:space="preserve">1023. Similarly, in an email exchange in August 2012, Genentech forwarded to Novartis information about the modification of the SPC of Avastin, not yet published, obtained from Roche, particularly highlighting the addition to the SPC of Avastin of a mention regarding local and systemic adverse effects associated with its intravitreal use: "Please see attached the forthcoming safety update to the European Avastin label which is expected to be finalized in Sept/Oct. Importantly there is mention of both local and systemic side effects associated with unlicensed intravitreal use. We will update the relevant CPO material for rapid distribution once this is finalized and public" (free translation: "Please find attached the forthcoming update of the SPC of Avastin which is expected to be finalized in September/October. It is important to note the mention of the existence of local and systemic adverse effects associated with the 'off-label' use of Avastin. We will update the documents for rapid distribution once this is finalized and made public," references 15759 and 15760). However, there was no justification for Novartis, which marketed a competing product, to be informed by Genentech of this modification before it was made public, except to allow Novartis to prepare in advance its communication emphasizing the risks associated with the "off-label" use of Avastin in ophthalmology.  </w:t>
        <w:br/>
        <w:t xml:space="preserve">1024. Furthermore, several documents in the file attest to Genentech's involvement in defining a common course of action among the three laboratories.  </w:t>
        <w:br/>
        <w:t xml:space="preserve">1025. For example, an email sent by Genentech to Roche on May 8, 2013, attests to a meeting between Novartis and Genentech, of which Roche is kept informed, in order to ensure the dissemination of a common message and alignment of their communication strategy, based on the "key messages," the content of which has been examined above, particularly emphasizing the risks associated with the use of Avastin in ophthalmology, compared to the guaranteed safety of Lucentis: "Team is currently making minor revisions to update some details in the key messages but has determined no change in our strategy and overall message is required (…) We're meeting with NVS at 6 pm to discuss and align as much as possible on media strategy and messaging. We anticipate they will be inclined to take an aggressive approach in the media based on potential impact of the GEFAL data on access to Lucentis in France. We anticipate possible media reaction and government pressure on Roche regarding Avastin in France as well" (free translation: "The team is currently making minor revisions to update some details in the key messages but has decided that no change in our strategy and overall message is required (…) We are meeting with NVS [Novartis] at 6 pm to discuss and align as much as possible on our media strategy and messaging. We anticipate that they will tend to adopt an aggressive approach in the media, regarding the potential impact of the GEFAL data on access to Lucentis in France. We anticipate possible media reaction and government pressure on Roche regarding Avastin in France," reference 14736).  </w:t>
        <w:br/>
        <w:t xml:space="preserve">1026. Likewise, as evidenced by internal email exchanges from Genentech on July 2, 2012, Genentech created an "Avastin team" and a "Lucentis team," tasked with advising the laboratories on safety and tolerance information to be communicated to the French health authorities: "- Lucentis team to inform Novartis on potential compulsory licensing of Avastin for wAMD in France. - Avastin safety to start potential evaluation of Avastin wAMD safety data transfer to French HA [health authorities] (if requested). - Lucentis team to advise which information on efficacy, publications, etc. regarding Avastin in wAMD should be submitted to French HA [health authorities]. - Lucentis team to advise which information on efficacy, publications, etc. regarding Lucentis in wAMD should be submitted to French HA [health authorities]" (free translation: "The Lucentis team will inform Novartis of a potential compulsory licensing for Avastin for AMD in France - The Avastin safety team will begin the potential evaluation of safety data for Avastin for AMD to be transferred to the French health authorities - The Lucentis team will advise on the information regarding efficacy, publications, etc. on Lucentis in AMD that should be communicated to the French health authorities," reference 15766).  </w:t>
        <w:br/>
        <w:t xml:space="preserve">1027. Finally, as highlighted in paragraphs 707 to 725 of this decision, Genentech's particular role in the practices in question is inferred from the structural links between the three laboratories, and more specifically from the establishment of management committees and an institutionalized system of information exchange. Genentech is indeed at the heart of the contractual and operational system linking the three laboratories, which allows it to synthesize the economic, legal, and scientific stakes for Avastin and Lucentis, to intervene in the formulation of the respective positioning principles of the two drugs, and to determine the responses to be provided to the public debate concerning the marketing of its products in France.  </w:t>
        <w:br/>
        <w:t xml:space="preserve">1028. It follows from the above that Genentech participated in the practices, insofar as it facilitated the coordination of the discourse of Novartis and Roche regarding the two specialties, concerning the scientific data. In this context, Roche and Novartis were able to develop a very similar discourse, based on the same technical elements, and using the same formulations.  </w:t>
        <w:br/>
        <w:t xml:space="preserve">On the effects of the communication from Novartis and Roche  </w:t>
        <w:br/>
        <w:t xml:space="preserve">1029. At this stage, it is appropriate to examine the potential or proven effects associated with the discourse conveyed by Roche and Novartis, with the support of Genentech, to public authorities, on the French market for the treatment of exudative AMD and related French markets for other ocular pathologies (OMD, OBVR, OVCR, or visual impairment due to NVC).  </w:t>
        <w:br/>
        <w:t xml:space="preserve">1030. It appears from the elements of the file that the practices in question were likely to have, and did have, effects, on the one hand, on sales volumes, and on the other hand, on the prices of the specialties concerned.  </w:t>
        <w:br/>
        <w:t xml:space="preserve">♦ Regarding the effect on volumes  </w:t>
        <w:br/>
        <w:t xml:space="preserve">1031. Given the context in which the discourse of Novartis and Roche was disseminated (see paragraphs 761 to 768 of this decision), the practices of the laboratories marketing Lucentis and Avastin were likely to raise concerns among public authorities regarding the possibilities of "off-label" use of Avastin.  </w:t>
        <w:br/>
        <w:t xml:space="preserve">1032. Indeed, it is necessary to take into account the asymmetry of information between pharmaceutical laboratories and demand, as well as the risk aversion of healthcare professionals, particularly representatives of health authorities, due to a certain judicialization of health issues (see paragraphs 765 to 768 of this decision). Therefore, any challenge, whether founded or not, to the safety of a drug's use, inevitably leads to a slowdown in the decision-making process of public authorities, which no pharmaceutical laboratory can ignore.  </w:t>
        <w:br/>
        <w:t xml:space="preserve">1033. More specifically, in this case, any negative assessment of Avastin was likely to concern health authorities, who are attentive to safety issues related to the use of medications, given the human stakes associated with them.  </w:t>
        <w:br/>
        <w:t xml:space="preserve">1034. Furthermore, such an effect may have been reinforced by the fact that not only did Roche not oppose the discourse conveyed by Novartis – which enjoys a particular reputation in the field of ophthalmology – to health authorities, but it adopted, on the contrary, a communication similar to that of its competitor, in favor of the use of Lucentis and, in fact, to the detriment of the sales of its own product, Avastin.  </w:t>
        <w:br/>
        <w:t xml:space="preserve">1035. Consequently, any exaggeration, direct or indirect, of the risks associated with the use of Avastin in ophthalmology could only have a significant effect on health authorities, concerned with protecting patient interests and prompting them to recommend that healthcare professionals prioritize Lucentis, to the detriment of Avastin.  </w:t>
        <w:br/>
        <w:t xml:space="preserve">1036. Thus, it appears from the documents in the file that the practices of Novartis, Roche, and Genentech had an impact on public authorities, and consequently, on the "off-label" use of Avastin in ophthalmology and thus, on the structure of supply and demand.  </w:t>
        <w:br/>
        <w:t>1037. Indeed, first of all, some internal documents from Novartis show that the discourse conveyed to public authorities had an effect on the opinions of French public officials. Thus, the report written by the director of the "Ophthalmology Franchise" of Novartis, for his individual evaluation for the year 2013, links the first official communication from Novartis mentioning the safety differences between Avastin and Lucentis to the fact that the decree authorizing the publication of a compulsory licensing for Avastin has still not been published: "First official Novartis written communication clearly stating Lucentis vs Avastin safety difference, in cooperation with top KOLs. Awareness of these safety issues has really increased in France (see Gefal</w:t>
      </w:r>
    </w:p>
    <w:p>
      <w:r>
        <w:rPr>
          <w:b/>
        </w:rPr>
        <w:t>[Pages 169–171]</w:t>
      </w:r>
    </w:p>
    <w:p>
      <w:r>
        <w:t xml:space="preserve">communications, Pr Marananchi's hearing before the Senate, CNAM report to the National Assembly, general public media articles,...) which can explain that the RTU decree is still not published and that Health Authorities bodies are reorienting their actions towards a Lucentis price discussion more than an Avastin endorsement (free translation: "First official Novartis written communication clearly stating Lucentis vs Avastin safety difference, in cooperation with top KOLs. Awareness of these safety issues has really increased in France (cf. Gefal, reference 45126).  </w:t>
        <w:br/>
        <w:t xml:space="preserve">1038. Furthermore, the official positions of public authorities also show that this discourse has had an impact on them.  </w:t>
        <w:br/>
        <w:t xml:space="preserve">1039. For example, in its information point dated September 16, 2011, AFSSAPS relayed Roche's reservations regarding the methodology of the CATT study and the tolerance of Avastin when used in ophthalmology (cf. paragraph 155 of this decision). Similarly, as highlighted in paragraph 973 of this decision, the practices in question directly contributed to the adoption of the DGS instruction of July 2012.  </w:t>
        <w:br/>
        <w:t xml:space="preserve">1040. Thus, the discourse of the parties involved has been likely to discourage public authorities from promoting a wider "off-label" use in the treatment of AMD, and more generally in ophthalmology.  </w:t>
        <w:br/>
        <w:t xml:space="preserve">1041. According to the parties involved, the "off-label" use of Avastin in the treatment of AMD was marginal and would have remained so, even in the absence of the practices. More specifically, they argue that given the impossibility of obtaining any form of administrative authorization before that date, no effect of the practices can be observed before December 2014. In particular, Avastin could not have obtained a PTT or RTU for its use in the treatment of AMD due to the regulatory context at the time of the facts. Thus, according to the parties involved, none of the legal tools available to health authorities between 2008 and the end of 2014 allowed public authorities to promote the "off-label" use of a drug in the presence of an authorized therapeutic alternative and in the absence of a request for MA. Only the social security financing law for 2014 and its implementing decree of December 30, 2014, would have made the adoption of an RTU possible.  </w:t>
        <w:br/>
        <w:t xml:space="preserve">1042. However, these practices were implemented, as indicated in paragraphs 635 to 647 of this decision, while the regulatory framework did not prohibit the use of Avastin "off-label" for the treatment of eye diseases, such as the treatment of AMD.  </w:t>
        <w:br/>
        <w:t xml:space="preserve">1043. Likewise, while it is true that there was no specific text allowing the adoption of an RTU for Avastin before the adoption of the implementing decree of the amending LFSS for 2014 (cf. paragraph 28 of this decision), this does not mean that the practices of Novartis, Roche, and Genentech were without impact.  </w:t>
        <w:br/>
        <w:t xml:space="preserve">1044. First, the discourse of Roche and Novartis, with the support of Genentech, contributed to the delay in the adoption of the legislative provisions necessary for the establishment of an RTU for Avastin in the treatment of AMD and, more generally, in the adoption of provisions allowing for the regulation and securing of the "off-label" use of Avastin in ophthalmology.  </w:t>
        <w:br/>
        <w:t xml:space="preserve">1045. Indeed, as highlighted in paragraphs 925 to 1017 of this decision, the pursued behaviors aimed precisely at delaying the adoption of legislative or regulatory provisions allowing for the securing and regulation of the "off-label" use of Avastin in ophthalmology. And, in fact, it is the observation of the "off-label" use of Avastin in the treatment of AMD (but also in other ocular indications) that led public authorities to amend the law, in order to allow for the adoption of an RTU when there is already a medicinal alternative.  </w:t>
        <w:br/>
        <w:t xml:space="preserve">1046. Now, from the moment public authorities announced they were studying the possibility of an RTU for Avastin, Roche and Novartis multiplied initiatives and contacts with public authorities and health authorities to disseminate their messages regarding the risks associated with such use (cf. paragraphs 470 to 544 of this decision).  </w:t>
        <w:br/>
        <w:t xml:space="preserve">1047. In particular, on June 29 and 30, 2012, Roche expressed concern, to the group's headquarters in Basel, about the willingness of public authorities to establish an RTU for Avastin in AMD: "The Haute Autorité de santé (HAS) is about to refer to the Agence nationale de sécurité du médicament et des produits de santé (ANSM) for the establishment of a temporary recommendation for use (RTU) for Avastin (bevacizumab, Roche) in ophthalmology (...) Up to now, we didn't receive an official request from HA but we anticipate to receive a request soon and we want the team to be prepared. As usual, we will need to have the position of the team in case the request came officially. We will keep you informed as soon as we receive something new" (free translation: "Until now, we have not received any official request from health authorities but we can anticipate receiving a request soon and we want the team to be prepared. As usual, we will need to have the position of the team in case the request arrives officially. We will keep you informed as soon as we receive something new," references 14706 to 14707). In response, Roche was contacted on June 30, 2012, by an employee of Genentech, who then forwarded to the French Roche teams the documents containing Genentech's official position on the subject: "Please find attached several documents outlining our position on the off-label use of Avastin in wAMD. Our position has not changed since last year (when the letter was sent by Roche France to the French HA [Health Authorities])" (free translation: "Please find attached several documents outlining our position regarding the 'off-label' use of Avastin in the treatment of AMD. Our position has not changed since last year [when the letter was sent by Roche France to the French health authorities]," reference 14706). Following this announcement from public authorities, Genentech established an internal action plan on July 2, 2012, distinguishing a "Lucentis team" and an "Avastin team," each with specific missions. Thus, the "Avastin team" was to begin evaluating information on the use of Avastin for the treatment of AMD to be transmitted to the French authorities ("Last week, Roche France was made aware that the French HA are evaluating the compulsory licensing of Avastin for wAMD via (a new French law called) RTU [...] Avastin Safety to start potential evaluation of Avastin wAMD safety data transfer to French HA (if requested)," free translation: "Last week, Roche France was made aware that the French health authorities are evaluating the compulsory licensing of Avastin for AMD via (a new French law called) RTU (...) Avastin Safety to start potential evaluation of Avastin safety data for AMD to be transferred to the French health authorities (if requested)," references 15765 to 15766). The "Lucentis team," for its part, was to provide advice on the content of safety and tolerance information, both for Lucentis and Avastin, to be transmitted to the authorities ("Lucentis team to advise which information on efficacy, publications, etc. regarding Avastin in wAMD should be submitted to French HA," free translation: "The Lucentis team will advise on the information regarding efficacy, publications, etc. on Lucentis in AMD that should be communicated to the French health authorities," references 15765 to 15766). Similarly, in August 2012, Roche internally mentioned that "it will be necessary to prepare for our communication with the DGS and the minister's office, to recall the conclusions of the CATT, CATT2, and IVAN studies in order to argue the safety points and correct misinterpretations [...] this position paper validated by medical oncology and also in line with the position of Genentech US on this subject," (reference 7135).  </w:t>
        <w:br/>
        <w:t xml:space="preserve">1048. Novartis also immediately reacted to the announcement in the press of the health authorities' work on the development of an RTU for Avastin and sent a letter on July 3, 2012, to the HAS, the ANSM, and the CEPS, reaffirming its position regarding the use of Avastin in the treatment of AMD and its biased interpretation of comparative studies ("No pharmaceutical specialty can therefore be subject to an RTU in the indications granted to Lucentis [...] Two large-scale observational studies show a statistically significant increase in the risk of stroke and death under Avastin compared to Lucentis [...] the safety signals related to the off-label use of Avastin in intravitreal injection are therefore serious, statistically significant in certain clinical studies," references 15646 to 15651).  </w:t>
        <w:br/>
        <w:t xml:space="preserve">1049. These behaviors then continued throughout the parliamentary debate on the reform of the RTU mechanism proposed in the PLFSS 2013 (cf. paragraphs 535 to 544 of this decision).  </w:t>
        <w:br/>
        <w:t xml:space="preserve">1050. In fact, the parliamentary debates on the PLFSS 2013, which introduced the possibility of an RTU, but also those, two years later in July 2014, on the amending PLFSS 2014, which led to the amendment of the law following the rejection by the Conseil d'État, directly refer, multiple times, to the case of Avastin and the issue related to the enormous price differential with Lucentis: "The problem is that the laboratory Genentech has no strategic interest in giving up its extraordinary rent situation, and therefore no interest either in requesting this extension. This kind of situation seems to justify that we legislate [...] Public authorities do not have the means to impose the marketing of Avastin when it is much cheaper. [...] This is why we propose this article, which should allow us to deal with situations of this type [...] I regret that the laboratory in question has not, on its own, as I had invited it to do, proposed a significant reduction in the price of its drug."  </w:t>
        <w:br/>
        <w:t xml:space="preserve">1051. Secondly, the discourse of the parties involved directly contributed to the prohibition by the DGS of the use of Avastin off-label in July 2012 (cf. paragraph 973 of this decision).  </w:t>
        <w:br/>
        <w:t xml:space="preserve">1052. Thirdly, the discourse of the laboratories was likely to encourage health authorities to postpone a position in favor of the use of Avastin in ophthalmology or, at the very least, to maintain a more conservative position than they would have normally adopted regarding the "off-label" use of Avastin in ophthalmology (i.e., information points from AFSSAPS in 2009 and 2011, and recommendation from HAS in 2012).  </w:t>
        <w:br/>
        <w:t>1053. In particular, Roche's failure to communicate the information requested by AFSSAPS in 2008 led to a delay in the implementation of the GEFAL study. However, as highlighted in paragraphs 432 to 435 of this decision, AFSSAPS had publicly expressed its wish to have a study comparing Lucentis and Avastin, in order to...</w:t>
      </w:r>
    </w:p>
    <w:p>
      <w:r>
        <w:rPr>
          <w:b/>
        </w:rPr>
        <w:t>[Pages 172–174]</w:t>
      </w:r>
    </w:p>
    <w:p>
      <w:r>
        <w:t xml:space="preserve">allowing a position to be taken in favor or against the use of Avastin "off-label" in the treatment of AMD.  </w:t>
        <w:br/>
        <w:t xml:space="preserve">1054. In this sense, the protocol of the GEFAL study indicated that "if this hypothesis were confirmed (efficacy and tolerance at least equivalent between the two drugs), it would legitimize the use of bevacizumab in routine practice [...] The laboratory GENENTECH, holder of the MA and distributor of both drugs in the United States, did not wish to engage in the promotion of a clinical trial in this indication, nor did the laboratories responsible for the marketing of ranibizumab and bevacizumab in Europe" (reference 2281).  </w:t>
        <w:br/>
        <w:t xml:space="preserve">1055. Finally, as highlighted in paragraph 598 of this decision, since all retinal pathologies treated by injections in the eye of anti-VEGF were involved in the debate on the comparison of adverse side effects between Avastin and Lucentis, the practices implemented by the collective entity were likely to affect the sales of Avastin for the treatment of AMD and other ocular pathologies (OMD, OBVR, OBCR, or NVC).  </w:t>
        <w:br/>
        <w:t xml:space="preserve">1056. It follows from the above that the discourse of Novartis and Roche, with the support of Genentech, was likely to discourage public authorities from promoting a wider use of Avastin "off-label" in the treatment of AMD, and thus, to limit the prescriptions of Avastin "off-label" for this indication and, more generally in ophthalmology, artificially reducing the competitive pressure exerted on Lucentis.  </w:t>
        <w:br/>
        <w:t xml:space="preserve">♦ Regarding the effect on prices  </w:t>
        <w:br/>
        <w:t xml:space="preserve">1057. The discourse disseminated by Novartis and Roche, with the support of Genentech, was also likely to maintain the price of Lucentis at a supra-competitive price, and to lead to an artificially high pricing of Eylea.  </w:t>
        <w:br/>
        <w:t xml:space="preserve">1058. Indeed, by discouraging public authorities from promoting a wider use of Avastin "off-label" in the treatment of AMD, the practices of the members of the collective entity composed of Genentech, Roche, and Novartis also led to postponing the possibility for health authorities to consider Avastin as a relevant comparator to Lucentis, which could have resulted in requests for significant price reductions for Lucentis and, consequently, a pricing of Eylea at a lower level.  </w:t>
        <w:br/>
        <w:t xml:space="preserve">1059. According to the defendants, even in the absence of the practices, no price reduction for Lucentis could have been negotiated by the CEPS.  </w:t>
        <w:br/>
        <w:t xml:space="preserve">1060. However, these arguments were addressed at the stage of assessing the effects of grievance No. 1. Thus, as explained in paragraphs 863 to 885 of this decision, the CEPS could have proceeded to a price reduction for Lucentis during the period of European price guarantee or, at the very least, at the time of the price renegotiation at the end of this period.  </w:t>
        <w:br/>
        <w:t xml:space="preserve">1061. Furthermore, the defendants argue that the publication of the RTUs never leads to a decrease in the prices of the treatments that the drugs obtaining the RTU are supposed to compete with.  </w:t>
        <w:br/>
        <w:t xml:space="preserve">1062. However, the RTUs cited as examples by the defendants, in that they would not have had any effects on the prices of competing specialties (i.e., the RTU of Hemangiol obtained in February 2016 and the RTU of Lioresal and Baclofen Zentiva obtained in March 2014), are not directly comparable to the RTU of Avastin from 2015.  </w:t>
        <w:br/>
        <w:t xml:space="preserve">1063. Indeed, as highlighted by Roche's economic study, "Avastin is the only molecule that obtained an RTU in the presence of a therapeutic alternative, Lucentis. For this reason, other drugs that obtained an RTU in the absence of a specialty with the same active ingredient, form, and dosage generally do not have a clearly established alternative" (point 185). The drugs cited by the defendants therefore faced no "clearly established" alternative when they obtained their RTU.  </w:t>
        <w:br/>
        <w:t xml:space="preserve">1064. Furthermore, the price gap between these products and their ad hoc identified alternatives by Roche is unknown, whereas the treatment cost gap between Lucentis and Avastin corresponds to a ratio of 30. Thus, due to a very considerable cost differential, the adoption of the RTU for Avastin was likely to lead to a price reduction for Lucentis, without similar effects being observed for RTUs concerning treatments whose cost differential with their alternatives is less significant.  </w:t>
        <w:br/>
        <w:t xml:space="preserve">1065. Finally, for the reasons mentioned in paragraph 886 of this decision, the practices may also have had an effect on the pricing of Eylea. Indeed, having arrived on the market in 2013, its price could have been set at a lower level if the price of Lucentis, used as a comparator, had not been maintained at a supra-competitive level, or if Avastin could have been used as a direct comparator at that time.  </w:t>
        <w:br/>
        <w:t xml:space="preserve">1066. It follows from the above that the discourse of Novartis and Roche, with the support of Genentech, is likely to have maintained the price of Lucentis and allowed the pricing of Eylea at an artificially high level.  </w:t>
        <w:br/>
        <w:t xml:space="preserve">On the duration of the practices  </w:t>
        <w:br/>
        <w:t xml:space="preserve">1067. It is necessary to successively examine the duration of participation of each member of the collective entity.  </w:t>
        <w:br/>
        <w:t xml:space="preserve">♦ Regarding Novartis  </w:t>
        <w:br/>
        <w:t xml:space="preserve">1068. Novartis contests the duration of the practices held against it under grievance No. 2. More specifically, the laboratory argues that there is no evidence in the file that could be held against it before the letter of July 3, 2012, which it sent to HAS. Regarding the end of the infringement, Novartis again insists that Eylea would have exerted competitive pressure likely to challenge the common course of action of the collective entity before November 2013.  </w:t>
        <w:br/>
        <w:t xml:space="preserve">1069. Concerning the start of the practices, contrary to what Novartis claims, the first piece of evidence that could be held against it is the letter of May 9, 2011, sent to a large number of institutional actors belonging or not to the health sector, in which Novartis made a selective and biased presentation of the results of scientific studies comparing the efficacy and safety of the use of Avastin and Lucentis in ophthalmology (cf. paragraph 459 of this decision).  </w:t>
        <w:br/>
        <w:t xml:space="preserve">1070. Regarding the end of the practices, as highlighted in paragraph 759 of this decision, Eylea cannot be considered to have constituted a serious counterweight to the collective entity composed of Genentech, Roche, and Novartis before November 2013.  </w:t>
        <w:br/>
        <w:t xml:space="preserve">1071. Novartis's arguments will therefore be dismissed.  </w:t>
        <w:br/>
        <w:t xml:space="preserve">1072. Consequently, it is established that the practices attributed to Novartis under grievance No. 2 began on May 9, 2011, and ended in early November 2013.  </w:t>
        <w:br/>
        <w:t xml:space="preserve">♦ Regarding Roche  </w:t>
        <w:br/>
        <w:t xml:space="preserve">1073. Roche contests the duration of the practices that were notified to it, particularly given the lack of continuity of the practices attributed to it and their different nature (refusal to provide samples to AFSSAPS for the period between April 7, 2008, and June 22, 2009, and misleading communication to ANSM after May 2011). More specifically, the laboratory emphasizes that there is no evidence in the file that could be held against it between June 2009 and May 2011. Furthermore, according to Roche, no abuse is characterized before, at least, the summer of 2012, since its letter of May 26, 2011, does not present an anti-competitive nature.  </w:t>
        <w:br/>
        <w:t xml:space="preserve">1074. Regarding the start of the practices, the first piece of evidence that could be held against Roche is the letter of April 7, 2008, by which the laboratory refused to respond to the request from AFSSAPS (cf. paragraph 438 of this decision).  </w:t>
        <w:br/>
        <w:t xml:space="preserve">1075. Contrary to what Roche claims, the practices attributed to it are not of a different nature, since during its exchanges with AFSSAPS first in 2008, then with ANSM during the years 2011 to 2013, Roche, through an instrumentalization of the risks associated with the use of Avastin in ophthalmology, sought to obstruct the French health authority's willingness to take a position on the use of Avastin for the treatment of AMD.  </w:t>
        <w:br/>
        <w:t xml:space="preserve">1076. Furthermore, while it is true that the file does not contain evidence of exchanges between Roche and public authorities between June 2009 and May 2011, it is necessary to retain the continuity of the practices attributed to Roche, as there is no evidence or indication to suggest that the infringement was interrupted.  </w:t>
        <w:br/>
        <w:t xml:space="preserve">1077. Finally, contrary to what Roche claims, in its letter of May 26, 2011, the laboratory made a selective and biased presentation of the results of scientific studies comparing the efficacy and safety of the use of Avastin and Lucentis in ophthalmology (cf. paragraph 962 of this decision).  </w:t>
        <w:br/>
        <w:t xml:space="preserve">1078. Regarding the end of the practices, as highlighted in paragraph 759 of this decision, the collective entity was able to continue implementing its common course of action until the entry of Eylea into the market in November 2013.  </w:t>
        <w:br/>
        <w:t xml:space="preserve">1079. Roche's arguments will therefore be dismissed.  </w:t>
        <w:br/>
        <w:t xml:space="preserve">1080. Consequently, it is established that the practices attributed to Roche under grievance No. 2 began on April 7, 2008, and ended in early November 2013.  </w:t>
        <w:br/>
        <w:t xml:space="preserve">♦ Regarding Genentech  </w:t>
        <w:br/>
        <w:t xml:space="preserve">1081. Regarding the start of the practices, the first identifiable manifestation of Genentech's involvement in the practices attributed under grievance No. 2 is the internal message of April 28, 2011, sent by Mr. M..., an executive of Genentech, to the employees of the Roche group, during which he emphasizes Genentech's choice to focus on Lucentis in the ophthalmological field and not to develop Avastin in this area.  </w:t>
        <w:br/>
        <w:t xml:space="preserve">1082. Roche and Genentech generally contest the involvement of the American laboratory in the practices and argue that in any case, no abuse is likely to be characterized before at least the summer of 2012, since the internal message of April 28, 2011, from Mr. M..., an executive of Genentech, on an internal application to the Roche group, would not establish any anti-competitive behavior.  </w:t>
        <w:br/>
        <w:t>1083. If, as Roche and Novartis argue, this message does not mention the steps to be taken with public authorities, it nevertheless constitutes the first element</w:t>
      </w:r>
    </w:p>
    <w:p>
      <w:r>
        <w:rPr>
          <w:b/>
        </w:rPr>
        <w:t>[Pages 175–177]</w:t>
      </w:r>
    </w:p>
    <w:p>
      <w:r>
        <w:t xml:space="preserve">attesting to the fact that Genentech synthesized the economic, legal, and scientific stakes for the two molecules and established a common policy, allowing Roche and Novartis to develop a very similar discourse, based on the same technical elements, largely provided by Genentech (see paragraphs 1018 to 1028 of this decision).  </w:t>
        <w:br/>
        <w:t xml:space="preserve">1084. Regarding the end of the practices, as highlighted in paragraph 759 of this decision, the collective entity was able to continue implementing its common line of conduct until the entry of Eylea into the market in November 2013.  </w:t>
        <w:br/>
        <w:t xml:space="preserve">1085. The arguments of Roche and Genentech will therefore be dismissed.  </w:t>
        <w:br/>
        <w:t xml:space="preserve">1086. Consequently, it is established that the practices attributed to Genentech under grievance No. 2 began on April 28, 2011, and ended in early November 2013.  </w:t>
        <w:br/>
        <w:t xml:space="preserve">On the companies responsible for the practices  </w:t>
        <w:br/>
        <w:t xml:space="preserve">- Regarding the companies of the Novartis group  </w:t>
        <w:br/>
        <w:t xml:space="preserve">1087. Firstly, it follows from the preceding developments that Novartis Pharma SAS, which particularly manages the Ophthalmology franchise of the group for France, developed and disseminated the discourse that is the subject of grievance No. 2.  </w:t>
        <w:br/>
        <w:t xml:space="preserve">1088. Consequently, Novartis Pharma SAS must be considered as the author of the practices attributed under grievance No. 2, which is not contested by the parties involved.  </w:t>
        <w:br/>
        <w:t xml:space="preserve">1089. Secondly, regarding the participation of Novartis AG in the practices attributed under grievance No. 2, several documents in the file attest to the involvement of the headquarters of the Novartis group, referred to as "global," in the practices examined under grievance No. 2 (references 15764 and 3041).  </w:t>
        <w:br/>
        <w:t xml:space="preserve">1090. As highlighted in paragraph 912 above, this situation is consistent with the structure of the Novartis group, whose "Pharmaceuticals" division is responsible for the marketing of Lucentis (references 387, 391, and 392). Furthermore, when the public authorities began to mention the possibility of a RTU for Avastin for the treatment of AMD, the Novartis headquarters was directly involved in exchanges with Genentech, particularly through members of the "Joint Management Committee" (references 44924 and 44925).  </w:t>
        <w:br/>
        <w:t xml:space="preserve">1091. Consequently, Novartis AG must be considered as a co-author of the practices attributed under grievance No. 2. Novartis's argument will therefore be dismissed.  </w:t>
        <w:br/>
        <w:t xml:space="preserve">- Regarding the companies of the Roche group  </w:t>
        <w:br/>
        <w:t xml:space="preserve">1092. Firstly, it follows from the preceding developments that Roche developed and disseminated the discourse that is the subject of grievance No. 2.  </w:t>
        <w:br/>
        <w:t xml:space="preserve">1093. Consequently, Roche must be considered as the author of the practices attributed under grievance No. 2, which is not contested by the parties involved.  </w:t>
        <w:br/>
        <w:t xml:space="preserve">1094. Secondly, as highlighted in paragraphs 1018 to 1028 of this decision, Genentech Inc. also participated in the practices that are the subject of grievance No. 2.  </w:t>
        <w:br/>
        <w:t>1095. Consequently, Genentech Inc. must be considered as a co-author of the practices attributed under grievance No. 2. The argument of the parties involved will therefore be dismissed.</w:t>
      </w:r>
    </w:p>
    <w:p>
      <w:r>
        <w:t xml:space="preserve">General conclusion on grievance No. 2  </w:t>
        <w:br/>
        <w:t xml:space="preserve">1096. It follows from the preceding developments that Roche and Novartis, with the support of Genentech, developed and disseminated an alarmist, even misleading, discourse to public authorities regarding the risks associated with the use of Avastin for the treatment of AMD, in order to unduly block or slow down public initiatives that aimed to promote and secure its use for the treatment of AMD.  </w:t>
        <w:br/>
        <w:t xml:space="preserve">1097. This practice was likely to discourage public authorities from promoting a wider "off-label" use of Avastin in the treatment of AMD and, consequently, to limit prescriptions of Avastin "off-label" for the treatment of AMD and, more generally, in ophthalmology. It is also likely to have had the effect of maintaining Lucentis at a supra-competitive price or setting the price of Eylea at an artificially high level.  </w:t>
        <w:br/>
        <w:t xml:space="preserve">E. ON THE ATTRIBUTION OF PRACTICES  </w:t>
        <w:br/>
        <w:t xml:space="preserve">1. APPLICABLE PRINCIPLES  </w:t>
        <w:br/>
        <w:t xml:space="preserve">1098. It follows from consistent case law that Articles L. 420-2 of the Commercial Code and 102 TFEU target offenses committed by companies.  </w:t>
        <w:br/>
        <w:t xml:space="preserve">1099. The notion of a company must be understood as designating an economic unit, even if, from a legal point of view, it consists of several natural or legal persons. It is this economic entity that must, when it infringes competition rules, be held accountable for this infringement, in accordance with the principle of personal responsibility (see, in particular, the judgments of the Court of Justice of September 10, 2009, Akzo Nobel e.a./Commission, C-97/08 P, Rec. p. I-08237, points 55 and 56, and January 20, 2011, General Quimica/Commission, C-90/09 P, Rec. p. I-0001, point 36; see also the judgment of the Paris Court of Appeal of March 29, 2012, Lacroix Signalisation e.a., pp. 18 and 20).  </w:t>
        <w:br/>
        <w:t xml:space="preserve">1100. Thus, within a group of companies, the behavior of a subsidiary can be attributed to the parent company, particularly when, although having a distinct legal personality, this subsidiary does not autonomously determine its behavior in the market, but essentially applies the instructions given to it by the parent company, given the economic, organizational, and legal links that unite these two legal entities (judgments Akzo Nobel e.a./Commission, aforementioned, point 58, General Quimica/Commission, point 37, and Lacroix Signalisation e.a., aforementioned, pp. 18 and 19).  </w:t>
        <w:br/>
        <w:t>1101. In the particular case where a parent company holds, directly or indirectly through an intermediary company, all or almost all of the capital of its subsidiary that engages in infringing behavior, there is a presumption that this parent company exerts a determining influence on the behavior of its subsidiary. In this case, it is sufficient for the competition authority to provide evidence of this capital holding to attribute the behavior of the subsidiary that engaged in the practices to the parent company. The parent company can overturn this presumption by providing evidence that its subsidiary autonomously determines its course of action in the market. If the presumption is not overturned, the competition authority will be able to hold the parent company jointly liable for the payment of the sanction imposed on its subsidiary (Akzo Nobel e.a./Commission, aforementioned, points 60 and 61, General Quimica/Commission, points 39 and 40, and Lacroix Signalisation e.a., aforementioned, pp. 19-20).</w:t>
      </w:r>
    </w:p>
    <w:p>
      <w:r>
        <w:t xml:space="preserve">1102. As recalled by the Paris Court of Appeal in its judgment Lacroix Signalisation e.a., aforementioned, these rules of attribution, which stem from the notion of a company referred to in Articles 101 TFEU and 102 TFEU, fall under the substantive rules of European competition law. The interpretation given by European courts is therefore binding on national competition authorities when they apply European law, as well as on the courts that supervise them (see also, in this sense, the judgment of the Court of Justice of June 4, 2009, T-Mobile Netherlands e.a., C-8/08, Rec. p. I-04529, points 49 and 50).  </w:t>
        <w:br/>
        <w:t xml:space="preserve">1103. Furthermore, as recalled by both national and Union courts, this presumption is compatible with the principles of personal responsibility and individualization of penalties. Indeed, when an economic entity infringes competition rules, it is incumbent upon it, according to the principle of personal responsibility, to answer for this infringement. It is not a matter of a relationship of instigation regarding the infringement between the parent company and its subsidiary nor, even more so, an implication of the former in said infringement, but the fact that they constitute a single company within the meaning of Articles 101 TFEU and 102 TFEU of the Union, which allows competition authorities to issue a decision imposing sanctions on the parent company.  </w:t>
        <w:br/>
        <w:t xml:space="preserve">2. ASSESSMENT IN THIS CASE  </w:t>
        <w:br/>
        <w:t xml:space="preserve">a) Regarding the Novartis group  </w:t>
        <w:br/>
        <w:t xml:space="preserve">1104. Grievances No. 1 and No. 2 were notified to Novartis Pharma SAS and Novartis AG, as authors of the practices, and to Novartis Groupe France SA and Novartis AG, in their capacities as parent companies.  </w:t>
        <w:br/>
        <w:t xml:space="preserve">1105. As it follows from paragraphs 908 to 913 and 1087 to 1091 of this decision, the practices sanctioned under grievances No. 1 and No. 2 were implemented by Novartis Pharma SAS and Novartis AG.  </w:t>
        <w:br/>
        <w:t xml:space="preserve">1106. Throughout the period of the practices, Novartis Pharma SAS was 100% owned, directly or indirectly, by Novartis Groupe France SA and Novartis AG (see paragraph 190 of this decision).  </w:t>
        <w:br/>
        <w:t xml:space="preserve">1107. Consequently, grievances No. 1 and No. 2 should be attributed to Novartis Groupe France SA and Novartis AG for the practices implemented by Novartis Pharma SAS and Novartis AG, which is not contested by the parties involved.  </w:t>
        <w:br/>
        <w:t xml:space="preserve">b) Regarding the Roche group  </w:t>
        <w:br/>
        <w:t xml:space="preserve">1108. Grievance No. 2 was notified to Roche and Genentech Inc., as authors of the practices, and to Roche Holding AG, as the parent company.  </w:t>
        <w:br/>
        <w:t xml:space="preserve">1109. As it follows from paragraphs 1092 to 1095 of this decision, the practices sanctioned under grievance No. 2 were implemented by Roche and Genentech Inc.  </w:t>
        <w:br/>
        <w:t>1110. Throughout the period of the practices, Roche was 100% owned, directly or indirectly, by Roche Holding AG (see paragraph 188 of this decision). Consequently, the practices implemented by Roche should be attributed to Roche Holding AG as the parent company, which is not contested by the parties involved.</w:t>
      </w:r>
    </w:p>
    <w:p>
      <w:r>
        <w:rPr>
          <w:b/>
        </w:rPr>
        <w:t>[Pages 178–180]</w:t>
      </w:r>
    </w:p>
    <w:p>
      <w:r>
        <w:t xml:space="preserve">1111. Furthermore, Genentech Inc. has been 100% owned by Roche Holding AG since March 26, 2009 (cf. paragraph 188 of this decision). Consequently, it is appropriate to attribute the practices implemented by Genentech to Roche Holding AG as the parent company, as of March 26, 2009, which, moreover, is not contested by the parties involved.  </w:t>
        <w:br/>
        <w:t xml:space="preserve">F. ON SANCTIONS  </w:t>
        <w:br/>
        <w:t xml:space="preserve">1112. The provisions of I of Article L. 464-2 of the Commercial Code and Article 5 of Regulation (EC) No. 1/2003 of the Council, dated December 16, 2002, concerning the implementation of the competition rules provided for in Articles [101 TFEU] and [102 TFEU] (OJ 2003, L1, p. 1) empower the Authority to impose financial penalties on companies and organizations engaging in anti-competitive practices prohibited by Articles L. 420-1 and L. 420-2 of the Commercial Code, as well as by Articles 101 and 102 of the TFEU.  </w:t>
        <w:br/>
        <w:t xml:space="preserve">1113. The third paragraph of I of Article L. 464-2 of the aforementioned Commercial Code provides that "financial penalties are proportionate to the seriousness of the facts alleged, the importance of the damage caused to the economy, the individual situation of the organization or company sanctioned or the group to which the company belongs, and the possible repetition of practices prohibited by [Title VI of Book IV of the Commercial Code]. They are determined individually for each sanctioned company or organization and reasoned for each sanction."  </w:t>
        <w:br/>
        <w:t xml:space="preserve">1114. Furthermore, according to the fourth paragraph of I of Article L. 464-2 of the same code, "the maximum amount of the sanction is, for a company, 10% of the highest amount of worldwide turnover excluding tax during one of the financial years closed since the financial year preceding the one during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  </w:t>
        <w:br/>
        <w:t xml:space="preserve">1115. In this case, the Authority will assess these legal criteria according to the practical modalities described in its press release of May 16, 2011, concerning the method for determining financial penalties (hereinafter, the "penalties press release").  </w:t>
        <w:br/>
        <w:t xml:space="preserve">1116. The companies involved have been given the opportunity to make observations on the main elements of law and fact in the file that could, according to the investigation services, influence the determination of the sanction that could be imposed on them. The presentation of these various elements by the investigation services does not prejudge the assessment of the college on the determinants of the sanction, which falls solely within its competence.  </w:t>
        <w:br/>
        <w:t xml:space="preserve">1. GRIEVANCE NO. 1  </w:t>
        <w:br/>
        <w:t xml:space="preserve">a) On the determination of the base amount of financial penalties  </w:t>
        <w:br/>
        <w:t xml:space="preserve">1117. The penalties press release indicates that "The base amount is determined for each company or organization based on the Authority's assessment of the seriousness of the facts and the importance of the damage caused to the economy (...)” (point 22).  </w:t>
        <w:br/>
        <w:t xml:space="preserve">1118. The duration of the practices constitutes a relevant factor for assessing both the seriousness of the facts (see, in this sense, judgments of the Court of Cassation of June 28, 2003, Domo services maintenance, and of June 28, 2005, Novartis Pharma), and the importance of the damage caused to the economy (judgment of the Court of Cassation of July 12, 2011, Lafarge ciments e.a.), and it will be taken into account from this dual perspective, according to the modalities described in the aforementioned penalties press release.  </w:t>
        <w:br/>
        <w:t xml:space="preserve">On the value of sales  </w:t>
        <w:br/>
        <w:t xml:space="preserve">Applicable principles  </w:t>
        <w:br/>
        <w:t xml:space="preserve">1119. In accordance with point 23 of the penalties press release, the Authority's decision-making practice considers the value of sales made by the company involved for the goods or services related to the infringement as the basis for the base amount for calculating the penalty.  </w:t>
        <w:br/>
        <w:t xml:space="preserve">1120. Furthermore, according to point 33 of the penalties press release, the value of sales is determined by reference to the last complete financial year of implementation of the practices. However, following point 37 of the same press release, when this last financial year "does not clearly constitute a representative reference, the Authority retains a financial year that it deems more appropriate or an average of financial years, justifying this choice."  </w:t>
        <w:br/>
        <w:t xml:space="preserve">1121. Point 36 of the penalties press release also allows the Authority, in cases where the transmitted information is incomplete, to "determine based on the data available to it, such as total turnover, even if this data is less directly related to the infringement or the infringements committed and therefore less favorable for the interested party."  </w:t>
        <w:br/>
        <w:t xml:space="preserve">1122. Finally, according to point 39 of the penalties press release, the Authority has the discretion to adjust the basis of the base amount in cases where "the reference to the value of sales or its modalities of consideration would lead to a result that does not clearly reflect the economic magnitude of the infringement or the relative weight of each company or organization that participated in it."  </w:t>
        <w:br/>
        <w:t xml:space="preserve">Assessment in this case  </w:t>
        <w:br/>
        <w:t xml:space="preserve">1123. The infringement sanctioned under grievance No. 1 – which began on March 10, 2008, and ended in early November 2013 – concerns the sales of medicines for the treatment of exudative AMD and other ocular pathologies (OMD, OBVR, OVCR, or visual impairment due to a NVC) in French territory.  </w:t>
        <w:br/>
        <w:t xml:space="preserve">♦ On the basis of the financial penalty for Novartis  </w:t>
        <w:br/>
        <w:t xml:space="preserve">1124. It appears from the elements of the file that only Novartis Pharma SAS makes sales related to the infringement.  </w:t>
        <w:br/>
        <w:t xml:space="preserve">1125. Given these specific circumstances pertaining to the Novartis group, the imposition of a penalty on each company in the group is inappropriate. However, in the event that a group of companies, forming a single enterprise in the sense of competition law, participates in an anti-competitive practice through several of the legal entities that compose it, it is possible to consider that this whole constitutes only one single participant in the agreement and not several.  </w:t>
        <w:br/>
        <w:t xml:space="preserve">1126. Consequently, the financial penalty imposed on the Novartis group will be based on a single value of sales, corresponding to the turnover of the company in the group marketing products related to the infringement, namely that of Novartis Pharma SAS.  </w:t>
        <w:br/>
        <w:t xml:space="preserve">♦ On the scope of the value of sales  </w:t>
        <w:br/>
        <w:t xml:space="preserve">1127. Novartis argues that the scope of the value of sales retained to determine the financial penalty imposed under grievance No. 1 should be limited to sales made to hospitals, as Avastin could not be prescribed in the community.  </w:t>
        <w:br/>
        <w:t xml:space="preserve">1128. However, as indicated in paragraph 673 of this decision, even though Avastin is a hospital reserve medication, this medication has been used in the community. The infringement in question was likely to affect the French market for the treatment of exudative AMD by anti-VEGF and the French markets for other ocular indications (OMD, OBVR, OVCR, or visual impairment due to a NVC) treated by anti-VEGF, combining both community and hospital settings.  </w:t>
        <w:br/>
        <w:t xml:space="preserve">1129. Consequently, all sales of Lucentis made by Novartis in France, both in the community and in hospitals, should be retained.  </w:t>
        <w:br/>
        <w:t xml:space="preserve">♦ On the reference financial year  </w:t>
        <w:br/>
        <w:t xml:space="preserve">1130. The last complete financial year of Novartis's participation in the infringement is the 2012 financial year.  </w:t>
        <w:br/>
        <w:t xml:space="preserve">♦ Conclusion  </w:t>
        <w:br/>
        <w:t xml:space="preserve">1131. It follows from the above that the basis on which the financial penalty imposed under grievance No. 1 will be based amounts to […] euros.  </w:t>
        <w:br/>
        <w:t xml:space="preserve">On the proportion of the value of sales  </w:t>
        <w:br/>
        <w:t xml:space="preserve">On the seriousness of the practices  </w:t>
        <w:br/>
        <w:t xml:space="preserve">♦ Applicable principles  </w:t>
        <w:br/>
        <w:t xml:space="preserve">1132. When assessing the seriousness of an infringement, the Authority notably takes into account the sector concerned, the nature of the infringement, and their objective characteristics, such as their degree of sophistication (see point 26 of the penalties press release).  </w:t>
        <w:br/>
        <w:t>1133. More specifically, the Authority consistently considers that practices occurring "in the health sector, in which competition is already limited due to the existence of regulations aimed at ensuring the best service for the population while preserving the budgetary balances of the health insurance system" are, in general, particularly serious. The Authority has thus considered, regarding access to different categories of medicines, that practices aimed at obstructing entry into the market are particularly serious.</w:t>
      </w:r>
    </w:p>
    <w:p>
      <w:r>
        <w:rPr>
          <w:b/>
        </w:rPr>
        <w:t>[Pages 181–183]</w:t>
      </w:r>
    </w:p>
    <w:p>
      <w:r>
        <w:t xml:space="preserve">the market and the development of generic medicines are all the more serious as they contravene the stated objective of public authorities to reduce healthcare expenditures, in a context of significant budgetary constraints (see decision No. 13-D-11, aforementioned, confirmed by the judgments of the Paris Court of Appeal of December 18, 2014, and the Court of Cassation of October 18, 2016, as well as decision No. 13-D-21 aforementioned, confirmed by the judgments of the Paris Court of Appeal of March 26, 2015, and the Court of Cassation of January 11, 2017).  </w:t>
        <w:br/>
        <w:t xml:space="preserve">♦ Assessment in this case  </w:t>
        <w:br/>
        <w:t xml:space="preserve">1134. It follows from the preceding developments that Novartis implemented a disparaging communication policy, unjustifiably exaggerating the risks associated with the use of Avastin "off-label" for the treatment of AMD, and more generally in ophthalmology, compared to the safety and tolerance of Lucentis for the same use.  </w:t>
        <w:br/>
        <w:t xml:space="preserve">1135. The practices in question are particularly serious, as they occurred in the healthcare sector, where competition is limited, and more specifically, in a context of public debate regarding the extremely high price of Lucentis and its impact on social finances, for which the 100% reimbursement of Lucentis constituted a significant expense, while there was a significantly cheaper drug, Avastin, that could be used in ophthalmology.  </w:t>
        <w:br/>
        <w:t xml:space="preserve">1136. However, through its disparaging communication policy, Novartis sought to thwart the initiatives of ophthalmologists who, within the framework of their prescribing freedom, decided to prescribe Avastin "off-label" in ophthalmology, based on their medical assessment, taking into account the patient's interest but also economic considerations (impact on the hospital budget or on health insurance expenditures). For illustration, the head of clinical pharmacy at the Paris University Hospitals indicated, in a letter dated January 2012 addressed to the DGS, that he had "chosen to use Avastin (bevacizumab) outside the MA rather than Lucentis (ranibizumab) according to the terms of the MA, not only for economic reasons (Lucentis is indeed 40 times more expensive than our preparation and this approach has allowed us to save 3.5 million euros over 5 years) but also based on our analysis of various scientific publications" (emphasis added, reference 7105).  </w:t>
        <w:br/>
        <w:t xml:space="preserve">1137. The practices in question are all the more serious as they exhibit a high degree of structuring and sophistication. Indeed, on the one hand, the discourse conveyed by Novartis evolved according to the scientific and regulatory context, with the laboratory frequently updating its discourse. Far from being a one-time position, the discourse was renewed by the laboratory over several years: the consistency in the repetition of this discourse reveals the importance for Novartis to introduce doubt in the minds of its interlocutors and to modify their behaviors to eliminate the use of Avastin in ophthalmology. On the other hand, the laboratory's discourse was structured in various forms ("key messages," "questions/answers," or "Elevator speech") and was disseminated through different modalities, in order to reach the largest possible number of recipients (doctors, patient associations, general public). More specifically, Novartis adopted a differentiated communication strategy depending on the recipients, specifically emphasizing KOLs, or targeting its actions at injection centers known to use Avastin in ophthalmology (see paragraphs 788 to 791 of this decision). Novartis's discourse thus directly interfered with the exercise of physicians' activities, to dissuade them from favoring the use of Avastin in ophthalmology (see, for example, in the case of Professor Y...: "Key lever: Keep Y… busy," free translation: "An essential lever: keep Y… busy," reference 13996), while they did not have the time to decipher the message received from the laboratory by comparing it with the full text of studies or the mentions of the SPC.  </w:t>
        <w:br/>
        <w:t xml:space="preserve">1138. Novartis argues, to contest the seriousness of the practices, that its discourse to healthcare professionals, patient associations, or health authorities did not fit into any anti-competitive strategy. The laboratory further claims that its efforts to update its communication materials reflect its concern to remain accurate and up-to-date in its communication. Finally, Novartis asserts that the recipients of its discourse were perfectly capable of understanding the issues of the ongoing scientific debate regarding the use of Avastin "off-label" in ophthalmology and that consequently, no discourse was likely to mislead them.  </w:t>
        <w:br/>
        <w:t xml:space="preserve">1139. However, on the one hand, it follows from the preceding developments that Novartis's discourse was not motivated by public health considerations, but aimed to prevent the use of Avastin "off-label" in ophthalmology, to the benefit of its own product, Lucentis (see paragraph 799 of this decision).  </w:t>
        <w:br/>
        <w:t xml:space="preserve">1140. On the other hand, it is undisputed that the physicians receiving Novartis's discourse possess scientific knowledge enabling them to form an opinion on the results of scientific studies regarding the "off-label" use of Avastin in ophthalmology. However, given the context of risk aversion among healthcare professionals and the increasing judicialization of health issues, any challenge, whether founded or not, to the safety of a drug's use, associated with a discourse insisting on the responsibility that may be incurred by physicians prescribing it, inevitably leads to a slowdown in its use, which no pharmaceutical laboratory can ignore. Furthermore, the method adopted by Novartis to enlist the support of KOLs was precisely aimed at increasing the scientific credibility of its discourse among physicians.  </w:t>
        <w:br/>
        <w:t xml:space="preserve">1141. Therefore, Novartis's arguments will be dismissed.  </w:t>
        <w:br/>
        <w:t xml:space="preserve">1142. It follows from the above that the practices sanctioned under grievance No. 1 must be considered very serious.  </w:t>
        <w:br/>
        <w:t xml:space="preserve">On the damage caused to the economy  </w:t>
        <w:br/>
        <w:t xml:space="preserve">♦ Applicable principles  </w:t>
        <w:br/>
        <w:t xml:space="preserve">1143. The Authority must assess the existence and significance of the damage to the economy based on as complete an analysis as possible of the elements of the file and by examining the various aspects of the general disruption of the normal functioning of the economy caused by the practices in question (judgment of the Paris Court of Appeal of June 30, 2011, Orange France, No. 2010/12049, p. 5, confirmed on appeal by the judgment of the Court of Cassation of May 30, 2012, aforementioned, and of January 26, 2012, Beauté prestige international, aforementioned, p. 89). In a judgment dated January 26, 2010, Adecco France, the Court of Appeal specified regarding the scope of this general disruption that "the assessment of the significance of the damage to the economy (...), which is not limited, in principle, to the sole harm to the economic surplus of consumers, must consider the loss of surplus suffered by all market operators, competing companies, suppliers, or demanders."  </w:t>
        <w:br/>
        <w:t xml:space="preserve">1144. Both the proven and potential effects of the practice may be taken into account in this regard (see, in this sense, judgment of the Court of Cassation of June 28, 2005, Novartis Pharma, No. 04-13910). Furthermore, while the existence of damage to the economy cannot be presumed, and must be assessed objectively and globally by taking into account all relevant elements of the case, the Authority is not required to quantify the damage to the economy (judgment of the Court of Cassation of April 7, 2010, Orange France et al., aforementioned).  </w:t>
        <w:br/>
        <w:t xml:space="preserve">1145. Based on established case law, the Authority notably takes into account, in assessing the damage, the magnitude of the infringement, as characterized among other things by its geographical coverage or by the cumulative market share of the parties in the relevant sector, its duration, its conjunctural or structural consequences, as well as the relevant economic characteristics of the sector concerned (see, for example, the judgment of the Court of Appeal of June 30, 2011, Orange France, aforementioned).  </w:t>
        <w:br/>
        <w:t xml:space="preserve">♦ Assessment in this case  </w:t>
        <w:br/>
        <w:t xml:space="preserve">- On the magnitude of the practices  </w:t>
        <w:br/>
        <w:t xml:space="preserve">1146. The practices targeted by the first grievance were implemented throughout the national territory, by a company with a very significant market share. Indeed, since its market launch, Lucentis reached 77% of sales for the treatment of AMD, and its market share subsequently increased. Furthermore, as highlighted in paragraphs 178 to 180 of this decision, the DGS instruction of July 2012 led most ophthalmologists who previously used Avastin "off-label" to cease such use, leaving Lucentis in a position of near-monopoly for the treatment of AMD, until the arrival of Eylea. The practices specifically aimed to reduce Avastin's market share and the influence that its prescriptions could have both on Lucentis's sales and on the CEPS's position regarding the price level of Lucentis.  </w:t>
        <w:br/>
        <w:t xml:space="preserve">1147. Moreover, during the period of the practices, Avastin was Lucentis's main competitor, distributed in France by the Roche laboratory, with which Novartis collectively held, along with Genentech, a dominant position. The magnitude of the practices was thus reinforced in that neither Roche nor Genentech, due to the structural and contractual links that united them with Novartis, had any incentives to oppose Novartis's practices and, on the contrary, had defined a common action plan aimed at dissuading the extension of Avastin's use to treat AMD and other eye conditions.  </w:t>
        <w:br/>
        <w:t xml:space="preserve">1148. Thus, until Eylea entered the relevant market, no actor outside the collective entity was likely to challenge the expected outcome of the practices implemented by Novartis.  </w:t>
        <w:br/>
        <w:t xml:space="preserve">1149. The magnitude of the practice is also assessed through its characteristics. However, Novartis disseminated a discourse unjustifiably exaggerating the risks associated with the "off-label" use of Avastin in the treatment of AMD, and more generally in ophthalmology, to all parties likely to influence the prescriptions of Lucentis and Avastin: healthcare professionals, notably KOLs, patient associations, and health authorities.  </w:t>
        <w:br/>
        <w:t>1150. Furthermore, contrary to what Novartis and Roche claim, all ophthalmological indications of Avastin were affected by the practice. Indeed, anti-VEGF – Avastin, Lucentis, and Eylea – allow for the treatment of both AMD and other ocular pathologies (such as OMD, OBVR, or OVCR, or visual impairment due to a NVC). Moreover, these same anti-VEGF are the first-line treatment for these pathologies (paragraph 60 of this decision). As emerges from paragraphs 78</w:t>
      </w:r>
    </w:p>
    <w:p>
      <w:r>
        <w:rPr>
          <w:b/>
        </w:rPr>
        <w:t>[Pages 184–186]</w:t>
      </w:r>
    </w:p>
    <w:p>
      <w:r>
        <w:t xml:space="preserve">both AMD and other ocular pathologies (such as OMD, OBVR or OVCR, or even visual impairment due to NVC). Furthermore, these same anti-VEGF agents are the first-line treatment for these pathologies (paragraph 60 of this decision). As evidenced by paragraphs 78 and 86 of this decision, Lucentis and Eylea have gradually obtained MAs for these various indications. However, before Lucentis obtained a MA for pathologies other than AMD, Avastin was also widely used for the treatment of these other indications, as indicated by several physicians interviewed during the investigation (paragraphs 177 and 654 of this decision and references 7090, 7095, 7096, 13585, and 13589). Thus, the market structure for these other indications is significantly similar to that of the market corresponding to the treatment of AMD.  </w:t>
        <w:br/>
        <w:t xml:space="preserve">1151. Novartis's internal documents also show that it was concerned about the particularly significant use of Avastin for these other indications. According to these documents, its strategy was precisely to block the use of Avastin in these other indications, pending a MA for Lucentis: thus, for the CHU of Besançon and the CH of Vesoul, Novartis's objective was to "oppose the referencing of Avastin in ophthalmology for OMD and OVR indications" and to "transfer the units of Avastin used in these indications to units of Lucentis" (June 2012, references 15696 to 15700). In fact, all retinal pathologies treated by injections of anti-VEGF are concerned by the debate on the comparison of adverse side effects between Avastin and Lucentis: the question of tolerance and adverse effects is indifferent to the exact pathology for which these products are used (AMD or others). The sales volumes of Avastin for these other indications could therefore have been affected in the same way by the behaviors of the parties involved.  </w:t>
        <w:br/>
        <w:t xml:space="preserve">1152. In any case, AMD remains by far the main indication for anti-VEGF agents. Indeed, before June 2011, AMD was the only indication treated with Lucentis. In 2018, a report from HAS on the use of Lucentis shows that AMD accounts for nearly 75% of patients treated with this medication, compared to nearly 16% for OMD.  </w:t>
        <w:br/>
        <w:t xml:space="preserve">1153. Finally, the extent of the practices implemented by Novartis is also reflected in the duration of their implementation and the significance of the market in question. Indeed, the discourse attributed to Novartis was disseminated for nearly six years to all stakeholders in the French health sector.  </w:t>
        <w:br/>
        <w:t xml:space="preserve">- On the characteristics of the affected markets  </w:t>
        <w:br/>
        <w:t xml:space="preserve">1154. The economic characteristics of the sector in question that may influence the extent of the damage to the economy include the cost differential of AMD treatments, barriers to entry, pricing negotiation methods, and the importance of drug safety issues.  </w:t>
        <w:br/>
        <w:t xml:space="preserve">1155. Indeed, the economic damage caused by the practices is amplified by the extraordinarily significant cost differential existing between Avastin and Lucentis. Each vial of Avastin could be used to perform several injections (reference 7104), bringing the unit cost per injection to approximately 30 euros (reference 2430), whereas the list price of Lucentis ranged between 1,161 euros and 647 euros between 2007 and the end of 2015 (resulting in a differential of at least a factor of 20, or even 40 at the beginning of the period). While the price of Lucentis was unlikely to decrease to the level of Avastin's treatment cost and while Lucentis could present advantages over Avastin, both due to its MA and the conditions of use of Avastin (e.g., the need for a hood for reconditioning in particular), such a cost differential implies that even a minimal loss of market share for Avastin has significant repercussions on healthcare expenditures. For illustrative purposes, a one percentage point loss of market share for Avastin in favor of Lucentis represents an additional cost of approximately 230,000 euros per month. This cost differential also explains that once the therapeutic equivalence between these two treatments was established, the CEPS could have sought to rely on the use of this product by ophthalmologists to renegotiate the price of Lucentis downward. For illustrative purposes, a 1% decrease in the price of Lucentis would have generated an average saving of approximately 240,000 euros per month.  </w:t>
        <w:br/>
        <w:t xml:space="preserve">1156. The sector also presents significant barriers to entry, resulting in particular from the considerable development costs of a new drug. Any entry of a competing product requires at least several years of development and clinical studies, along with significant investments. Consequently, the fact that a laboratory manages to reduce the competitive pressure exerted by another treatment is likely to discourage the short-term entry of other competing treatments. In this case, the only alternative to Avastin to compete with Lucentis was the treatment Eylea, which, however, could only enter the relevant market from November 2013.  </w:t>
        <w:br/>
        <w:t xml:space="preserve">1157. Furthermore, regarding the methods of negotiating drug prices, this results from a negotiation between, on the one hand, the holding laboratory and, on the other hand, the CEPS. However, Novartis's practice exaggerated, in a context of scientific uncertainty, the doubt about the therapeutic value and safety of Avastin in ophthalmology, which could only be resolved through a long and costly scientific and administrative process, and which reduced the incentives for ophthalmologists to use this specialty "off-label." Consequently, these practices were likely to prevent the CEPS from considering that Avastin could be a relevant comparator to Lucentis.  </w:t>
        <w:br/>
        <w:t xml:space="preserve">1158. Finally, the demand for drugs expressed by practitioners is generally extremely sensitive to the available information regarding the safety of these drugs. Practices that tend to challenge the tolerance and safety of a drug are particularly likely to influence prescribers' behaviors. Thus, despite the very significant cost differential between Avastin and Lucentis, the discourse developed by Novartis, centered on safety issues, was not likely to be reassessed in light of economic considerations and could therefore lead to a significant decrease in Avastin's market share, and consequently, a significant increase in treatment costs for health insurance and other insurance organizations.  </w:t>
        <w:br/>
        <w:t xml:space="preserve">- On the structural and conjunctural consequences  </w:t>
        <w:br/>
        <w:t xml:space="preserve">1159. Firstly, as mentioned in paragraphs 839 to 856 of this decision, the practices implemented by Novartis resulted in limiting the use of Avastin "off-label" by ophthalmologists in place of Lucentis.  </w:t>
        <w:br/>
        <w:t xml:space="preserve">1160. Thus, at the beginning of the commercialization of Lucentis, the case files show that Avastin was indeed used outside the uses that justified the MA by a certain proportion of French practitioners, despite barriers independent of the practices and intrinsic to its "off-label" use (i.e., the need for adequate equipment for the sterile reconditioning of Avastin, the obligation to inform patients by prescribers, the expiration of Avastin syringes, the use of Avastin needing to be considered indispensable by the prescribing physician).  </w:t>
        <w:br/>
        <w:t xml:space="preserve">1161. In this context, Novartis initially sought to limit Avastin's market share to below 10% for the treatment of AMD (see paragraph 846 of this decision). Novartis's practices also impacted the opinions of ophthalmologists and the decisions made by healthcare professionals regarding the use of Avastin "off-label" (see paragraph 848 of this decision). Finally, the survey results used internally by Novartis confirm the decrease in Avastin's market share in the treatment of AMD (see paragraph 849 of this decision). Thus, through its discourse, Novartis ensured that prescription transfers in favor of Avastin did not occur.  </w:t>
        <w:br/>
        <w:t xml:space="preserve">1162. Taken together, these elements clearly demonstrate a significant decrease in Avastin's market share due to the disputed practices, starting from the beginning of 2008 and continuing until June 2012, with the DGS instruction in July 2012 then leading to the near-total discouragement of the use of Avastin for ophthalmological disorders. However, as indicated above, the price differential between Avastin and Lucentis and the sales volumes involved mean that such a decrease in Avastin's market share, and this over several years, had a negative impact on the evolution of healthcare expenditures, even taking into account the fact that an increase in Lucentis sales allowed for price reductions for this treatment.  </w:t>
        <w:br/>
        <w:t xml:space="preserve">1163. Secondly, as developed above (see paragraphs 857 to 888 of this decision), the discourse disseminated by Novartis may also have had the indirect effect of maintaining the price of Lucentis at a supra-competitive level.  </w:t>
        <w:br/>
        <w:t xml:space="preserve">1164. Indeed, a more significant use of Avastin "off-label" in ophthalmology could have modified the CEPS's assessment of the therapeutic value of Avastin compared to Lucentis and, consequently, the outcome of negotiations on the price level of Lucentis. In this regard, it appears from Novartis's internal documents in the file that the discourse implemented by Novartis towards practitioners aimed to preserve the price level of Lucentis (see paragraphs 858 to 861 of this decision). Indeed, to the extent that it had the effect of limiting Avastin prescriptions (see paragraphs 839 to 856 above), Novartis's discourse may have delayed the date on which the CEPS could consider that, given its current use by ophthalmologists, Avastin should be regarded as a comparator in the treatment of AMD and for other ocular indications.  </w:t>
        <w:br/>
        <w:t xml:space="preserve">1165. As mentioned in paragraphs 863 to 885 of this decision, the CEPS could have proceeded to a price reduction for Lucentis, first, during the European price guarantee period, which extended until 2012, and then at the time of the renegotiation of the price of Lucentis at the end of the European price guarantee period.  </w:t>
        <w:br/>
        <w:t xml:space="preserve">1166. Finally, it should be noted that by preventing a reduction in the price of Lucentis, the discourse conveyed by Novartis also led to the establishment of an artificially high price level for Eylea: if the price of Lucentis had decreased before Eylea entered the market, the price of the latter could have been set at a lower level, as it was determined, according to the criteria applicable to so-called "me-too" specialties, at the same level as the list price of Lucentis, reduced by a 10% discount (see paragraph 887 of this decision).  </w:t>
        <w:br/>
        <w:t xml:space="preserve">- Conclusion  </w:t>
        <w:br/>
        <w:t>1167. It follows from the elements analyzed above that the practices targeted by grievance No. 1 caused significant damage to the economy.</w:t>
      </w:r>
    </w:p>
    <w:p>
      <w:r>
        <w:rPr>
          <w:b/>
        </w:rPr>
        <w:t>[Pages 187–189]</w:t>
      </w:r>
    </w:p>
    <w:p>
      <w:r>
        <w:t xml:space="preserve">Conclusion on the proportion of the value of sales  </w:t>
        <w:br/>
        <w:t>1168. Given its assessment of the severity of the facts and the significance of the damage caused to the economy in the relevant sector, the Authority will retain, to determine the base amount of the sanction imposed on Novartis, a proportion of 14% as the basis for the monetary sanction pronounced under grievance No. 1.</w:t>
      </w:r>
    </w:p>
    <w:p>
      <w:r>
        <w:t xml:space="preserve">On the duration  </w:t>
        <w:br/>
        <w:t xml:space="preserve">Applicable Principles  </w:t>
        <w:br/>
        <w:t>1169. In the case of violations that have lasted more than one year, the Authority has committed to taking their duration into account according to the following practical modalities: the proportion retained, to give a numerical translation to the severity of the facts and the importance of the damage caused to the economy, is applied once, for the first full year of individual participation in the practices of each company involved, to the value of its sales during the reference accounting year, and then to half of that value, for each of the subsequent full years of participation. Beyond this last full year, the remaining period is taken into account on a monthly basis, to the extent that the elements of the file allow it.</w:t>
      </w:r>
    </w:p>
    <w:p>
      <w:r>
        <w:t>1170. In each specific case, this method results in a multiplicative coefficient, defined proportionally to the individual duration of participation of each of the companies in the practices and applied to the proportion of the value of the sales made by each of them during the accounting year retained as a reference.</w:t>
      </w:r>
    </w:p>
    <w:p>
      <w:r>
        <w:t xml:space="preserve">Assessment in this case  </w:t>
        <w:br/>
        <w:t>1171. In the present case, as indicated in paragraph 907 of this decision, the violation sanctioned under grievance No. 1 began on March 10, 2008, and ended at the beginning of November 2013.</w:t>
      </w:r>
    </w:p>
    <w:p>
      <w:r>
        <w:t>1172. Consequently, the duration of the practices is 5 years and 7 months, resulting in a multiplicative coefficient of 3.29.</w:t>
      </w:r>
    </w:p>
    <w:p>
      <w:r>
        <w:t xml:space="preserve">Conclusion on the determination of the base amount  </w:t>
        <w:br/>
        <w:t xml:space="preserve">1173. Given the severity of the facts and the damage caused to the economy by the practices sanctioned under grievance No. 1, the base amount of the monetary sanction, determined in proportion to the sales related to the violation made by the company concerned, on the one hand, and based on the duration of the violation, on the other hand, is as follows:  </w:t>
        <w:br/>
        <w:t>135,416,400 euros.</w:t>
      </w:r>
    </w:p>
    <w:p>
      <w:r>
        <w:t xml:space="preserve">b) On the individualization of the sanction  </w:t>
        <w:br/>
        <w:t>1174. The Authority then committed to adapting the base amount retained to reflect the severity of the facts and the importance of the damage caused to the economy in light of the legal criterion concerning the individual situation of the sanctioned company and, when applicable, the group to which it belongs.</w:t>
      </w:r>
    </w:p>
    <w:p>
      <w:r>
        <w:t>1175. For this purpose, and based on the elements specific to each case, it may take into account various mitigating and/or aggravating circumstances characterizing the behavior of the company involved in the commission of the violations, as well as other relevant objective elements relating to its individual situation. This consideration may lead to adjusting the amount of the sanction both downward and upward.</w:t>
      </w:r>
    </w:p>
    <w:p>
      <w:r>
        <w:t xml:space="preserve">Regarding aggravating and mitigating circumstances  </w:t>
        <w:br/>
        <w:t>1176. Novartis argues that the sanction imposed against it should be reduced in light of the existence of mitigating circumstances. More specifically, it claims that the particular context in which the practices occurred, as well as the unprecedented nature of the sanctioned violations, the qualification of which is complex and ambiguous, would justify that no monetary sanction be imposed on it or, at the very least, the imposition of a symbolic fine.</w:t>
      </w:r>
    </w:p>
    <w:p>
      <w:r>
        <w:t>1177. However, firstly, the practices sanctioned under grievance No. 1 do not, in any case, have any unprecedented character. The Authority has already sanctioned, on several occasions, abusive practices of disparagement (cf. paragraphs 769 to 779 of this decision).</w:t>
      </w:r>
    </w:p>
    <w:p>
      <w:r>
        <w:t>1178. Secondly, the practices in question did indeed take place in a context marked by a scientific debate on the efficacy and safety of using Avastin "off-label" in ophthalmology. However, such a finding does not justify a reduction of the sanction imposed, as the companies involved are not reproached for having expressed their opinion in this context. On the contrary, the sanctioned practices are based on the fact that, far from sticking to a discourse mentioning this situation of uncertainty, Novartis's communication aimed to and was likely to reinforce doubts about the "off-label" use of Avastin, by exaggerating the risks associated with it, compared to the authorized use of its own product, Lucentis.</w:t>
      </w:r>
    </w:p>
    <w:p>
      <w:r>
        <w:t>1179. It follows from the above that no mitigating circumstance justifies a downward revision of the amount of the sanction imposed under grievance No. 1. Furthermore, no element in the file suggests that Novartis should see the amount of its sanction increased on account of aggravating circumstances.</w:t>
      </w:r>
    </w:p>
    <w:p>
      <w:r>
        <w:t xml:space="preserve">Regarding other elements of individualization  </w:t>
        <w:br/>
        <w:t xml:space="preserve">Applicable Principles  </w:t>
        <w:br/>
        <w:t xml:space="preserve">1180. Points 47 and 48 of the sanctions communication remind us that "in order to ensure both the deterrent and proportionate nature of the monetary sanction, the Authority may then adjust, downward or upward, the base amount taking into consideration other objective elements specific to the situation of the company or organization concerned:  </w:t>
        <w:br/>
        <w:t xml:space="preserve">(...)  </w:t>
        <w:br/>
        <w:t xml:space="preserve">It may also adjust it upward to take into account the fact that:  </w:t>
        <w:br/>
        <w:t xml:space="preserve">- the company concerned has a significant size, economic power, or substantial overall resources, particularly in relation to other offenders;  </w:t>
        <w:br/>
        <w:t>- the group to which the concerned company belongs also has a significant size, economic power, or substantial overall resources, this element being taken into account, in particular, in cases where the violation is also attributable to the company that controls it within the group."</w:t>
      </w:r>
    </w:p>
    <w:p>
      <w:r>
        <w:t>1181. Regarding the upward adjustment of the amount of the sanction, it is a constant jurisprudence that the assessment of the individual situation may lead to taking into account the scale of the company involved or the group to which it belongs (see in this sense the judgment of the Court of Cassation of April 28, 2004, Colas Midi-Méditerranée e.a. No. 02-15203).</w:t>
      </w:r>
    </w:p>
    <w:p>
      <w:r>
        <w:t>1182. Thus, the Court of Justice, while indicating that the use of the sales value of the company involved allows for proportioning the basis of the sanction to the economic magnitude of the violation and the relative weight of the concerned party in the relevant sector or market, recalls that it is legitimate to take into account, at the same time, the overall turnover of this company, as it is likely to provide an indication of its size, economic power, and resources (judgments of the Court of Justice of June 7, 1983 Musique Diffusion Française/Commission, C-100 to 103/80, points 119 to 121; of June 26, 2006, Showa Denko/Commission, aff. C-289/04 P, Rec. p. I-5859, points 16 and 17; and of September 4, 2014, YKK Corporation, C-408/12, point 86).</w:t>
      </w:r>
    </w:p>
    <w:p>
      <w:r>
        <w:t>1183. In fact, the circumstance that a company has significant financial power may justify that the sanction imposed on it, considering one or more specific violations, be higher than it would be otherwise, in order to ensure both the deterrent and proportionate nature of the monetary sanction (judgment of the Paris Court of Appeal, October 11, 2012, Entreprise H. Chevalier Nord e.a. No. 2011-03298, p. 71, and of January 30, 2014, Société Colgate-Palmolive Service, No. 2012-00723, p. 41).</w:t>
      </w:r>
    </w:p>
    <w:p>
      <w:r>
        <w:t>1184. In this regard, the Court of Cassation has already had the opportunity to specify that the effectiveness of the fight against anti-competitive practices requires that the monetary sanction be effectively deterrent – an objective also highlighted regarding sanctions that may be imposed in cases of violation of national competition rules by the European Court of Human Rights (judgment of the European Court of Human Rights of September 27, 2011, Menarini Diagnostics/Italy (application No. 43509/08, point 41), in light of the financial situation specific to each company at the time it is sanctioned (judgment of the Court of Cassation of September 18, 2012, Séphora e.a, No. 12-14401).</w:t>
      </w:r>
    </w:p>
    <w:p>
      <w:r>
        <w:t>1185. The Paris Court of Appeal recently reiterated this in a judgment of July 11, 2019, société Janssen-Cilag SAS (judgment of the Paris Court of Appeal of July 11, 2019, société Janssen-Cilag S.A.S e.a, No. 18/01945, points 581 and following). It indeed specified that the increase of the base amount of the sanction due to belonging to a group depended on the factual circumstances and the context specific to each case. Furthermore, it admitted that this power could be revealed by the low ratio between the value of the sales retained for calculating the basis of the sanction and the turnover of the group to which the offender belongs.</w:t>
      </w:r>
    </w:p>
    <w:p>
      <w:r>
        <w:t xml:space="preserve">Assessment in this case  </w:t>
        <w:br/>
        <w:t>1186. The violation sanctioned under grievance No. 1 has been attributed to Novartis Pharma SAS and Novartis AG, as authors, and to Novartis Groupe France SA and Novartis AG, as parent companies.</w:t>
      </w:r>
    </w:p>
    <w:p>
      <w:r>
        <w:t>1187. Now, these companies belong to the Novartis group, which enjoys significant size and economic power. The overall financial resources of the Novartis group are indeed very high. Its consolidated turnover excluding taxes amounts to 47,445 million dollars as of December 31, 2019, or 42,387 million euros. Its consolidated net income stands at 11,737 million dollars the same year, or 10,486 million euros.</w:t>
      </w:r>
    </w:p>
    <w:p>
      <w:r>
        <w:t>1188. The value of the sales retained as the basis for the sanction imposed against it under grievance No. 1 thus represents only 0.69% of the total turnover of the group and approximately 2.8% of the consolidated net income.</w:t>
      </w:r>
    </w:p>
    <w:p>
      <w:r>
        <w:rPr>
          <w:b/>
        </w:rPr>
        <w:t>[Pages 190–192]</w:t>
      </w:r>
    </w:p>
    <w:p>
      <w:r>
        <w:t xml:space="preserve">1189. Given these elements, the base amount of the financial penalty imposed on Novartis Pharma SAS and Novartis AG, jointly and severally with their parent companies, Novartis Groupe France SA and Novartis AG, must be increased by 50%.  </w:t>
        <w:br/>
        <w:t xml:space="preserve">1190. In light of all the preceding elements, the amount of the financial penalty to be imposed on Novartis Pharma SAS and Novartis AG, jointly and severally with Novartis Groupe France SA and Novartis AG, will be set at 203,124,600 euros for grievance No. 1.  </w:t>
        <w:br/>
        <w:t xml:space="preserve">c) On Reiteration  </w:t>
        <w:br/>
        <w:t xml:space="preserve">Applicable Principles  </w:t>
        <w:br/>
        <w:t xml:space="preserve">1191. Reiteration, referred to autonomously by I of Article L. 464-2 of the Commercial Code, constitutes an aggravating circumstance that the Authority may take into account by increasing the amount of the penalty in order to provide a proportionate response, in terms of repression and deterrence, to the propensity of the company or organization to disregard competition rules (decision No. 07-D-33 of the Council dated October 15, 2007, regarding practices implemented by France Télécom in the broadband Internet access sector, paragraph 112). The jurisprudence of the Union goes in the same direction (judgment of the Court of Justice dated February 8, 2007, Groupe Danone/Commission, C-3/06 P, Rec. p. I-1331, point 47).  </w:t>
        <w:br/>
        <w:t xml:space="preserve">1192. The existence of reiteration can be established when four conditions are met (paragraph 51 of the press release dated May 16, 2011): a previous infringement of competition law must have been established before the end of the commission of the new practice; the new practice must be identical or similar, in its object or effects, to that which led to the previous finding of infringement; the latter must have acquired a definitive character by the date on which the Authority rules on the new practice; the time elapsed between the previous finding of infringement and the start of the new practice is taken into account to provide a proportionate response to the propensity of the company to disregard competition rules, it being indicated that reiteration will not be retained when the time in question exceeds fifteen years.  </w:t>
        <w:br/>
        <w:t xml:space="preserve">1193. According to jurisprudence, the qualification of reiteration does not require that the infringements committed be identical in terms of the practice implemented or the market concerned, whether it concerns the market for products or services or the geographical market, and it can be retained for new practices identical or similar, in their object or effects, to those that led to the previous finding of infringement (judgment of the Paris Court of Appeal dated July 4, 2013, No. 2012/05160, page 35, confirmed by a judgment of the Court of Cassation dated January 6, 2015, No. 13-21305 and 13-22477).  </w:t>
        <w:br/>
        <w:t xml:space="preserve">1194. Finally, the rules regarding reiteration must follow those applied in terms of liability. Consequently, it must be taken into account, when assessing this aggravating circumstance, that one of the legal entities comprising the company in question, within the meaning of Articles 101 and 102 TFEU, has already been sanctioned for committing an infringement of the same type (judgment of the Paris Court of Appeal dated July 4, 2013, No. 2012/05160, page 35, confirmed by a judgment of the Court of Cassation dated January 6, 2015, Orange Caraïbe, No. 13-21305 and 13-22477).  </w:t>
        <w:br/>
        <w:t xml:space="preserve">1195. More specifically, the Court of Justice has ruled that "to establish the aggravating circumstance of recidivism concerning the parent company, it is not required that the latter has been subject to previous proceedings, which led to a statement of objections (...) what matters in particular is the prior finding of a first infringement resulting from the behavior of a subsidiary with which the parent company involved in the second infringement formed, already at the time of the first infringement, a single undertaking" (judgment of March 5, 2015, Versalis SpA and Enin SpA, C-93/13, point 31).  </w:t>
        <w:br/>
        <w:t xml:space="preserve">Assessment in this case  </w:t>
        <w:br/>
        <w:t xml:space="preserve">1196. Novartis Pharma SAS was sanctioned by a decision of the Competition Council for loyalty discount practices in hospitals, constituting an abuse of a dominant position, which became definitive on June 28, 2005 (decision No. 03-D-35 of July 24, 2003, regarding practices implemented by Sandoz laboratories, which became Novartis Pharma SA in 1997, in the market for certain pharmaceutical specialties intended for hospitals, confirmed by a judgment of the Paris Court of Appeal dated March 30, 2004, and a judgment of the Court of Cassation dated June 28, 2005, Novartis Pharma, No. 04-13910).  </w:t>
        <w:br/>
        <w:t xml:space="preserve">1197. In the present decision, it is established that Novartis Pharma SAS implemented, as the author, subsequent to this finding of infringement, practices constituting an abuse of collective dominant position starting from March 10, 2008, regarding grievance No. 1, on the one hand, and starting from May 9, 2011, regarding grievance No. 2, on the other hand. Novartis Pharma SAS thus implemented practices similar to those sanctioned in decision No. 03-D-35, which occurred five years (regarding grievance No. 1) and eight years (regarding grievance No. 2) after the finding of infringement of Novartis Pharma SA's behavior regarding competition rules by the decision dated July 2003.  </w:t>
        <w:br/>
        <w:t xml:space="preserve">1198. Consequently, it must be noted that Novartis Pharma SAS finds itself in a situation of reiteration, which is not contested by Novartis. It is therefore appropriate to retain, in the circumstances of this case, an increase of 25% of the penalty imposed on Novartis Pharma, bringing it to an amount of 253,905,750 euros for grievance No. 1.  </w:t>
        <w:br/>
        <w:t xml:space="preserve">1199. Regarding the involvement of Novartis AG as the author of the practices, it is not established that it existed at the date of the first finding of infringement. Therefore, it must be noted that this company does not find itself in a situation of reiteration.  </w:t>
        <w:br/>
        <w:t xml:space="preserve">1200. Similarly, regarding the liability of Novartis AG and Novartis France Groupe SA as parent companies, it is not established that they formed, at the date of the first finding of infringement, a single undertaking with Novartis Pharma SAS within the meaning of Articles 101 and 102 TFEU. Therefore, it must be noted that these companies do not find themselves in a situation of reiteration.  </w:t>
        <w:br/>
        <w:t xml:space="preserve">1201. It follows from the above that (i) the penalty imposed on Novartis for grievance No. 1 will be 253,905,750 euros and (ii) Novartis Pharma SAS will be solely responsible for the increase of the penalty imposed for reiteration, corresponding to the following amount: 50,781,150 euros.  </w:t>
        <w:br/>
        <w:t xml:space="preserve">d) Conclusion on the amount of the financial penalty  </w:t>
        <w:br/>
        <w:t xml:space="preserve">1202. In view of the preceding considerations, it is appropriate to impose on Novartis, for grievance No. 1, a financial penalty of 253,905,750 euros, it being specified that Novartis Pharma SAS will be solely responsible for this penalty in the amount of 50,781,150 euros.  </w:t>
        <w:br/>
        <w:t xml:space="preserve">e) On the legal maximum  </w:t>
        <w:br/>
        <w:t xml:space="preserve">1203. When the accounts are consolidated, the legal ceiling of the penalty corresponds to 10% of the highest consolidated worldwide turnover excluding taxes achieved during one of the fiscal years closed since the fiscal year preceding the commencement of the practices.  </w:t>
        <w:br/>
        <w:t xml:space="preserve">1204. The highest known consolidated worldwide turnover excluding taxes achieved by the Novartis group was 47,445 million dollars as of December 31, 2019, or approximately 42,387 million euros.  </w:t>
        <w:br/>
        <w:t xml:space="preserve">1205. The amount of the penalty previously retained being less than 10% of this figure, there is no need to modify it.  </w:t>
        <w:br/>
        <w:t xml:space="preserve">2. GRIEVANCE NO. 2  </w:t>
        <w:br/>
        <w:t xml:space="preserve">a) On the determination of the base amount of financial penalties  </w:t>
        <w:br/>
        <w:t xml:space="preserve">On the value of sales  </w:t>
        <w:br/>
        <w:t xml:space="preserve">1206. The Authority recalled in paragraphs 1119 to 1122 of this decision the methods for determining the value of sales.  </w:t>
        <w:br/>
        <w:t xml:space="preserve">1207. In this case, the infringement sanctioned under grievance No. 2 – the duration of participation differing according to the companies concerned – relates to the sales of medicines for the treatment of AMD and other ocular pathologies (OMD, OBVR, OVCR, or visual impairment due to an NVC) on French territory.  </w:t>
        <w:br/>
        <w:t xml:space="preserve">On the basis of the financial penalty for Roche and Genentech  </w:t>
        <w:br/>
        <w:t xml:space="preserve">1208. As highlighted in paragraph 1213 below, the Roche group makes sales related to the infringement through its only subsidiary Genentech.  </w:t>
        <w:br/>
        <w:t xml:space="preserve">1209. For the reasons mentioned in paragraph 1125 of this decision, the imposition of a penalty for each company in the Roche group is inappropriate.  </w:t>
        <w:br/>
        <w:t xml:space="preserve">1210. Consequently, the financial penalty imposed on the Roche group will be based on a single value of sales, corresponding to the turnover of the company in the group marketing products related to the infringement, namely that of Genentech (cf. paragraphs 1213 to 1218 below).  </w:t>
        <w:br/>
        <w:t xml:space="preserve">On the scope of the value of sales  </w:t>
        <w:br/>
        <w:t xml:space="preserve">1211. It is appropriate to consider the sales related to the infringement, namely the sales of medicines for the treatment of AMD and other ocular pathologies (OMD, OBVR, OVCR, or visual impairment due to an NVC) on French territory, both in the city and in hospitals.  </w:t>
        <w:br/>
        <w:t xml:space="preserve">1212. Regarding Novartis, these sales correspond to the sales of Lucentis in France.  </w:t>
        <w:br/>
        <w:t>1213. Regarding the entities of the Roche group, it has provided the investigation services with estimates of the total sales of Avastin in France. However, given the nature of the disputed practices, which aimed to limit the use of Avastin in ophthalmology on French territory, taking these sales into account would lead to a result that does not reflect.</w:t>
      </w:r>
    </w:p>
    <w:p>
      <w:r>
        <w:rPr>
          <w:b/>
        </w:rPr>
        <w:t>[Pages 193–195]</w:t>
      </w:r>
    </w:p>
    <w:p>
      <w:r>
        <w:t xml:space="preserve">to appropriately reflect the economic magnitude of the infringement.  </w:t>
        <w:br/>
        <w:t xml:space="preserve">In accordance with point 39 of the aforementioned sanctions communiqué, it is then up to the Authority to seek an alternative basis for calculating the base amount of the sanction for the entities of the Roche group.  </w:t>
        <w:br/>
        <w:t xml:space="preserve">1214. It appears that the Roche group derives two main sources of income related to the practices. On the one hand, Genentech receives royalties on the sales of Lucentis. On the other hand, Genentech sells the active ingredient of Lucentis to Novartis for its marketing in the French territory.  </w:t>
        <w:br/>
        <w:t xml:space="preserve">1215. Roche argues that Genentech's revenues cannot be taken into account, unless it is considered that this entity plays a predominant role in the commission of the alleged practices, which would not be the case here. However, it follows from paragraphs 1018 to 1028 of this decision that Genentech participated in the infringement as a perpetrator, which justifies taking its turnover into consideration.  </w:t>
        <w:br/>
        <w:t xml:space="preserve">1216. The royalties received by Genentech have been communicated to the investigation services. These include the royalties received from Novartis on the one hand, and from Roche SAS on the other hand. For the latter, Roche proposes two different estimates, the first based on data collected through the medicalization of information systems program, the second on data from the monitoring reports of the implementation of the RTU for Avastin. Since these two estimates show comparable amounts, the lower of the two will be retained. On the other hand, Roche indicated that it was unable to distinguish the sales of the active ingredient of Lucentis according to the destination country of the finished product. In these conditions, it is up to the Authority, and in accordance with point 36 of the aforementioned sanctions communiqué, to make its determination based on the data available to it.  </w:t>
        <w:br/>
        <w:t xml:space="preserve">1217. In this case, the Authority notes, on the one hand, that Roche has communicated the sales values of the active ingredient of Lucentis on a worldwide basis, excluding the United States (reference 50357). On the other hand, Novartis has communicated to the investigation services the distribution of Lucentis sales volumes in France and the rest of the world (excluding the United States) (reference 50362). In the absence of more precise information, it will be considered that the share of Lucentis sales volumes made in France (i.e., a percentage of 16.6%), applied to the total sales of the active ingredient of Lucentis, appropriately reflects the revenue from the sales of the active ingredient of Lucentis in France by Genentech.  </w:t>
        <w:br/>
        <w:t xml:space="preserve">1218. Consequently, it is appropriate to retain as the sales value related to the infringement, the royalties received by Genentech on the sales of Lucentis in France, on the one hand, and the sales by Genentech of the active ingredient of Lucentis for its marketing in the French territory, on the other hand.  </w:t>
        <w:br/>
        <w:t xml:space="preserve">On the reference exercise  </w:t>
        <w:br/>
        <w:t xml:space="preserve">1219. The last complete exercise of participation by Novartis, Roche, and Genentech in the infringement is the 2012 exercise.  </w:t>
        <w:br/>
        <w:t xml:space="preserve">Conclusion  </w:t>
        <w:br/>
        <w:t xml:space="preserve">1220. It follows from the above that the basis on which the financial sanctions pronounced under grievance No. 2 will be based is as follows:  </w:t>
        <w:br/>
        <w:t>193</w:t>
      </w:r>
    </w:p>
    <w:p>
      <w:r>
        <w:t xml:space="preserve">Companies Sales Value (in euros)  </w:t>
        <w:br/>
        <w:t xml:space="preserve">Novartis Pharma SAS and […]  </w:t>
        <w:br/>
        <w:t xml:space="preserve">Novartis AG  </w:t>
        <w:br/>
        <w:t xml:space="preserve">Roche / Genentech54 […]55  </w:t>
        <w:br/>
        <w:t xml:space="preserve">On the proportion of the sales value  </w:t>
        <w:br/>
        <w:t xml:space="preserve">On the severity of the practices  </w:t>
        <w:br/>
        <w:t xml:space="preserve">1221. The Authority recalled in paragraphs 1132 and 1133 of this decision the methods for taking into account the severity of the practices.  </w:t>
        <w:br/>
        <w:t xml:space="preserve">1222. In this case, it follows from the preceding developments that Roche and Novartis, with the support of Genentech, developed and disseminated an alarmist, sometimes misleading discourse to public authorities regarding the risks associated with the use of Avastin for the treatment of AMD, in order to unduly block or slow down public authorities' initiatives that aimed to promote and secure its use for the treatment of AMD.  </w:t>
        <w:br/>
        <w:t xml:space="preserve">1223. The practices in question are particularly serious, as they occurred in the health sector, and more specifically, in a context of public debate regarding the extremely high price of Lucentis and its impact on social finances, for which the 100% reimbursement of Lucentis constituted a significant expenditure item, while there was a much cheaper drug, Avastin, that could be used in ophthalmology.  </w:t>
        <w:br/>
        <w:t xml:space="preserve">1224. However, the practices in question aimed not only to prevent the use of Avastin "off-label" for the treatment of AMD, and more generally in ophthalmology, by ophthalmologists from being facilitated by a position taken by public authorities, but also to avoid Avastin being considered as a comparator to Lucentis. Indeed, several internal documents from Novartis demonstrate the laboratory's concern regarding the impact that Avastin's competition could have on the price of Lucentis (see paragraphs 259 to 260, 291, and 359 of this decision).  </w:t>
        <w:br/>
        <w:t xml:space="preserve">1225. Furthermore, the number, accumulation, and interaction of the anticompetitive behaviors implemented simultaneously constitute a factor that must be taken into account in terms of the severity of the facts.  </w:t>
        <w:br/>
        <w:t xml:space="preserve">1226. However, in this case, the discourse addressed by Roche, on the one hand, and by Novartis, on the other hand, to public authorities has been complementary and has accumulated, with a common goal of harming the use of Avastin "off-label" for the treatment of AMD, and more generally in ophthalmology, and of maintaining the price of Lucentis at an artificially high price. Thus, not only did Roche not oppose the discourse conveyed by Novartis regarding the drug it markets, but it is established that it adopted a communication similar to that of its competitor, in favor of the use of Lucentis and, in fact, to the detriment of the sales of its own product. Moreover, Genentech's involvement allowed Roche and Novartis to develop and disseminate a similar discourse.  </w:t>
        <w:br/>
        <w:t xml:space="preserve">1227. The defendants, however, argue that the severity of the practices is of limited scope. More specifically, Roche believes that it should be taken into account that the practices in question would have an unprecedented character, that its approaches to public authorities have been passive and limited, or that Genentech never intervened directly with public authorities. Furthermore, Roche and Novartis emphasize that the practices would have only been structured over a very short period. Finally, Roche and Novartis claim, in terms of assessing severity, that their discourse was not misleading, but justified by public health considerations.  </w:t>
        <w:br/>
        <w:t xml:space="preserve">1228. However, firstly, the practices sanctioned under grievance No. 2 do not have any unprecedented character. Indeed, at the time of the facts, practices of intervention with a public authority had already been sanctioned as constitutive of abuse of dominant position, whether or not the information communicated to the public authority was misleading (see decision No. 05-D-58 of November 3, 2005, concerning practices identified in the drinking water sector in Île-de-France and the European Commission decision of June 15, 2005, AstraZeneca, COMP/A. 37.507). The Court of Appeal ruled in this sense that "Nothing in these decisions indicates that intervention with a public authority can only constitute an anticompetitive practice if the economic operator communicates misleading information to that authority" and that "since these decisions, any company in a dominant position is warned that its intervention in the decision-making process of a public authority may, depending on the circumstances of the case, be qualified as an abuse of dominant position" (judgment of the Paris Court of Appeal of July 11, 2019, Janssen-Cilag SAS, No. 18/01945, points 446 and 447).  </w:t>
        <w:br/>
        <w:t xml:space="preserve">1229. Secondly, while it is true that the pursued behaviors essentially consisted of a series of occasional contacts between Roche and Novartis with public authorities, their number, accumulation, and interaction, as outlined above, confer, on the contrary, a certain degree of sophistication.  </w:t>
        <w:br/>
        <w:t xml:space="preserve">1230. Thirdly, the alleged limited nature of Roche and Genentech's intervention cannot be assessed in terms of the severity of the practices, such a circumstance falling under the individualization of sanctions.  </w:t>
        <w:br/>
        <w:t xml:space="preserve">1231. Lastly, it is established that the practices in question were not justified by any objective of protecting public health. Indeed, the examination of the discourse of Roche and Novartis, established with the support of Genentech, reveals the common line of action delineated by the collective entity, which is not justified by public health considerations, and constitutes a practice foreign to competition on merits.  </w:t>
        <w:br/>
        <w:t xml:space="preserve">1232. Therefore, the arguments of the defendants will be dismissed.  </w:t>
        <w:br/>
        <w:t xml:space="preserve">1233. It follows from the above that the practices sanctioned under grievance No. 2 must be considered as very serious.  </w:t>
        <w:br/>
        <w:t xml:space="preserve">On the damage caused to the economy  </w:t>
        <w:br/>
        <w:t xml:space="preserve">1234. The Authority recalled in paragraphs 1143 to 1145 of this decision the methods for taking into account the damage caused to the economy.  </w:t>
        <w:br/>
        <w:t xml:space="preserve">- On the extent of the practices  </w:t>
        <w:br/>
        <w:t>1235. The extent of the affected market is particularly significant as the practices in question consist of obstructing the initiatives of the French public authorities to</w:t>
      </w:r>
    </w:p>
    <w:p>
      <w:r>
        <w:rPr>
          <w:b/>
        </w:rPr>
        <w:t>[Pages 196–198]</w:t>
      </w:r>
    </w:p>
    <w:p>
      <w:r>
        <w:t xml:space="preserve">the present decision the modalities for taking into account the damage caused to the economy.  </w:t>
        <w:br/>
        <w:t xml:space="preserve">- On the extent of the practices  </w:t>
        <w:br/>
        <w:t xml:space="preserve">1235. The extent of the affected market is particularly significant as the practices in question, consisting of obstructing the initiatives of the French public authorities to encourage the use of Avastin "off-label," were deployed by the companies involved, with several public institutions, particularly the health sector authorities (such as AFSSAPS/ANSM, HAS, CEPS, DGS, or the cabinet of the Minister of Health), but also other institutional actors (such as the Presidency of the Republic, the services of the Prime Minister, or the Ministry of Economy).  </w:t>
        <w:br/>
        <w:t xml:space="preserve">1236. Furthermore, Genentech, Roche, and Novartis held a collective dominant position in the French market for exudative AMD, covering the entirety of the anti-VEGF used in intravitreal injections, until the arrival of Eylea. As a result, no competitor in the market could or was incentivized to oppose the practices implemented by the laboratories that are members of the collective entity.  </w:t>
        <w:br/>
        <w:t xml:space="preserve">1237. Moreover, all ophthalmological indications of Avastin were affected by the practice (see paragraph 1055 of this decision).  </w:t>
        <w:br/>
        <w:t xml:space="preserve">1238. Roche argues, in its response to the report, that the alleged extent of the practices is primarily attributable to Novartis, and asserts that Novartis's weight in the market is considerably greater.  </w:t>
        <w:br/>
        <w:t xml:space="preserve">1239. Nevertheless, as highlighted in paragraph 1034 of this decision, Roche did not oppose the discourse conveyed by Novartis to the public authorities, but, on the contrary, instrumentalized the risks of adverse effects related to the use of Avastin "off-label" in ophthalmology to, initially, "justify" its refusal to provide the information requested by AFSSAPS in 2008 and 2009, thereby delaying the completion of the GEFAL comparative study (see paragraphs 925 to 938 of this decision), and subsequently, to delay the initiatives of the public authorities aimed at regulating and securing the use of Avastin in ophthalmology (see paragraphs 942 to 974 of this decision).  </w:t>
        <w:br/>
        <w:t xml:space="preserve">1240. Thus, first, the effects of Roche's behavior and its role in the extent of the practice are independent of the relative weight of the laboratory in the market compared to Novartis. Secondly, to the extent that the practices in question aimed to limit the use of Avastin in ophthalmology, taking into account Roche's weight in the relevant market is not pertinent. Finally, and in any case, on the one hand, the damage caused by an anticompetitive practice is assessed globally, for all participants, and on the other hand, the respective weight of Novartis and Roche is taken into account in the determination of the sales value.  </w:t>
        <w:br/>
        <w:t xml:space="preserve">- On the characteristics of the sector  </w:t>
        <w:br/>
        <w:t xml:space="preserve">1241. The economic characteristics of the sector in question amplify the importance of the damage to the economy.  </w:t>
        <w:br/>
        <w:t xml:space="preserve">1242. First of all, the damage to the economy is particularly significant due to the cost differential between Avastin (approximately 30 euros per injection) and Lucentis (over 1,000 euros per injection) (see paragraph 1155 of this decision).  </w:t>
        <w:br/>
        <w:t xml:space="preserve">1243. Furthermore, the market is characterized by high development costs that constitute significant barriers to entry, making it more difficult for new competitors to enter (see paragraph 1156 of this decision).  </w:t>
        <w:br/>
        <w:t xml:space="preserve">1244. In addition, the risk aversion of healthcare professionals, particularly representatives of health authorities, due in part to a certain judicialization of health issues, results in any challenge, whether founded or not, from Novartis and Roche regarding the safety of their drug use almost inevitably leading to a slowdown in the decision-making process of public authorities. Consequently, any exaggeration of the risks associated with the use of Avastin in ophthalmology could only have a significant effect on the health authorities, concerned with protecting patient interests, and encourage them to recommend that healthcare professionals prioritize Lucentis over Avastin.  </w:t>
        <w:br/>
        <w:t xml:space="preserve">1245. Finally, given the modalities for negotiating the price of the drug between CEPS and the holding laboratory, presented in paragraphs 30 to 43 of this decision, a practice aimed, as in the case of grievance No. 2, at delaying the initiatives of public authorities to regulate and secure the "off-label" use of a drug like Avastin, is likely to have a significant impact on the cost to social finances of this category of treatment. Indeed, the recognition by public authorities of the therapeutic equivalence and safety of use of a drug like Avastin constituted an element that could be taken into account in the negotiations for the regulated price of Lucentis.  </w:t>
        <w:br/>
        <w:t xml:space="preserve">- On the structural and conjunctural consequences  </w:t>
        <w:br/>
        <w:t xml:space="preserve">1246. The behaviors attributed to Novartis, Roche, and Genentech have had an impact on public authorities and, consequently, on the "off-label" use of Avastin in ophthalmology. They cover various aspects, all of which have had conjunctural and structural consequences.  </w:t>
        <w:br/>
        <w:t xml:space="preserve">1247. First, Roche's refusal to provide scientific data to AFSSAPS in 2008, and then in 2009, directly contributed to a delay of at least 16 months in the establishment of the GEFAL study, the results of which were only made public in May 2013. This refusal ultimately contributed to the slowdown in the regularization of the use of Avastin in ophthalmology.  </w:t>
        <w:br/>
        <w:t xml:space="preserve">1248. Then, between 2011 and 2013, Roche and Novartis disseminated to public authorities (Ministry of Health) and health authorities (AFSSAPS/ANSM, CEPS, HAS) an alarmist, even misleading, discourse on the risks of serious adverse effects for patients treated with Avastin in intravitreal injection, notably by interpreting the published results of comparative studies in a biased manner. Genentech facilitated the coordination of the discourse of Novartis and Roche regarding the two specialties and, consequently, defined a common course of action among the three laboratories, so that Roche and Novartis could develop a very similar discourse based on the same technical elements.  </w:t>
        <w:br/>
        <w:t xml:space="preserve">1249. The consequences of this discourse are evidenced in three ways.  </w:t>
        <w:br/>
        <w:t xml:space="preserve">1250. First, as mentioned earlier, even if there may be certain barriers, independent of the practices, to the "off-label" use of Avastin (i.e., the need for adequate equipment for the sterile repackaging of Avastin, the obligation for prescribers to inform patients, the expiration of Avastin syringes, the use of Avastin needing to be considered indispensable by the prescribing physician), the documents in the file confirm that in 2011, despite Novartis's behavior targeted by grievance No. 1, Avastin was indeed used off-label by some French practitioners (paragraph 180 of the decision). The public authorities were considering, in this regard, despite Roche's choice not to develop Avastin for an indication in ophthalmology, and given this widespread practice among French ophthalmologists, to promote and secure its "off-label" use in ophthalmology.  </w:t>
        <w:br/>
        <w:t xml:space="preserve">1251. Secondly, as mentioned in paragraph 1037 of this decision, certain internal documents from Novartis, such as the report prepared by the director of the "Ophthalmology Franchise" of Novartis, for his individual evaluation for the year 2013, show that the denigrating discourse conveyed by the parties involved to the health authorities had a real effect on the opinions of public health officials in France: "First official Novartis written communication clearly stating Lucentis vs Avastin safety difference, in cooperation with top KOLs. Awareness of these safety issues has really increased in France (see Gefal communications, Pr Marananchi audition to senate, CNAM report to Assemblée Nationale, general public media articles,...) which can explain that RTU decree is still not published and that Health Authorities bodies are reorienting their actions towards a Lucentis price discussion more than an Avastin endorsement," (free translation: "First official written communication from Novartis indicating the differences between Lucentis and Avastin in terms of safety, in cooperation with top KOLs [key opinion leaders]. Awareness of these safety issues has really progressed in France (see Gefal communication, media articles...), which may explain why the RTU decree is still not published and that health authorities are reorienting their actions towards a discussion of Lucentis's price, rather than an endorsement of Avastin," reference 45126).  </w:t>
        <w:br/>
        <w:t xml:space="preserve">1252. Thirdly, the official positions of public authorities also show that the discourse conveyed by the implicated pharmaceutical laboratories had an effect on the opinions of French public officials. For example, in its information point of September 16, 2011, AFSSAPS relayed Roche's reservations about the methodology of the CATT study and the tolerance of Avastin when used "off-label" in ophthalmology (reference 49619).  </w:t>
        <w:br/>
        <w:t xml:space="preserve">1253. Similarly, the practices in question directly contributed to the adoption of the instruction from DGS in July 2012 (see paragraph 973 of this decision).  </w:t>
        <w:br/>
        <w:t xml:space="preserve">1254. Then, the discourse of Roche and Novartis, with the support of Genentech, also aimed to delay the adoption of legislative provisions establishing the principle of an RTU for the use of Avastin for the treatment of AMD (see paragraphs 1044 to 1050 of this decision).  </w:t>
        <w:br/>
        <w:t xml:space="preserve">1255. However, from the moment the public authorities announced they were studying the possibility of an RTU for Avastin for the treatment of AMD, Roche and Novartis multiplied initiatives and contacts with representatives of the Government and health authorities to disseminate their messages regarding the risks associated with the use of this specialty in intravitreal injection (see paragraphs 470 and following of this decision). These behaviors continued throughout the parliamentary debates on the reform of the RTU mechanism proposed in the PLFSS 2013 (see paragraphs 535 to 544 of this decision).  </w:t>
        <w:br/>
        <w:t xml:space="preserve">1256. The documents in the file thus show that the French health authority sought, as early as February 2007, to take a position on the "off-label" use of Avastin by ophthalmologists, which had until then been unregulated. Indeed, in February 2007, AFSSAPS announced it would engage in reflection on the establishment of a PTT for this specialty, but wished to have a comparative study between Lucentis and Avastin (see paragraphs 432 to 435 of this decision). Four years later, in May 2011, at the time of the publication of the results of the Gower et al. and CATT studies, AFSSAPS proposed to Roche the establishment of a PTT for its specialty, given the enrichment of the scientific corpus and the clinical practice of ophthalmologists (see paragraphs 451 and 452 of this decision). The practices of Roche, Novartis, and Genentech are thus situated, in 2008 (concerning the practices attributed to Roche and Genentech) and in 2011 (concerning the practices attributed to Roche, Genentech, and Novartis), within the ongoing public debate on the "off-label" use of Avastin in ophthalmology.  </w:t>
        <w:br/>
        <w:t>1257. Consequently, the discourse of Roche and Novartis, with the help of Genentech, directly contributed to the delay in the adoption of the necessary legislative provisions to regulate and secure the use of Avastin in ophthalmology.</w:t>
      </w:r>
    </w:p>
    <w:p>
      <w:r>
        <w:rPr>
          <w:b/>
        </w:rPr>
        <w:t>[Pages 199–201]</w:t>
      </w:r>
    </w:p>
    <w:p>
      <w:r>
        <w:t xml:space="preserve">1258. All of these practices then had two types of effects on the market.  </w:t>
        <w:br/>
        <w:t xml:space="preserve">1259. Firstly, these practices led to a sustained decrease in Avastin's market share in the AMD treatment market. It can thus be considered that, based on Novartis's survey data and taking into account the practices of Novartis already sanctioned under grievance No. 1, Avastin's market shares during the period 2007-2012 averaged around 5% (reference 4705). Subsequently, the instruction from the DGS in July 2012, to which the practices contributed, rendered the use of Avastin for ophthalmological treatments almost null (see paragraph 180 of this decision). Furthermore, the practices sanctioned under grievance No. 2 delayed the return of Avastin's market share to its level prior to the practices targeted by both the first and second grievances, conservatively estimated at a market share of around 5% on average during the period 2007-2012, considering the discourse put forth by Novartis as referenced in the first grievance. However, the adoption of legislative and regulatory provisions to frame and secure the use of Avastin in ophthalmology could have increased Avastin's market shares above this level.  </w:t>
        <w:br/>
        <w:t xml:space="preserve">1260. Conversely, the defendants believe that the period following the granting of the RTU in 2015 is the best reference period to assess the potential impact of the practices. In this regard, the analysis of other drugs that received an RTU between 2014 and 2016 would show that this type of authorization had no impact on their use. Nevertheless, the defendants' arguments are not convincing for the reasons already mentioned in paragraphs 851 to 855 of this decision.  </w:t>
        <w:br/>
        <w:t xml:space="preserve">1261. Moreover, contrary to the assertions of Novartis and Roche, which claimed that it was impossible to adopt an RTU for Avastin before December 2014 and that the practices did not cause any inertia effects after November 2013, the duration of these effects may have been particularly long, approximately from 2011 to September 2015.  </w:t>
        <w:br/>
        <w:t xml:space="preserve">1262. Indeed, as indicated above, the practices contributed, on the one hand, to the adoption of the DGS instruction in July 2012, and on the other hand, to the delay in the adoption of the legislative provisions necessary for establishing an RTU for Avastin in the treatment of AMD and, more generally, to the delay in the adoption of provisions allowing for the framing and securing of the use of Avastin "off-label" in ophthalmology. While it is difficult to precisely determine the date on which these provisions could have been adopted in the absence of the practices, it can be noted that the practices in question, contributing to this delay, began as early as 2008, with Roche's refusal to provide scientific data to AFSSAPS. Regarding the end of these effects, the practices contributed to the delay in adopting an RTU for the "off-label" use of Avastin in the treatment of AMD at least until the adoption of the RTU in the LFSS 2013 voted in December 2012. While the subsequent delay in adopting this RTU is not attributable to the defendants, the practices targeted did contribute to the adoption of the DGS instruction in July 2012, which would not be repealed until September 2015 with the publication of the RTU for Avastin. Thus, due to the practices targeted by this grievance, practitioners could only prescribe Avastin for the treatment of AMD very difficultly and marginally until the publication of the RTU in September 2015.  </w:t>
        <w:br/>
        <w:t xml:space="preserve">1263. Secondly, through their practices, Roche, Novartis, and Genentech also made it more difficult for health authorities to consider Avastin as a relevant comparator to Lucentis, which again could have led to significant price reduction requests for Lucentis, and consequently, a lower price for Eylea (see paragraph 1065 of this decision).  </w:t>
        <w:br/>
        <w:t xml:space="preserve">1264. Thus, as previously seen, in the absence of the practices targeted by grievance No. 1, the price of Lucentis could have decreased during the European price guarantee period due to the "off-label" use of Avastin by practitioners, even if the health authorities were not yet certain of the therapeutic equivalence at that time (see paragraphs 149 to 164 of this decision) and, a fortiori, subsequently, as scientific studies (Curtis et al., in October 2010, Gower et al. in May 2011; CATT, in May 2011; IVAN, in April 2012, and GEFAL, in May 2013, after a delay of about 16 months due to Roche's refusal to provide scientific data) confirmed the therapeutic equivalence and tolerance of Avastin in ophthalmology, justifying that this drug be taken as a comparator.  </w:t>
        <w:br/>
        <w:t xml:space="preserve">1265. In this regard, as mentioned in paragraphs 668 to 673 of the decision, Novartis was concerned about the results of the comparative studies and anticipated the consideration of Avastin as a comparator by public authorities, foremost among them the CEPS.  </w:t>
        <w:br/>
        <w:t xml:space="preserve">1266. However, in the months following the publication of the HAS opinion in October 2017, which formally established that Avastin, within the framework of an RTU, is a clinically relevant comparator to Lucentis, the CEPS negotiated and obtained a 15% reduction in the list price of Lucentis in October 2018. As the parties indicate, the price reduction obtained in 2018 may, at least in part, result from other factors (extension of indications for Lucentis, change of government, and efforts requested from several health industry players). Moreover, as indicated above, the practices reproached under grievance No. 1, by artificially reducing Avastin's market share, may also have prevented the CEPS from proceeding with price reductions.  </w:t>
        <w:br/>
        <w:t xml:space="preserve">1267. Nevertheless, the coincidence between the aforementioned HAS opinion and the price reduction obtained by the CEPS demonstrates that a price reduction of several percentage points could have occurred once the results of the studies were published and taken into account by the French health authorities, approximately in 2011.  </w:t>
        <w:br/>
        <w:t xml:space="preserve">1268. Finally, such a price reduction, which could have been imposed before the entry of Eylea into the market in 2013, would also have led to a lower price for Eylea.  </w:t>
        <w:br/>
        <w:t xml:space="preserve">- Conclusion  </w:t>
        <w:br/>
        <w:t xml:space="preserve">1269. It emerges from the elements analyzed previously that the practices pursued under grievance No. 2 caused significant harm to the economy.  </w:t>
        <w:br/>
        <w:t xml:space="preserve">Conclusion on the proportion of sales value  </w:t>
        <w:br/>
        <w:t xml:space="preserve">1270. Given its assessment of the severity of the facts and the importance of the harm caused to the economy in the relevant sector, the Authority will retain, to determine the base amount of the financial penalties imposed on the companies involved, a proportion of 14% as the basis for the amount of the financial penalties pronounced under grievance No. 2.  </w:t>
        <w:br/>
        <w:t xml:space="preserve">On the duration  </w:t>
        <w:br/>
        <w:t xml:space="preserve">1271. The Authority recalled in paragraphs 1169 and 1170 of this decision the modalities for taking into account the duration of the practices.  </w:t>
        <w:br/>
        <w:t xml:space="preserve">Regarding Novartis  </w:t>
        <w:br/>
        <w:t xml:space="preserve">1272. In this case, as it appears from paragraph 1072 of this decision, the infringement attributed to Novartis began on May 9, 2011, and ended in early November 2013.  </w:t>
        <w:br/>
        <w:t xml:space="preserve">1273. Consequently, the duration of the practices being 2 years and 5 months, a multiplier coefficient of 1.70 should be applied.  </w:t>
        <w:br/>
        <w:t xml:space="preserve">Regarding Roche / Genentech  </w:t>
        <w:br/>
        <w:t xml:space="preserve">1274. On the one hand, regarding the practices attributed to Roche, as it appears from paragraph 1080 of this decision, the infringement began on April 7, 2008, and ended in early November 2013. Thus, the duration of this company's practices being 5 years and 6 months, a multiplier coefficient of 3.25 should be applied.  </w:t>
        <w:br/>
        <w:t xml:space="preserve">1275. On the other hand, regarding the practices attributed to Genentech, as it appears from paragraph 1086 of this decision, the infringement began on April 28, 2011, and ended in early November 2013, resulting in a duration of 2 years and 6 months.  </w:t>
        <w:br/>
        <w:t xml:space="preserve">1276. However, as indicated in paragraphs 1208 to 1210 above, the financial penalty imposed on the Roche group is based on a single sales value, justifying the imposition of a single penalty for all companies in the Roche group.  </w:t>
        <w:br/>
        <w:t xml:space="preserve">1277. Therefore, since Genentech's duration of participation is shorter than that of Roche, Genentech will be held jointly liable for this financial penalty in proportion to its duration of participation, corresponding to 45% of Roche's duration of participation.  </w:t>
        <w:br/>
        <w:t xml:space="preserve">Conclusion on the determination of the base amount  </w:t>
        <w:br/>
        <w:t xml:space="preserve">1278. Given the severity of the facts and the harm caused to the economy by the practices in question, the base amount of the financial penalties, determined in proportion to the sales related to the infringement made by the companies concerned, on the one hand, and based on the duration of the infringement, on the other hand, is as follows:  </w:t>
        <w:br/>
        <w:t xml:space="preserve">Companies Base amount (in euros)  </w:t>
        <w:br/>
        <w:t xml:space="preserve">Novartis Pharma SAS and 69,972,000  </w:t>
        <w:br/>
        <w:t xml:space="preserve">Novartis AG  </w:t>
        <w:br/>
        <w:t xml:space="preserve">Roche 35,146,310  </w:t>
        <w:br/>
        <w:t xml:space="preserve">b) On the individualization of penalties  </w:t>
        <w:br/>
        <w:t xml:space="preserve">Regarding aggravating and mitigating circumstances  </w:t>
        <w:br/>
        <w:t xml:space="preserve">1279. The Authority recalled in paragraphs 1174 and 1175 of this decision the modalities for taking into account any aggravating or mitigating circumstances.  </w:t>
        <w:br/>
        <w:t xml:space="preserve">1280. The companies involved argue that the financial penalties imposed on them should be reduced in light of the existence of mitigating circumstances. More specifically, they argue that the particular context in which the practices took place, as well as the unprecedented nature of the sanctioned infringements, whose qualification is complex and ambiguous, would justify that no financial penalty be imposed or, at the very least, the imposition of a symbolic fine.  </w:t>
        <w:br/>
        <w:t>1281. However, firstly, as emphasized in paragraph 1228 of this decision, the practices sanctioned under grievance No. 2 do not have any unprecedented character.</w:t>
      </w:r>
    </w:p>
    <w:p>
      <w:r>
        <w:rPr>
          <w:b/>
        </w:rPr>
        <w:t>[Pages 202–204]</w:t>
      </w:r>
    </w:p>
    <w:p>
      <w:r>
        <w:t xml:space="preserve">1282. Secondly, for the reasons invoked in paragraph 1178 of this decision, although the practices in question have indeed taken place in a context marked by a scientific debate on the efficacy and safety of using Avastin "off-label" in ophthalmology, this does not justify, in this case, any reduction of the sanction, as the discourse of Novartis and Roche, with the assistance of Genentech, was not limited to an objective presentation of the context of scientific uncertainty.  </w:t>
        <w:br/>
        <w:t xml:space="preserve">1283. Furthermore, Roche believes that its sanction should be moderated, given that its participation in the infringement sanctioned under grievance No. 2 is limited to a few exchanges with the health authority and that it would not have been the driving force behind the infringement, unlike Novartis.  </w:t>
        <w:br/>
        <w:t xml:space="preserve">1284. However, Roche's contacts with public authorities were not limited to exchanges with the ANSM, as the laboratory also directed its discourse towards the Minister of Health or the DGS (see paragraphs 491 to 494 of this decision). Moreover, Roche does not present any evidence that would demonstrate that Novartis was the originator of the practices, was the driving force behind them, and/or that Novartis took measures to compel Roche and Genentech to participate in the infringement.  </w:t>
        <w:br/>
        <w:t xml:space="preserve">1285. It follows from the above that no mitigating circumstance justifies a downward revision of the amount of the sanctions imposed. Furthermore, no element in the file allows for the consideration that any of the sanctioned companies should see the amount of their sanction increased due to aggravating circumstances.  </w:t>
        <w:br/>
        <w:t xml:space="preserve">Regarding aggravating and mitigating circumstances  </w:t>
        <w:br/>
        <w:t xml:space="preserve">1286. The Authority recalled in paragraphs 1180 to 1185 of this decision the modalities for taking into account economic power.  </w:t>
        <w:br/>
        <w:t xml:space="preserve">On the economic power of the Novartis group  </w:t>
        <w:br/>
        <w:t xml:space="preserve">1287. The infringement sanctioned under grievance No. 2 has been attributed to Novartis Pharma SAS and Novartis AG as authors, and to Novartis Groupe France SA and Novartis AG as parent companies.  </w:t>
        <w:br/>
        <w:t xml:space="preserve">1288. However, as highlighted in paragraph 1187 of this decision, these companies belong to the Novartis group, which enjoys significant size and economic power.  </w:t>
        <w:br/>
        <w:t xml:space="preserve">1289. The value of sales used as the basis for the sanction imposed on it under grievance No. 2 thus represents only 0.69% of the total turnover of the group and approximately 2.8% of the consolidated net income.  </w:t>
        <w:br/>
        <w:t xml:space="preserve">1290. Given these elements, the base amount of the financial sanction imposed on Novartis Pharma SAS and Novartis AG, jointly and severally with their parent companies, Novartis Groupe France SA and Novartis AG, must be increased by 50%.  </w:t>
        <w:br/>
        <w:t xml:space="preserve">1291. In light of all the preceding elements, the amount of the financial sanction to be imposed on Novartis Pharma SAS and Novartis AG, jointly and severally with Novartis Groupe France SA and Novartis AG, will be set at 104,958,000 euros under grievance No. 2.  </w:t>
        <w:br/>
        <w:t xml:space="preserve">On the economic power of the Roche group  </w:t>
        <w:br/>
        <w:t xml:space="preserve">1292. The infringement sanctioned under grievance No. 2 has been attributed to Roche and Genentech Inc. as authors, and to Roche Holding AG as the parent company of these two companies.  </w:t>
        <w:br/>
        <w:t xml:space="preserve">1293. However, these companies belong to the Roche group, which enjoys significant size and economic power. The overall financial resources of the Roche group are indeed very high. Its consolidated turnover excluding taxes amounted to 63,751 million CHF as of December 31, 2019, or approximately 57,325 million euros. Its consolidated net income was 14,108 million CHF in the same year, or 12,686 million euros.  </w:t>
        <w:br/>
        <w:t xml:space="preserve">1294. The value of sales used as the basis for the sanction imposed on it represents only 0.13% of the total turnover of the group and approximately 0.61% of the consolidated net income.  </w:t>
        <w:br/>
        <w:t xml:space="preserve">1295. Given these elements, the base amount of the financial sanctions imposed on Roche and Genentech Inc., jointly and severally with their parent company Roche Holding AG, must be increased by 70%.  </w:t>
        <w:br/>
        <w:t xml:space="preserve">1296. In light of all the preceding elements, the amount of the sanctions to be imposed on Roche, jointly and severally with Roche Holding AG, will be set at 59,748,726 euros, of which 26,886,927 euros jointly and severally with Genentech Inc.  </w:t>
        <w:br/>
        <w:t xml:space="preserve">c) On reiteration  </w:t>
        <w:br/>
        <w:t xml:space="preserve">1297. The Authority recalled in paragraphs 1191 to 1195 of this decision the modalities for taking into account the situation of reiteration.  </w:t>
        <w:br/>
        <w:t xml:space="preserve">1298. For the reasons mentioned in paragraphs 1196 to 1201 of this decision, it should be noted that Novartis Pharma SAS is in a situation of reiteration, which is not contested by Novartis.  </w:t>
        <w:br/>
        <w:t xml:space="preserve">1299. Consequently, it is appropriate to apply, in the circumstances of this case, an increase of 25% to the sanction imposed on Novartis Pharma, bringing it to an amount of 131,197,500 euros under grievance No. 2.  </w:t>
        <w:br/>
        <w:t xml:space="preserve">1300. Similarly, for the reasons mentioned in paragraphs 1199 and 1200 of this decision, it should be noted that Novartis AG and Novartis Groupe France SA are not in a situation of reiteration.  </w:t>
        <w:br/>
        <w:t xml:space="preserve">1301. It follows from the above that (i) the sanction imposed on Novartis under grievance No. 2 will be 131,197,500 euros and (ii) Novartis Pharma SAS will be solely responsible for the increase in the sanction imposed due to reiteration, corresponding to the following amount: 26,239,500 euros.  </w:t>
        <w:br/>
        <w:t xml:space="preserve">d) Conclusion on the amount of the financial sanction  </w:t>
        <w:br/>
        <w:t xml:space="preserve">1302. In view of the considerations that precede, the following sanctions should be imposed under grievance No. 2:  </w:t>
        <w:br/>
        <w:t xml:space="preserve">- regarding Novartis: a financial sanction of 131,197,500 euros, it being specified that (i) Novartis Pharma SAS will be solely responsible for this sanction in the amount of 26,239,500 euros, and (ii) Novartis Pharma SAS, Novartis AG, and Novartis Groupe France SA will be jointly and severally responsible for this sanction in the amount of 104,958,000 euros.  </w:t>
        <w:br/>
        <w:t xml:space="preserve">- regarding Roche / Genentech: a financial sanction of 59,748,726 euros, it being specified that (i) Genentech will be responsible for this sanction, as an author, in the amount of 26,886,927 euros, and (ii) Roche Holding AG will be held, as the parent company of Roche and Genentech, jointly and severally responsible for the entirety of the sanction imposed under grievance No. 2.  </w:t>
        <w:br/>
        <w:t xml:space="preserve">e) On the legal maximum  </w:t>
        <w:br/>
        <w:t xml:space="preserve">1303. The Authority recalled in paragraph 1203 of this decision the conditions for assessing the legal maximum.  </w:t>
        <w:br/>
        <w:t xml:space="preserve">Regarding the Novartis group  </w:t>
        <w:br/>
        <w:t xml:space="preserve">1304. For the reasons mentioned in paragraph 1204 of this decision, there is no need to modify the amount of the financial sanction retained under grievance No. 2.  </w:t>
        <w:br/>
        <w:t xml:space="preserve">Regarding the Roche group  </w:t>
        <w:br/>
        <w:t xml:space="preserve">1305. The highest known consolidated worldwide turnover excluding taxes achieved by the Roche group was 63,751 million CHF as of December 31, 2019, or approximately 57,325 million euros.  </w:t>
        <w:br/>
        <w:t>1306. The amount of the sanction previously retained being less than 10% of this figure, there is no need to modify it.</w:t>
      </w:r>
    </w:p>
    <w:p>
      <w:r>
        <w:rPr>
          <w:b/>
        </w:rPr>
        <w:t>[Pages 205–205]</w:t>
      </w:r>
    </w:p>
    <w:p>
      <w:r>
        <w:t xml:space="preserve">DECISION  </w:t>
        <w:br/>
        <w:t xml:space="preserve">Article 1: It is established that the companies Novartis Pharma SAS and Novartis AG, as authors of the practices, and the companies Novartis Groupe France SA and Novartis AG, in their capacities as parent companies, have violated the provisions of Article L. 420-2 of the Commercial Code as well as those of Article 102 of the Treaty on the Functioning of the European Union, by implementing a practice of disparagement of Avastin in the French markets for the treatment of exudative AMD by anti-VEGF and other ocular indications (OMD, OBVR, OVCR or visual impairment due to NVC) treated by anti-VEGF, combining the city and the hospital.  </w:t>
        <w:br/>
        <w:t xml:space="preserve">Article 2: It is established that the companies Novartis Pharma SAS, Novartis AG, Roche SAS, and Genentech Inc., as authors of the practices, and the companies Novartis Groupe France SA, Novartis AG, and Roche Holding AG, in their capacities as parent companies, have violated the provisions of Article L. 420-2 of the Commercial Code as well as those of Article 102 of the Treaty on the Functioning of the European Union, by disseminating an alarmist, even misleading, discourse to public authorities regarding the risks associated with the use of Avastin in the French markets for the treatment of exudative AMD by anti-VEGF and other ocular indications (OMD, OBVR, OVCR or visual impairment due to NVC) treated by anti-VEGF, combining the city and the hospital.  </w:t>
        <w:br/>
        <w:t xml:space="preserve">Article 3: By virtue of the practice referred to in Article 1, a financial penalty of 253,905,750 euros is imposed jointly and severally on the companies Novartis Pharma SAS, Novartis AG, and Novartis Groupe France SA, under the conditions set out in paragraph 1202 of this decision.  </w:t>
        <w:br/>
        <w:t xml:space="preserve">Article 4: The following financial penalties are imposed for the practice referred to in Article 2:  </w:t>
        <w:br/>
        <w:t xml:space="preserve">- 131,197,500 euros, jointly and severally on the companies Novartis Pharma SAS, Novartis AG, and Novartis Groupe France SA under the conditions set out in paragraph 1302 of this decision;  </w:t>
        <w:br/>
        <w:t xml:space="preserve">- 59,748,726 euros, jointly and severally on the companies Roche, Genentech Inc., and Roche Holding AG, under the conditions set out in paragraph 1302 of this decision.  </w:t>
        <w:br/>
        <w:t xml:space="preserve">Deliberated on the oral report of Mr. Alexis Brunelle, rapporteur, and the intervention of Mr. Umberto Berkani, deputy general rapporteur, by Mrs. Isabelle de Silva, president, Mrs. Fabienne Siredey-Garnier, vice-president, Mrs. Laurence Borrel-Prat, Mr. Savinien Grignon-Dumoulin, Mr. Jean-Yves Mano, and Mr. Christophe Strassel, members.  </w:t>
        <w:br/>
        <w:t xml:space="preserve">The session secretary, The president,  </w:t>
        <w:br/>
        <w:t xml:space="preserve">Armelle Hillion 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