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https://www.autoritedelaconcurrence.fr/fr/decision/relative-des-pratiques-mises-en-oeuvre-dans-le-secteur-du-transport-de-voyageurs</w:t>
      </w:r>
    </w:p>
    <w:p>
      <w:r>
        <w:t>Pages translated : 39</w:t>
      </w:r>
    </w:p>
    <w:p/>
    <w:p>
      <w:r>
        <w:rPr>
          <w:b/>
        </w:rPr>
        <w:t>[Pages 1–3]</w:t>
      </w:r>
    </w:p>
    <w:p>
      <w:r>
        <w:t xml:space="preserve">FRENCH REPUBLIC  </w:t>
        <w:br/>
        <w:t xml:space="preserve">Decision No. 17-D-08 of June 1, 2017  </w:t>
        <w:br/>
        <w:t>regarding practices implemented in the passenger transport sector</w:t>
      </w:r>
    </w:p>
    <w:p>
      <w:r>
        <w:t xml:space="preserve">The Competition Authority (section II),  </w:t>
        <w:br/>
        <w:t xml:space="preserve">Having regard to the referral registered on November 18, 2016 under numbers 16/0098 F and 16/0099 M by which the company Transdev Group referred to the Competition Authority practices implemented in the passenger transport sector and requested the issuance of interim measures;  </w:t>
        <w:br/>
        <w:t xml:space="preserve">Having regard to Article 102 of the Treaty on the Functioning of the European Union;  </w:t>
        <w:br/>
        <w:t xml:space="preserve">Having regard to Book IV of the amended Commercial Code;  </w:t>
        <w:br/>
        <w:t xml:space="preserve">Having regard to the Transport Code;  </w:t>
        <w:br/>
        <w:t xml:space="preserve">Having regard to the opinion of the Regulatory Authority for Rail and Road Activities (ARAFER) No. 2017-004 of January 18, 2017 issued on the basis of the provisions of Article R. 463-9 of the Commercial Code;  </w:t>
        <w:br/>
        <w:t xml:space="preserve">Having regard to the business secrecy decisions No. 17-DSA-065 of February 13, 2017, No. 17-DSA-075 of February 16, 2017, No. 17-DSA-083 of February 20, 2017, No. 17-DSA-088 of February 27, 2017, No. 16-DSA-398 of November 30, 2016, No. 17-DSA-017 of January 13, 2017, No. 17-DSA-023 of January 18, 2017, No. 17-DSA-024 of January 18, 2017, No. 17-DSA-025 of January 19, 2017, No. 17-DSA-027 of January 23, 2017, No. 17-DSA-028 of January 24, 2017, No. 17-DSA-044 of January 27, 2017, No. 17-DSA-104 of March 9, 2017, No. 17-DSA-113 of March 14, 2017, No. 17-DEC-125 of March 22, 2017, No. 17-DECR-127 of March 23, 2017, No. 17-DEC-132 of March 24, 2017;  </w:t>
        <w:br/>
        <w:t xml:space="preserve">Having regard to the observations submitted by the companies Transdev Group and SNCF;  </w:t>
        <w:br/>
        <w:t xml:space="preserve">Having regard to the other documents in the file;  </w:t>
        <w:br/>
        <w:t xml:space="preserve">The rapporteurs, the deputy general rapporteur, the Government Commissioner, and the representatives of the companies Transdev Group and SNCF, heard during the session of the Competition Authority on March 28, 2017;  </w:t>
        <w:br/>
        <w:t xml:space="preserve">The representatives of ARAFER heard on the basis of the provisions of the second paragraph of Article L. 463-7 of the Commercial Code;  </w:t>
        <w:br/>
        <w:t>Adopts the following decision:</w:t>
      </w:r>
    </w:p>
    <w:p>
      <w:r>
        <w:t xml:space="preserve">Summary1:  </w:t>
        <w:br/>
        <w:t xml:space="preserve">The company Transdev Group referred to the Authority a set of practices implemented by SNCF which, according to the referrer, aim to strengthen the competitive position of its subsidiary Ouibus in the intercity coach transport market by using the means of the rail monopoly.  </w:t>
        <w:br/>
        <w:t xml:space="preserve">According to Transdev, SNCF would "massively and abnormally" subsidize its regular intercity coach transport activity. These subsidies would be used by Ouibus to practice predatory pricing and establish abnormal commercial practices. Transdev also considers that SNCF is abusively benefiting Ouibus from its notoriety and brand image.  </w:t>
        <w:br/>
        <w:t xml:space="preserve">Transdev also filed, in addition to its referral, a request for interim measures aimed at immediately ceasing the alleged behaviors.  </w:t>
        <w:br/>
        <w:t xml:space="preserve">However, after analyzing the elements provided by Transdev, it appears that its referral is devoid of any probative element. In particular, the prices charged by Ouibus, which are not the lowest on the market, do not correspond to an abnormal pricing strategy. Furthermore, the profitability prospects of Ouibus, within the framework of an emerging market, do not appear unreasonable at this stage. Moreover, no element allows us to consider that Ouibus has benefited from a competitive advantage likely to disrupt the functioning of the market due to its affiliation with the SNCF group.  </w:t>
        <w:br/>
        <w:t xml:space="preserve">The referral and the request for interim measures from Transdev are therefore dismissed.  </w:t>
        <w:br/>
        <w:t>1 This summary is strictly informative. Only the reasons for the decision numbered below are authoritative.</w:t>
      </w:r>
    </w:p>
    <w:p>
      <w:r>
        <w:t xml:space="preserve">TABLE OF CONTENTS  </w:t>
        <w:br/>
        <w:t xml:space="preserve">I. FINDINGS .................................................................................................................. 5  </w:t>
        <w:br/>
        <w:t xml:space="preserve">A. THE REFERRAL ....................................................................................................... 5  </w:t>
        <w:br/>
        <w:t xml:space="preserve">B. THE COMPANIES CONCERNED BY THE REFERRAL ................................................ 5  </w:t>
        <w:br/>
        <w:t xml:space="preserve">1. The Transdev Group .............................................................................................. 5  </w:t>
        <w:br/>
        <w:t xml:space="preserve">2. The SNCF Group .................................................................................................... 6  </w:t>
        <w:br/>
        <w:t xml:space="preserve">3. Other companies in the sector ............................................................................... 7  </w:t>
        <w:br/>
        <w:t xml:space="preserve">Flixbus ................................................................................................................... 7  </w:t>
        <w:br/>
        <w:t xml:space="preserve">Starshipper ............................................................................................................ 7  </w:t>
        <w:br/>
        <w:t xml:space="preserve">Megabus ................................................................................................................ 8  </w:t>
        <w:br/>
        <w:t xml:space="preserve">C. THE MARKETS CONCERNED .................................................................................. 8  </w:t>
        <w:br/>
        <w:t xml:space="preserve">1. The rail passenger transport market .................................................................... 8  </w:t>
        <w:br/>
        <w:t xml:space="preserve">a) European regulatory framework ......................................................................... 8  </w:t>
        <w:br/>
        <w:t xml:space="preserve">b) National regulatory framework .......................................................................... 9  </w:t>
        <w:br/>
        <w:t xml:space="preserve">2. The market for freely organized intercity coach transport .................................. 9  </w:t>
        <w:br/>
        <w:t xml:space="preserve">a) The regulatory framework .................................................................................. 9  </w:t>
        <w:br/>
        <w:t xml:space="preserve">b) The functioning of the freely organized intercity coach transport market ........ 10  </w:t>
        <w:br/>
        <w:t xml:space="preserve">The different business models implemented by operators ................................. 10  </w:t>
        <w:br/>
        <w:t xml:space="preserve">Intermodal competition ....................................................................................... 10  </w:t>
        <w:br/>
        <w:t xml:space="preserve">Barriers to entry ................................................................................................... 12  </w:t>
        <w:br/>
        <w:t xml:space="preserve">c) The development of the market in France since August 2015 ......................... 13  </w:t>
        <w:br/>
        <w:t xml:space="preserve">D. THE REPORTED PRACTICES .................................................................................. 14  </w:t>
        <w:br/>
        <w:t xml:space="preserve">E. THE REQUEST FOR INTERIM MEASURES .............................................................. 14  </w:t>
        <w:br/>
        <w:t xml:space="preserve">II. DISCUSSION ........................................................................................................... 15  </w:t>
        <w:br/>
        <w:t xml:space="preserve">A. ON THE APPLICABILITY OF EUROPEAN UNION LAW ........................................... 15  </w:t>
        <w:br/>
        <w:t xml:space="preserve">B. ON THE MARKETS CONCERNED ............................................................................. 16  </w:t>
        <w:br/>
        <w:t xml:space="preserve">1. The rail passenger transport market ................................................................... 16  </w:t>
        <w:br/>
        <w:t xml:space="preserve">2. The market for freely organized intercity coach transport .................................. 16  </w:t>
        <w:br/>
        <w:t xml:space="preserve">C. ON THE EXISTENCE OF A DOMINANT POSITION OF SNCF ................................. 17  </w:t>
        <w:br/>
        <w:t xml:space="preserve">1. In the rail transport market ................................................................................ 17  </w:t>
        <w:br/>
        <w:t xml:space="preserve">2. In the intercity coach transport market ............................................................... 17  </w:t>
        <w:br/>
        <w:t xml:space="preserve">D. ON THE REPORTED PRACTICES ............................................................................. 18  </w:t>
        <w:br/>
        <w:t xml:space="preserve">1. As a preliminary point, on the possibility of characterizing an abuse from the monopoly market to the competitive market ................................................................. 19  </w:t>
        <w:br/>
        <w:t>3</w:t>
      </w:r>
    </w:p>
    <w:p>
      <w:r>
        <w:rPr>
          <w:b/>
        </w:rPr>
        <w:t>[Pages 4–6]</w:t>
      </w:r>
    </w:p>
    <w:p>
      <w:r>
        <w:t xml:space="preserve">2. On the practices of "massive and abnormal" subsidies for regular intercity coach transport .................................................................................. 20  </w:t>
        <w:br/>
        <w:t xml:space="preserve">a) The practices reported by Transdev ................................................................ 20  </w:t>
        <w:br/>
        <w:t xml:space="preserve">b) Analysis by the Authority ............................................................................... 20  </w:t>
        <w:br/>
        <w:t xml:space="preserve">3. On the pricing and commercial practices of Ouibus ........................................ 21  </w:t>
        <w:br/>
        <w:t xml:space="preserve">a) The practices reported by Transdev ................................................................ 21  </w:t>
        <w:br/>
        <w:t xml:space="preserve">b) The principles applicable to the examination of the practices reported by Transdev .... 21  </w:t>
        <w:br/>
        <w:t xml:space="preserve">The notion of abuse of dominant position ............................................................. 21  </w:t>
        <w:br/>
        <w:t xml:space="preserve">The analytical framework for predatory or exclusionary pricing practices ............. 22  </w:t>
        <w:br/>
        <w:t xml:space="preserve">c) Analysis of the reported practices .................................................................... 24  </w:t>
        <w:br/>
        <w:t xml:space="preserve">Analysis of the profitability prospects of Ouibus ................................................ 24  </w:t>
        <w:br/>
        <w:t xml:space="preserve">Analysis of the pricing policy of Ouibus and other reported commercial practices ............................................................................................................. 28  </w:t>
        <w:br/>
        <w:t xml:space="preserve">d) Conclusion on the alleged pricing and commercial practices .......................... 30  </w:t>
        <w:br/>
        <w:t xml:space="preserve">4. On coupling practices ....................................................................................... 31  </w:t>
        <w:br/>
        <w:t xml:space="preserve">a) The facts reported by Transdev ....................................................................... 31  </w:t>
        <w:br/>
        <w:t xml:space="preserve">b) The applicable principles ................................................................................ 31  </w:t>
        <w:br/>
        <w:t xml:space="preserve">c) Case-specific analysis ...................................................................................... 32  </w:t>
        <w:br/>
        <w:t xml:space="preserve">5. On the abusive use of SNCF resources ............................................................. 32  </w:t>
        <w:br/>
        <w:t xml:space="preserve">a) The facts reported by Transdev ....................................................................... 32  </w:t>
        <w:br/>
        <w:t xml:space="preserve">b) The applicable principles ................................................................................ 33  </w:t>
        <w:br/>
        <w:t xml:space="preserve">On the use of a monopoly's resources ................................................................. 33  </w:t>
        <w:br/>
        <w:t xml:space="preserve">On the use of the brand image and reputation of an operator holding a legal monopoly in a related market ................................................................. 34  </w:t>
        <w:br/>
        <w:t xml:space="preserve">c) Case-specific analysis ...................................................................................... 34  </w:t>
        <w:br/>
        <w:t xml:space="preserve">On the use of SNCF resources ........................................................................... 35  </w:t>
        <w:br/>
        <w:t xml:space="preserve">On the use of the reputation and brand image of SNCF ................................. 37  </w:t>
        <w:br/>
        <w:t xml:space="preserve">d) Conclusion on the alleged abusive use of SNCF resources .......................... 38  </w:t>
        <w:br/>
        <w:t xml:space="preserve">III. CONCLUSION ...................................................................................................... 38  </w:t>
        <w:br/>
        <w:t>DECISION .................................................................................................................. 39</w:t>
      </w:r>
    </w:p>
    <w:p>
      <w:r>
        <w:t xml:space="preserve">I. Findings  </w:t>
        <w:br/>
        <w:t xml:space="preserve">A. THE REFERRAL  </w:t>
        <w:br/>
        <w:t xml:space="preserve">1. By letter registered on November 18, 2016, under number 16/0098F, the Competition Authority (hereinafter "the Authority") was seized of a complaint from Transdev Group regarding practices implemented by the SNCF group and more specifically by the public industrial and commercial establishment Société Nationale des Chemins de Fer Français SNCF (hereinafter "SNCF"), the public industrial and commercial establishment SNCF Mobilités (hereinafter "SNCF Mobilités") and its subsidiaries SNCF VOYAGES DEVELOPPEMENT (hereinafter "SVD") and SNCF-C6 (hereinafter "Ouibus") in the passenger transport sector.  </w:t>
        <w:br/>
        <w:t xml:space="preserve">2. The reported practices concern abuses of the dominant position held by SNCF in the national passenger rail transport market, aimed at excluding its competitors in the emerging market of freely organized intercity coach transport (i.e., not contracted by transport organizing authorities). According to Transdev Group, SNCF would engage in cross-subsidization between its competitive activities and its monopoly activities. Transdev Group also denounces a practice of predation or exclusion, a practice of abusive use of the brand image and reputation of SNCF, and finally a practice of coupling between the monopoly rail transport offer and the intercity coach transport offer.  </w:t>
        <w:br/>
        <w:t xml:space="preserve">3. Incidentally to the referral on the merits, Transdev Group requested the issuance of interim measures based on Article L. 464-1 of the Commercial Code. This request was registered on November 18, 2016, under number 16/0099 M.  </w:t>
        <w:br/>
        <w:t xml:space="preserve">4. Pursuant to the provisions of Article L. 2135-13 of the Transport Code, ARAFER was consulted for an opinion on December 2, 2016. This opinion was transmitted on January 17, 2017.  </w:t>
        <w:br/>
        <w:t xml:space="preserve">5. A contradictory session before the Authority was held on March 28, 2017.  </w:t>
        <w:br/>
        <w:t xml:space="preserve">B. THE COMPANIES INVOLVED IN THE REFERRAL  </w:t>
        <w:br/>
        <w:t xml:space="preserve">1. THE TRANSDEV GROUP  </w:t>
        <w:br/>
        <w:t xml:space="preserve">6. Transdev Group (hereinafter "Transdev") is a French public limited company exclusively controlled by the Caisse des dépôts et consignations, which holds 60% of the capital. Veolia Environnement holds the remaining 40%. Transdev is a multimodal transport operator that develops rail activities (except in France) and manages tram, metro, bus, coach, taxi, ferry, and other transport services (soft modes, on-demand transport, etc.).  </w:t>
        <w:br/>
        <w:t xml:space="preserve">7. Transdev presents itself as "one of the world leaders in mobility. Drawing on its experience in all modes of transport, it engages with local authorities and mobilizes all the resources of a large group in the service of the territories where it operates." Transdev claims to manage 13 different modes of transport in 19 countries. It employs 83,000 people and operates 43,000 vehicles.  </w:t>
        <w:br/>
        <w:t>8. In France, Transdev is a major operator of conventional urban and intercity transport.</w:t>
      </w:r>
    </w:p>
    <w:p>
      <w:r>
        <w:t xml:space="preserve">9. Transdev also develops an intercity coach transport activity freely organized through its subsidiary Transdev Eurolines, a holding company that operates the Eurolines brands in France on international routes from and/or to France (including cabotage) and under the Isilines brand since August 2015 on domestic French routes.  </w:t>
        <w:br/>
        <w:t xml:space="preserve">10. Transdev achieved a global turnover of 6.6 billion euros in 2015, of which 38% was in France. The group's net profit for the same year was 84.8 million euros.  </w:t>
        <w:br/>
        <w:t xml:space="preserve">11. For its part, Transdev Eurolines achieved a turnover of 38.2 million euros in 2015 (for all its activities), with an operating loss of 9 million euros (reference 452).  </w:t>
        <w:br/>
        <w:t xml:space="preserve">2. THE SNCF GROUP  </w:t>
        <w:br/>
        <w:t xml:space="preserve">12. Pursuant to Law No. 2014-872 of August 4, 2014, on railway reform, the public railway group (hereinafter "GPF") has been divided since July 1, 2015, into 3 public industrial and commercial establishments (hereinafter "EPIC"):  </w:t>
        <w:br/>
        <w:t xml:space="preserve">- the EPIC SNCF, which ensures strategic control and management, economic coherence, industrial integration, and social unity of the whole;  </w:t>
        <w:br/>
        <w:t xml:space="preserve">- the EPIC SNCF Réseau, which encompasses the functions of infrastructure manager of the national rail network;  </w:t>
        <w:br/>
        <w:t xml:space="preserve">- the EPIC SNCF Mobilités (hereinafter "SNCF Mobilités"), which carries out all activities related to the operation of transport services.  </w:t>
        <w:br/>
        <w:t xml:space="preserve">13. SNCF Mobilités is responsible for the operation of rail transport services on the national and international rail network and the transparent and non-discriminatory management of passenger stations (Art. L. 2141-1 of the Transport Code).  </w:t>
        <w:br/>
        <w:t xml:space="preserve">14. SNCF Mobilités is also authorized to carry out activities that are directly or indirectly related to its main area of activity. To this end, it may create subsidiaries or take stakes in companies, groups, or organizations with an object related or complementary to its own (Art. L. 2141-4 of the Transport Code). It heads a significant group of companies through its financial holding SNCF PARTICIPATIONS, of which 99.99% of the capital is held by SNCF Mobilités (reference 1321).  </w:t>
        <w:br/>
        <w:t xml:space="preserve">15. SNCF Mobilités is divided into different branches of activity:  </w:t>
        <w:br/>
        <w:t xml:space="preserve">- SNCF Voyageurs encompasses mobility activities mainly related to passenger rail transport: primarily, the conventional rail activities (Intercités, Transilien, and TER), and secondarily, other passenger transport activities (notably TGV, Eurostar, and distribution activities with voyages-sncf.com) and finally, station management (Gare et Connexion);  </w:t>
        <w:br/>
        <w:t xml:space="preserve">- SNCF Logistics encompasses logistics and freight transport activities;  </w:t>
        <w:br/>
        <w:t xml:space="preserve">- Keolis is present in various public passenger transport markets in France and worldwide. Keolis operates and maintains, on behalf of 300 transport organizing authorities ("AOT"), urban, peri-urban, and intercity networks.  </w:t>
        <w:br/>
        <w:t>16. Within the SNCF Voyageurs branch, the "Voyages SNCF" activity encompasses activities directly related to the EPIC (mainly TGV) and diversification subsidiaries.</w:t>
      </w:r>
    </w:p>
    <w:p>
      <w:r>
        <w:rPr>
          <w:b/>
        </w:rPr>
        <w:t>[Pages 7–9]</w:t>
      </w:r>
    </w:p>
    <w:p>
      <w:r>
        <w:t xml:space="preserve">concerning international rail transport open to competition, intercity coach transport (Ouibus), carpooling (IDvroom), or distribution (voyages-sncf.com).  </w:t>
        <w:br/>
        <w:t xml:space="preserve">17. The subsidiaries and holdings of the "Voyages SNCF" activity are held by the company SNCF Voyages Développement (hereinafter "SVD"), which is itself owned by SNCF Participations.  </w:t>
        <w:br/>
        <w:t xml:space="preserve">18. In 2015, SNCF achieved a global turnover of 31.4 billion euros and reported a positive net profit of 377 million euros.  </w:t>
        <w:br/>
        <w:t xml:space="preserve">19. Since 2011, SNCF-C6, a simplified joint-stock company wholly owned by SVD, has developed a coach transport activity, initially on international routes and cabotage under the "IDbus" brand, and since August 2015 on the domestic market. SNCF-C6 has abandoned the IDbus brand and has been operating all its routes under the "Ouibus" brand since 2015. In 2015, Ouibus generated a turnover of [20-30] million euros for its entire coach transport activity (international and domestic routes) (reference 10166). The losses from the domestic activity alone amounted to [10-20] million euros (reference 10171).  </w:t>
        <w:br/>
        <w:t xml:space="preserve">20. For 2016 in the domestic market, Ouibus estimates its turnover at [20-30] million euros with a negative EBITDA of -[20-30] million euros (reference 10182).  </w:t>
        <w:br/>
        <w:t xml:space="preserve">3. OTHER COMPANIES IN THE SECTOR  </w:t>
        <w:br/>
        <w:t xml:space="preserve">Flixbus  </w:t>
        <w:br/>
        <w:t xml:space="preserve">21. Flixbus is a company established in Germany in 2013 with the opening of this market. In 2015, it merged with the German operator Meinfernbus. Flixbus quickly expanded into other European markets and created Flixbus France in June 2015. Flixbus presents itself as a "tech start-up" (reference 3594) and has chosen not to manage the entire value chain of the coach transport activity, but to focus on network planning, marketing and communication, and the development of IT infrastructure. It delegates the operation of coach routes to locally established SMEs with which it signs "partnership" contracts.  </w:t>
        <w:br/>
        <w:t xml:space="preserve">22. Flixbus has been the leader in the French domestic market since the second quarter of 2016. Flixbus was also still in deficit in 2016 but declared that it was close to breakeven, which could be achieved as early as mid-2017 (reference 10102).  </w:t>
        <w:br/>
        <w:t xml:space="preserve">Starshipper  </w:t>
        <w:br/>
        <w:t xml:space="preserve">23. The "Starshipper" brand was launched in the French market by members of the independent coach operators network "Réunir." Members had the opportunity to launch routes relying on a common brand and a shared booking website.  </w:t>
        <w:br/>
        <w:t xml:space="preserve">24. On July 24, 2016, Starshipper approached Ouibus by acquiring a stake in this company (4.99% of Ouibus's capital) and entering into a Master Franchise agreement for a duration of 10 years. Under this agreement, members of the Starshipper network now operate their routes under the Ouibus brand but remain free in their pricing policy and network development (reference 10151).  </w:t>
        <w:br/>
        <w:t xml:space="preserve">Megabus  </w:t>
        <w:br/>
        <w:t xml:space="preserve">25. The Stagecoach Group is an international group specializing in public road and rail transport in the UK, continental Europe, and North America.  </w:t>
        <w:br/>
        <w:t xml:space="preserve">26. In 2003, Stagecoach launched megabus.com in the UK, a low-cost long-distance coach transport service with online ticket sales. In 2012, megabus.com began to expand its activities to cross-Channel transport and notably offered cabotage services in France.  </w:t>
        <w:br/>
        <w:t xml:space="preserve">27. From August 2015, megabus.com offered 13 interregional routes in France primarily from Paris and ceased its cabotage activity. The routes were operated directly by megabus.com.  </w:t>
        <w:br/>
        <w:t xml:space="preserve">28. In July 2016, the Stagecoach Group decided to sell the brand and commercial activity (i.e., the booking platform) of megabus.com to Flixbus. Megabus.com became a subcontractor for Flixbus on the routes it operated. However, on August 31, 2016, Flixbus informed Stagecoach of its intention to no longer use the services of megabus.com.  </w:t>
        <w:br/>
        <w:t xml:space="preserve">C. RELEVANT MARKETS  </w:t>
        <w:br/>
        <w:t xml:space="preserve">29. Public transport in France is organized by Law No. 82-1153 of December 30, 1982, on the orientation of internal transport (known as "LOTI"). This law established a general framework for the organization of public transport services and assigns this mission to the State, local authorities, and their public establishments. This framework is now codified, for its legislative part, in the Transport Code (Ordinance No. 2010-1307 of October 28, 2010).  </w:t>
        <w:br/>
        <w:t xml:space="preserve">30. The present referral concerns passenger rail transport (1) as well as freely organized intercity coach transport (2).  </w:t>
        <w:br/>
        <w:t xml:space="preserve">1. PASSENGER RAIL TRANSPORT  </w:t>
        <w:br/>
        <w:t xml:space="preserve">a) European regulatory framework  </w:t>
        <w:br/>
        <w:t xml:space="preserve">31. International passenger rail transport was opened to competition on December 13, 2009. Cross-border connections are accompanied by a right of "cabotage," meaning the possibility of serving foreign stations located along the train's route. This right can be exercised on the condition that the main purpose of the service is the transport of passengers between stations located in different member states. It may also be limited by the competent authority in the event that the service compromises the economic balance of a public service contract.  </w:t>
        <w:br/>
        <w:t xml:space="preserve">32. Regulation (EC) No. 1370/2007 of the European Parliament and of the Council of October 23, 2007, concerning public passenger transport services by rail and road, known as the "PSO Regulation," which came into force on December 3, 2009, states the principle of subjecting the awarding of public service contracts for passenger transport by rail and road to European competition rules, particularly for local public passenger transport services, and this no later than December 3, 2019. However, this regulation has retained a measured application of the principle of competition, taking into account the inherent requirements of public service and reserves the possibility of direct award of public service contracts in certain expressly mentioned cases (Article 5). This particularly concerns rail services whose economic balance cannot be ensured without public support, such as certain regional rail services and certain long-distance rail services.  </w:t>
        <w:br/>
        <w:t xml:space="preserve">33. In the context of the application of the fourth railway package, the SNCF's rail monopoly could be challenged by 2020 for commercial trains (TGV) and by 2023 for TER and Intercités.  </w:t>
        <w:br/>
        <w:t xml:space="preserve">b) National regulatory framework  </w:t>
        <w:br/>
        <w:t xml:space="preserve">34. SNCF holds the public monopoly on passenger rail transport in France. Indeed, it is notably tasked, under Article L. 2141-1 of the Transport Code, "to operate, according to the principles of public service, passenger rail transport services on the national rail network." It must also "manage, transparently and non-discriminatorily, passenger stations." A specifications document, approved by decree in the Council of State, sets out its rights and obligations, the terms of its operation, rules for harmonizing operating conditions, and the conditions for executing public service. It defines its operating balance (Article L. 2141-3). A planning contract with the State "determines the objectives assigned to the company and the group within the framework of national planning and the means to be implemented to achieve them" (Article L. 2141-3).  </w:t>
        <w:br/>
        <w:t xml:space="preserve">2. THE MARKET FOR FREELY ORGANIZED INTERCITY COACH TRANSPORT  </w:t>
        <w:br/>
        <w:t xml:space="preserve">a) The regulatory framework  </w:t>
        <w:br/>
        <w:t xml:space="preserve">35. Until 2011, the only interregional coach transport services that could be operated in France were services contracted by transport organizing authorities (hereinafter "AOT").  </w:t>
        <w:br/>
        <w:t xml:space="preserve">36. Law No. 2009-1503 of December 8, 2009, relating to the organization and regulation of rail transport opened up the possibility for coaches to carry passengers between two points on national territory as part of regular international services ("cabotage") starting in 2011.  </w:t>
        <w:br/>
        <w:t xml:space="preserve">37. Law No. 2015-990 known as the "Macron Law" of August 6, 2015, for growth, activity, and economic equality of opportunity liberalized the domestic market for regular intercity coach transport for any connection over 100 kilometers.  </w:t>
        <w:br/>
        <w:t>38. Regarding connections between two stops less than 100 kilometers apart, the law provides for the possibility for an AOT to refer to ARAFER to limit or prohibit a service project that would substantially harm the economic balance of the existing public service (TER, territorial equilibrium trains, departmental lines). ARAFER is also responsible for regulating access to bus stations. It collects information from coach transport operators that allows it to regularly monitor the development of domestic transport activity.</w:t>
      </w:r>
    </w:p>
    <w:p>
      <w:r>
        <w:rPr>
          <w:b/>
        </w:rPr>
        <w:t>[Pages 10–12]</w:t>
      </w:r>
    </w:p>
    <w:p>
      <w:r>
        <w:t>market sans un réseau suffisamment dense. » (reference 10181).</w:t>
      </w:r>
    </w:p>
    <w:p>
      <w:r>
        <w:t>62. En outre, l’Autorité a souligné que la nécessité de disposer d’un réseau dense et de fréquences élevées est également liée à la nécessité d’attirer les clients, qui recherchent des options de transport pratiques et accessibles.</w:t>
      </w:r>
    </w:p>
    <w:p>
      <w:r>
        <w:t>63. Enfin, il convient de noter que la réglementation en matière de transport interurbain par autocar impose également des exigences en matière de sécurité et de conformité, ce qui peut représenter un coût supplémentaire pour les nouveaux entrants sur le marché.</w:t>
      </w:r>
    </w:p>
    <w:p>
      <w:r>
        <w:rPr>
          <w:b/>
        </w:rPr>
        <w:t>[Pages 13–15]</w:t>
      </w:r>
    </w:p>
    <w:p>
      <w:r>
        <w:t xml:space="preserve">61. Thus, Megabus and Starshipper, which only offered a limited coverage of the territory, chose to exit the market or to ally with another operator in the summer of 2016. Flixbus stated in this regard: "Starshipper is for us the illustration of the difficulty of remaining in the market by offering a limited offer. [...] Flixbus believes that in the long term, it will be difficult for operators to remain in the market without offering a European network." (reference 3604).  </w:t>
        <w:br/>
        <w:t xml:space="preserve">62. However, the necessity to quickly offer an extensive and interconnected network is likely to involve short-term operating losses for operators, while they attract a sufficient clientele to improve occupancy rates. Given the elements in the file, this characteristic of the market seems likely to hinder the entry of new operators.  </w:t>
        <w:br/>
        <w:t xml:space="preserve">c) The development of the market in France since August 2015  </w:t>
        <w:br/>
        <w:t xml:space="preserve">63. Based on the quarterly observatories published by ARAFER, it is possible to summarize the evolution of the intercity coach transport market between August 2015 and the end of 2016.  </w:t>
        <w:br/>
        <w:t xml:space="preserve">64. First, the intercity coach transport market developed rapidly, increasing from 770,000 passengers transported at the end of 2015 to 1.56 million in the 4th quarter of 2016. In total, 6.91 million passengers have been transported since the market opened.  </w:t>
        <w:br/>
        <w:t xml:space="preserve">65. At the same time, the turnover of all operators increased by a little over 2.5 times, rising from 9.3 million euros at the end of 2015 to 24.3 million euros at the end of 2016. Over the entire period, operators achieved a total turnover of 92.25 million euros.  </w:t>
        <w:br/>
        <w:t xml:space="preserve">66. Secondly, the offer in terms of destinations developed rapidly, increasing from 136 cities served to 180 for all operators. The number of connections (corresponding to an origin-destination pair) increased by more than 40% (from 689 to 985 marketed connections). The number of daily departures also increased by more than 20% in 2016.  </w:t>
        <w:br/>
        <w:t xml:space="preserve">67. Thirdly, the average revenue per passenger per 100 km, which had been established at 3.2-3.3 euros until the 1st quarter of 2016, improved to reach 4.7 euros in the 4th quarter of 2016, representing an increase of over 45%.  </w:t>
        <w:br/>
        <w:t xml:space="preserve">68. This increase in average revenue is partly attributable to the improvement in the occupancy rate of coaches observed in the market, which rose from about 30% at the end of 2015 to 46.6% in the 3rd quarter of 2016. This improvement resulted from the increase in the number of passengers and a rationalization of the offer carried out by most operators. Nevertheless, in the 4th quarter of 2016, the occupancy rate deteriorated again (36.1%) due in particular to a seasonal decline in demand. However, the average revenue continued to increase significantly, indicating a strong upward trend in the prices charged by operators.  </w:t>
        <w:br/>
        <w:t xml:space="preserve">69. Finally, operators have developed highly differentiated networks in that only 30% of the connections offered are provided by at least two operators. However, these connections account for more than 80% of the passengers transported. Competition therefore occurs on the most frequented connections.  </w:t>
        <w:br/>
        <w:t xml:space="preserve">70. In terms of development prospects, the elements in the file show that SNCF is counting, based on foreign experiences, on a doubling of traffic in 2017 and a quadrupling by 2020 (approximately 20 million travelers) (reference 10147), and thus on a future market of approximately 21-22 million travelers per year. It also envisions, by 2020, a market representing [300-350] million euros in turnover (reference 10171). It further anticipates a price increase of 8 to 15% in the short or medium term (reference 10149).  </w:t>
        <w:br/>
        <w:t xml:space="preserve">71. These expectations seem to be generally shared by the various operators.  </w:t>
        <w:br/>
        <w:t xml:space="preserve">D. THE REPORTED PRACTICES  </w:t>
        <w:br/>
        <w:t xml:space="preserve">72. In its referral on the merits, Transdev denounces three types of practices that would have been committed by the SNCF group in the emerging market of freely organized intercity coach transport and which, according to it, would constitute a violation of Articles L. 420-2 of the Commercial Code and 102 of the TFEU (reference 493):  </w:t>
        <w:br/>
        <w:t xml:space="preserve">- Firstly, the SNCF group would be abusing its dominant position in the passenger rail transport market by using financial resources from its monopoly activities to "massively and abnormally" subsidize its regular intercity coach transport activity, which would distort the ongoing competitive consolidation process in this market;  </w:t>
        <w:br/>
        <w:t xml:space="preserve">- Secondly, the SNCF group would engage in predatory pricing and implement abnormal pricing and commercial practices, thanks to the cross-subsidies benefiting Ouibus;  </w:t>
        <w:br/>
        <w:t xml:space="preserve">- Thirdly, SNCF would benefit Ouibus from its notoriety and brand image, which would distort competition in an emerging market.  </w:t>
        <w:br/>
        <w:t xml:space="preserve">73. Finally, in its observations, Transdev denounces a coupling practice between its monopoly rail offer and its Ouibus intercity coach transport offer (references 8294 to 8301).  </w:t>
        <w:br/>
        <w:t xml:space="preserve">E. THE REQUEST FOR INTERIM MEASURES  </w:t>
        <w:br/>
        <w:t xml:space="preserve">74. Incidentally to its referral, Transdev requested the following interim measures (reference 515):  </w:t>
        <w:br/>
        <w:t xml:space="preserve">- "Order EPIC SNCF, EPIC SNCF MOBILITE, and SNCF VOYAGES DEVELOPPEMENT to immediately and without delay cease all financial flows to SNCF-C6, as well as any confusion of material and human resources in favor of the latter; and  </w:t>
        <w:br/>
        <w:t xml:space="preserve">- Order EPIC SNCF, EPIC SNCF MOBILITE, SNCF VOYAGES DEVELOPPEMENT, and SNCF-C6 to cease affixing the SNCF brand on OUIBUS coaches and to adopt a visual identity distinct from that of other subsidiaries active in passenger rail transport.  </w:t>
        <w:br/>
        <w:t xml:space="preserve">- Pending the execution of this measure, order EPIC SNCF, EPIC SNCF MOBILITE, SNCF VOYAGES DEVELOPPEMENT, and SNCF-C6 to cease any communication actions using the current visual identity of OUIBUS."  </w:t>
        <w:br/>
        <w:t xml:space="preserve">75. In its observations of February 13, 2017, Transdev also requests an "immediate cessation of the marketing of offers or packages 'all in one' coupling activities in the intercity coach transport market and the rail transport market, and the promotion of Ouibus services on the SNCF website and by all means of communication" (reference 8340).  </w:t>
        <w:br/>
        <w:t xml:space="preserve">II. Discussion  </w:t>
        <w:br/>
        <w:t xml:space="preserve">76. Article L. 462-8 of the Commercial Code provides that the Competition Authority may: "dismiss the referral by a reasoned decision when the alleged facts are not supported by sufficiently probative elements." Furthermore, Article R. 464-1 of the same code states that: "the request for interim measures mentioned in Article L. 464-1 can only be made incidentally to a referral on the merits to the Competition Authority."  </w:t>
        <w:br/>
        <w:t xml:space="preserve">77. The following developments will successively examine:  </w:t>
        <w:br/>
        <w:t xml:space="preserve">- the application of European law (A),  </w:t>
        <w:br/>
        <w:t xml:space="preserve">- the definition of the relevant markets (B),  </w:t>
        <w:br/>
        <w:t xml:space="preserve">- the position of SNCF in these markets (C),  </w:t>
        <w:br/>
        <w:t xml:space="preserve">- the existence of sufficiently probative elements supporting the alleged practices (D).  </w:t>
        <w:br/>
        <w:t xml:space="preserve">A. ON THE APPLICABILITY OF EUROPEAN UNION LAW  </w:t>
        <w:br/>
        <w:t xml:space="preserve">78. In its guidelines regarding the notion of affecting trade as set out in Articles 81 and 82 of the Treaty (OJ 2004, C 101, p. 81), the European Commission recalls that Articles 81 and 82 of the EC Treaty, now Articles 101 and 102 of the Treaty on the Functioning of the European Union (TFEU), apply to horizontal and vertical agreements and to abusive practices by companies that are "likely to affect trade between Member States," and this "significantly."  </w:t>
        <w:br/>
        <w:t xml:space="preserve">79. In this case, the reported practices, if proven, would cover the entire French territory. Furthermore, the company SNCF-C6 operating the Ouibus brand, included in the SNCF group, is active, according to the group's website, in 11 countries in Europe where it operates international coach transport lines. Abusive practices, if proven, could favor the development of the SNCF group in other markets, from its domestic activity, and make it more difficult for foreign competitors to penetrate the national market.  </w:t>
        <w:br/>
        <w:t>80. In light of the elements in the file, it is therefore appropriate to consider that the alleged practices are likely to significantly affect trade between Member States and to be qualified under Article 102 of the TFEU, which is not contested by the parties to the proceedings.</w:t>
      </w:r>
    </w:p>
    <w:p>
      <w:r>
        <w:rPr>
          <w:b/>
        </w:rPr>
        <w:t>[Pages 16–18]</w:t>
      </w:r>
    </w:p>
    <w:p>
      <w:r>
        <w:t xml:space="preserve">B. ON THE RELEVANT MARKETS  </w:t>
        <w:br/>
        <w:t xml:space="preserve">81. The analysis of the behaviors in question in light of Articles L. 420-2 of the Commercial Code and 102 of the TFEU requires that the relevant markets be defined beforehand. Indeed, in matters of abuse of a dominant position, "the adequate definition of the relevant market is a necessary and preliminary condition for the judgment on allegedly anti-competitive behavior, since, before establishing the existence of an abuse of a dominant position, it is necessary to establish the existence of a dominant position in a given market, which implies that this market has been previously delineated" (Court of the EU, judgment of July 6, 2000, case T-62/98, Volkswagen AG / Com., point 230).  </w:t>
        <w:br/>
        <w:t xml:space="preserve">82. In this case, the markets related to the practices are, on the one hand, the market for passenger rail transport (1) and, on the other hand, the market for freely organized intercity coach transport (2).  </w:t>
        <w:br/>
        <w:t xml:space="preserve">1. THE MARKET FOR PASSENGER RAIL TRANSPORT  </w:t>
        <w:br/>
        <w:t xml:space="preserve">83. The regulatory organization of rail transport varies according to the geographical dimension of the routes concerned. The LOTI establishes, on the one hand, the monopoly of SNCF for the operation of rail services on the national network. However, international passenger transport was opened to competition on December 13, 2009. On the other hand, the law on solidarity and urban renewal (the "SRU" law) of 2000 transferred to the regions the competence regarding regional passenger rail services.  </w:t>
        <w:br/>
        <w:t xml:space="preserve">84. Regarding regional rail transport, the aforementioned OSP regulation, which came into force in France on December 3, 2009, defines the conditions under which the organizing authorities will have the possibility to progressively open regional rail services to competition. Although the regulation is not binding concerning rail transport, by exception to the provisions applicable to road passenger transport, the Authority has so far retained the existence of a global rail transport market (decision no. 10-DCC-02 of January 12, 2010, concerning the joint control of Keolis and Effia by SNCF-Participations and Caisse de Dépôt et Placement du Québec).  </w:t>
        <w:br/>
        <w:t xml:space="preserve">85. Finally, regarding the geographical dimension of the national and regional transport market, the Authority has so far considered that the existence of the legal monopoly of SNCF justifies retaining a national dimension (previously mentioned decision no. 10-DCC-02).  </w:t>
        <w:br/>
        <w:t xml:space="preserve">2. THE MARKET FOR FREELY ORGANIZED INTERCITY COACH TRANSPORT  </w:t>
        <w:br/>
        <w:t xml:space="preserve">86. The law for growth, activity, and equality of economic opportunities of August 6, 2015, liberalized regular intercity passenger transport by coach for any route exceeding 100 kilometers. ARAFER also regulates the opening of routes under 100 kilometers, ensuring the economic balance of the contracted services that could be competed by these new transport services.  </w:t>
        <w:br/>
        <w:t xml:space="preserve">87. Regarding a possible substitutability between freely organized intercity coach transport and contracted road transport services, ARAFER indicated in its annual report for 2016 that freely organized road services offer routes that are largely distinct from those covered by the contracted regional transport offer, both in terms of average length of the proposed routes (28 kilometers for contracted services versus 238 km for freely organized services) and the geographical scope covered (93% of contracted routes are intraregional compared to 26% of freely organized routes).  </w:t>
        <w:br/>
        <w:t xml:space="preserve">88. Regarding a possible substitutability with national or regional rail transport, the file shows that only travelers who are less sensitive to travel time and have significant budget constraints are actually likely to arbitrate between these two modes of transport (see above, § 48 and following).  </w:t>
        <w:br/>
        <w:t xml:space="preserve">89. Given also the imperfect substitutability with carpooling and in light of the file, it is therefore appropriate to consider the existence of a specific market for freely organized intercity coach transport.  </w:t>
        <w:br/>
        <w:t xml:space="preserve">90. Furthermore, it emerges from the decision-making practice concerning passenger transport markets, particularly in the air sector, that each origin-destination pair constitutes a relevant geographical market. Nevertheless, it emerges from the file that an operator's ability to offer a sufficiently interconnected network at the national level is an element to be considered when assessing its ability to stimulate competition.  </w:t>
        <w:br/>
        <w:t xml:space="preserve">91. In this case, there is no need to further examine the question of the exact delineation of the geographical market for intercity coach transport.  </w:t>
        <w:br/>
        <w:t xml:space="preserve">C. ON THE EXISTENCE OF A DOMINANT POSITION OF SNCF  </w:t>
        <w:br/>
        <w:t xml:space="preserve">1. ON THE RAIL TRANSPORT MARKET  </w:t>
        <w:br/>
        <w:t xml:space="preserve">92. According to a consistent case law of the Court of Justice, the dominant position referred to in Article 102 of the TFEU concerns a situation of economic power held by a company that gives it the ability to impede the maintenance of effective competition in the relevant market, providing it with the possibility of independent behavior to a significant extent in relation to its competitors, its customers, and ultimately consumers (Court of Justice, judgment of February 13, 1979, Hoffmann-La Roche &amp; Co. AG/Com., case 85/76, point 38; Court of Justice, judgment of December 6, 2012, AstraZeneca e.a./Com., C-457/10 P, point 175).  </w:t>
        <w:br/>
        <w:t xml:space="preserve">93. In this case, SNCF currently holds a dominant position in the national passenger rail transport market due to its legal monopoly.  </w:t>
        <w:br/>
        <w:t xml:space="preserve">94. The dominant position of SNCF in the passenger rail transport market is not disputed by the parties.  </w:t>
        <w:br/>
        <w:t xml:space="preserve">2. ON THE MARKET FOR FREELY ORGANIZED INTERCITY COACH TRANSPORT  </w:t>
        <w:br/>
        <w:t xml:space="preserve">95. Since the opening of the market in August 2015, the position of the various operators has evolved significantly.  </w:t>
        <w:br/>
        <w:t xml:space="preserve">96. Thus, as indicated by ARAFER in its opinion, "the operator Eurolines/Isilines had the most extensive offer in the first months of liberalization, both in terms of diversity (number of marketed routes) and volume (number of daily departures). As of September 30, 2015, for example, less than 2 months after the market opened, the offer of Eurolines/Isilines covered 92% of the total routes available for marketing [...]." (reference 7036).  </w:t>
        <w:br/>
        <w:t xml:space="preserve">97. In contrast, as of September 30, 2016, the offer of Eurolines/Isilines only covered 42% of the total offer of routes, 23% of daily frequencies, and 29% of the offer measured in coach-kilometers, this operator having developed its network less rapidly than its competitors since August 2015 (references 7036 and 7046).  </w:t>
        <w:br/>
        <w:t xml:space="preserve">98. At that date, according to the data provided by ARAFER, regardless of the indicator used (city network, number of routes offered, offer in coach-kilometers, frequencies), Flixbus has become the market leader with a market share ranging from 42% to 53% depending on the measure (references 7044 to 7048), even though its market share was zero at the market opening, unlike Eurolines and Ouibus, which were already operating cabotage routes.  </w:t>
        <w:br/>
        <w:t xml:space="preserve">99. Regarding Ouibus, ARAFER emphasized that this operator initially "opted for a commercial development strategy favoring major routes, which connect the main metropolitan areas to Paris and for which the potential demand was probably the most promising, notwithstanding the presence of competing operators or modal alternatives." (reference 7037). During the first months following the market opening, Ouibus therefore offered a less diversified network than that of Eurolines until the third quarter of 2016, when Ouibus entered into a franchise agreement with Starshipper that allowed it to complete its offer, particularly on cross routes. According to ARAFER's data, the market share of Ouibus, which was below 25% at the end of 2015, was between 27% and 35% as of September 30, 2016, depending on the indicator used. The latest observatory published by ARAFER regarding the fourth quarter of 2016 also confirms these orders of magnitude.  </w:t>
        <w:br/>
        <w:t xml:space="preserve">100. These various measures are consistent with the estimate made by SNCF of the market share of the different operators in terms of passengers transported (references 9440 and 9441) (44% for Flixbus, 34% for Ouibus, and 21% for Transdev in 2016).  </w:t>
        <w:br/>
        <w:t xml:space="preserve">101. It therefore appears that to date, Ouibus is not dominant in the market for intercity coach transport.  </w:t>
        <w:br/>
        <w:t xml:space="preserve">D. ON THE REPORTED PRACTICES  </w:t>
        <w:br/>
        <w:t xml:space="preserve">102. SNCF primarily argues that the referral by Transdev should be dismissed because the conditions set by case law regarding the qualification of an abuse from a monopoly market to a competitive market would not be met in this case (1). Alternatively, SNCF considers that the abusive pricing and commercial practices, particularly through cross-subsidies (2), coupling practices (3), as well as practices related to the abusive use of the brand image and reputation of SNCF (4) are unsupported and unfounded.  </w:t>
        <w:br/>
        <w:t>103. In order to assess whether, in light of the elements produced in the debates, the practices alleged in the substantive procedure and referred to in the request for interim measures are supported by sufficiently probative elements, these various points will be successively analyzed.</w:t>
      </w:r>
    </w:p>
    <w:p>
      <w:r>
        <w:rPr>
          <w:b/>
        </w:rPr>
        <w:t>[Pages 19–21]</w:t>
      </w:r>
    </w:p>
    <w:p>
      <w:r>
        <w:t>1. AS A PRELIMINARY MATTER, ON THE POSSIBILITY OF CHARACTERIZING AN ABUSE FROM THE MONOPOLY MARKET TO THE COMPETITIVE MARKET</w:t>
      </w:r>
    </w:p>
    <w:p>
      <w:r>
        <w:t>104. In its observations, SNCF primarily argues that in the absence of SNCF's preeminence in the regular intercity coach transport market, the practices alleged by Transdev cannot be qualified as an abuse of the dominant position held by SNCF in certain railway sector markets (reference 7520).</w:t>
      </w:r>
    </w:p>
    <w:p>
      <w:r>
        <w:t>105. However, as the Authority had the opportunity to recall in its decision No. 13-D-16 of June 27, 2013, regarding a request for interim measures concerning practices implemented by the SNCF group in the passenger transport sector (§ 149 to 157) in response to similar arguments raised by SNCF, the decisional practice does not define such a standard to characterize an abuse in a situation like that of the case at hand.</w:t>
      </w:r>
    </w:p>
    <w:p>
      <w:r>
        <w:t>106. Thus, the Court of Justice ruled in its TeliaSonera judgment (judgment of February 17, 2011, C-52/09, point 86) that: "[...] while the application of Article 102 TFEU presupposes the existence of a link between the dominant position and the allegedly abusive behavior, which is normally not present when behavior in a distinct market from the dominated market produces effects on that same market, it remains that, concerning distinct but related markets, particular circumstances may justify the application of Article 102 TFEU to behavior observed in the related, non-dominated market, producing effects on that same market."</w:t>
      </w:r>
    </w:p>
    <w:p>
      <w:r>
        <w:t>107. In general, the Authority considers that "case law, both community and national, admits that a dominant company in a given market can be reproached for an abuse whose effects affect other markets, provided that its behavior has a causal link with its dominant position and that the market on which it is held and those on which the abuse unfolds its effects are sufficiently related" (decision of the Authority No. 09-MC-01 of April 8, 2009, regarding the referral on the merits and the request for interim measures submitted by Solaire Direct, § 93).</w:t>
      </w:r>
    </w:p>
    <w:p>
      <w:r>
        <w:t>108. In this case, the alleged practices of Ouibus in the intercity coach transport market, if proven, would be made possible by the use of financial means that the SNCF group holds, notably due to its monopoly in the railway transport market, as well as its reputation and brand image as a historical railway transport operator.</w:t>
      </w:r>
    </w:p>
    <w:p>
      <w:r>
        <w:t>109. Furthermore, SNCF presents itself as a "multimodal transport group" and has developed, in addition to its historical railway transport activity, an expanded range of urban and intercity transport services on a regulated basis and a freely organized intercity coach transport activity. Thus, based on the current file, the existence of a connection between the relevant markets cannot be excluded.</w:t>
      </w:r>
    </w:p>
    <w:p>
      <w:r>
        <w:t>110. Therefore, the absence of SNCF's preeminence in the regular intercity coach transport market does not exclude, in principle, the possibility that the practices discussed below may constitute violations of Articles L. 420-2 of the Commercial Code and 102 TFEU.</w:t>
      </w:r>
    </w:p>
    <w:p>
      <w:r>
        <w:t>2. ON THE "MASSIVE AND ABNORMAL" SUBSIDIZATION PRACTICES OF REGULAR INTERCITY COACH TRANSPORT ACTIVITY</w:t>
      </w:r>
    </w:p>
    <w:p>
      <w:r>
        <w:t>a) The practices reported by Transdev</w:t>
      </w:r>
    </w:p>
    <w:p>
      <w:r>
        <w:t>111. Transdev considers that Ouibus benefits from massive and sustainable subsidization from SNCF, notably through massive recapitalizations, which would be anti-competitive in itself. This subsidization would allow it to artificially maintain its position in the market thanks to funds derived from SNCF's monopolistic activities. This practice would enable SNCF to exclude equally efficient competitors who do not benefit from such support.</w:t>
      </w:r>
    </w:p>
    <w:p>
      <w:r>
        <w:t>112. Transdev argues that, more generally, Ouibus benefits from the self-financing capacity of the SNCF group (€2.523 billion in 2015) and the financial guarantee from the State, which would allow it to access potentially unlimited sources of indirect financing, under conditions that no other player would be able to replicate (reference 638). Moreover, these practices would distort the selection process of companies in the market, risking the promotion of an inefficient player.</w:t>
      </w:r>
    </w:p>
    <w:p>
      <w:r>
        <w:t>113. Transdev asserts in its referral that "a cross-subsidy can alone, by its duration, sustainability, and significance, have a potential effect on the market." It relies on the decision of the Competition Council No. 00-D-47 of November 22, 2000, regarding practices implemented by EDF and its subsidiary Citélum in the public lighting market.</w:t>
      </w:r>
    </w:p>
    <w:p>
      <w:r>
        <w:t>b) Analysis by the Authority</w:t>
      </w:r>
    </w:p>
    <w:p>
      <w:r>
        <w:t>114. In several decisions (notably decisions No. 00-D-47 of November 22, 2000, aforementioned No. 00-D-57 of December 6, 2000 "Gas and Electricity of Grenoble," and decision No. 00-D-50 of March 5, 2001 "Française des Jeux"), the Competition Council has considered that cross-subsidization of activities can be sanctioned when implemented by a dominant company to support a low-price policy in the competitive market that may potentially be qualified either as predatory practice or as pricing practice having an anti-competitive exclusion effect.</w:t>
      </w:r>
    </w:p>
    <w:p>
      <w:r>
        <w:t>115. Thus, as the Competition Council indicated in particular in its decision No. 05-D-53 of October 6, 2005, regarding the competitive situation in the advertising spaces of the urban public transport network (§ 46), "the provision of means derived from an activity carried out within the framework of a legal monopoly for the development of activities falling within the competitive field is likely to be qualified under competition rules if two cumulative conditions are met:</w:t>
        <w:br/>
        <w:t>• first, the provision of means must be qualified as a "subsidy," meaning that it does not give rise, from the benefiting activity, to financial counterparts reflecting the reality of costs;</w:t>
        <w:br/>
        <w:t>• second, the support thus provided must have been used to present abnormal offers (predatory pricing or lasting market disruption)."</w:t>
      </w:r>
    </w:p>
    <w:p>
      <w:r>
        <w:t>116. It follows from this decisional practice, confirmed by the Paris Court of Appeal and the Court of Cassation, that, contrary to what Transdev claims, the mere observation of cross-subsidization is not sufficient to qualify a practice as anti-competitive if no abnormal commercial practice is established.</w:t>
      </w:r>
    </w:p>
    <w:p>
      <w:r>
        <w:t>117. Consequently, on this point, Transdev's referral is not based on any serious element.</w:t>
      </w:r>
    </w:p>
    <w:p>
      <w:r>
        <w:t>118. On the other hand, the existence of cross-subsidization may be taken into account in the more general assessment of the pricing and commercial practices of Ouibus reported elsewhere.</w:t>
      </w:r>
    </w:p>
    <w:p>
      <w:r>
        <w:t>3. ON THE PRICING AND COMMERCIAL PRACTICES OF OUIBUS</w:t>
      </w:r>
    </w:p>
    <w:p>
      <w:r>
        <w:t>119. In its referral on the merits, Transdev denounces pricing and commercial practices by the SNCF group that may be anti-competitive.</w:t>
      </w:r>
    </w:p>
    <w:p>
      <w:r>
        <w:t>120. The facts denounced by Transdev will first be presented (a). Secondly, the applicable principles will be recalled (b). Finally, the documents in the file will be examined to analyze their probative nature in light of the applicable case law (c).</w:t>
      </w:r>
    </w:p>
    <w:p>
      <w:r>
        <w:t>a) The practices reported by Transdev</w:t>
      </w:r>
    </w:p>
    <w:p>
      <w:r>
        <w:t>121. Transdev argues that the cross-subsidies that Ouibus would benefit from would allow it to support a predatory or exclusionary pricing and commercial policy. According to Transdev, SNCF's financial support for Ouibus would allow it "to impose a price war on all operators, drawing them all into a spiral of losses, which necessarily leads to the gradual exclusion of its competitors." (reference 500)</w:t>
      </w:r>
    </w:p>
    <w:p>
      <w:r>
        <w:t>122. In support of its thesis, Transdev indicates that the prices charged by Ouibus would be set at levels that do not allow it to cover its costs "since it incurs significant losses." Transdev considers that the prices charged by Ouibus would be "at the very least, in a gray area" (reference 56), given the amount of losses incurred by the coach transport activity (reference 31).</w:t>
      </w:r>
    </w:p>
    <w:p>
      <w:r>
        <w:t>123. Furthermore, Ouibus's pricing aggressiveness would manifest itself in that Ouibus would set its prices "several months in advance," thereby forcing other operators to align with its prices (reference 56) as well as through a massive promotional policy both in terms of price levels and the number of operations.</w:t>
      </w:r>
    </w:p>
    <w:p>
      <w:r>
        <w:t>124. To demonstrate the aggressive nature of the prices charged by Ouibus, Transdev provided in its referral on the merits a comparison of the prices charged by Ouibus on the 10 main routes and the average prices charged by Eurolines in 2014 and 2015 in the context of cabotage on its international routes (reference 643).</w:t>
      </w:r>
    </w:p>
    <w:p>
      <w:r>
        <w:t>125. Finally, according to Transdev, Ouibus would also use the financial means at its disposal to, among other things, "implement a number of commercial practices that appear abnormal and likely to disrupt the market in a lasting manner. This includes, on the one hand, disproportionate investments in new routes and frequencies and, on the other hand, marketing and advertising investments that are out of proportion" (reference 503).</w:t>
      </w:r>
    </w:p>
    <w:p>
      <w:r>
        <w:t>b) The applicable principles for examining the practices reported by Transdev</w:t>
      </w:r>
    </w:p>
    <w:p>
      <w:r>
        <w:t>The notion of abuse of dominant position</w:t>
      </w:r>
    </w:p>
    <w:p>
      <w:r>
        <w:t>126. The Court of Justice of the European Union consistently rules that the abusive exploitation of a dominant position is "an objective notion that targets the behaviors of a company in a dominant position that are likely to influence the structure of a market where, following</w:t>
      </w:r>
    </w:p>
    <w:p>
      <w:r>
        <w:rPr>
          <w:b/>
        </w:rPr>
        <w:t>[Pages 22–24]</w:t>
      </w:r>
    </w:p>
    <w:p>
      <w:r>
        <w:t>become profitable par la suite. En effet, le marché du transport interurbain par autocar est en pleine expansion, et les investissements initiaux peuvent être élevés, ce qui est souvent le cas dans les marchés émergents.</w:t>
      </w:r>
    </w:p>
    <w:p>
      <w:r>
        <w:t>141. De plus, les données fournies par l’ARAFER montrent que la demande pour les services de transport interurbain par autocar a connu une croissance significative, ce qui pourrait permettre à Ouibus de réaliser des économies d'échelle à mesure qu'elle augmente son volume d'activité.</w:t>
      </w:r>
    </w:p>
    <w:p>
      <w:r>
        <w:t>142. Il est également pertinent de noter que les entreprises opérant dans des marchés émergents peuvent adopter des stratégies de prix agressives pour établir leur présence sur le marché, ce qui pourrait expliquer les pertes initiales. Cela est conforme à la jurisprudence qui reconnaît que des pertes à court terme peuvent être acceptables dans le cadre d'une stratégie visant à atteindre une rentabilité à long terme.</w:t>
      </w:r>
    </w:p>
    <w:p>
      <w:r>
        <w:t>143. En conclusion, bien que Transdev soutienne que Ouibus ne pourrait pas compenser ses pertes avant 2027, il est essentiel d'examiner les conditions du marché et les stratégies d'entreprise pour évaluer la viabilité de cette affirmation. Les perspectives de rentabilité doivent être analysées dans le contexte d'un marché en évolution rapide, où les entreprises peuvent être amenées à accepter des pertes temporaires pour sécuriser leur position à long terme.</w:t>
      </w:r>
    </w:p>
    <w:p>
      <w:r>
        <w:rPr>
          <w:b/>
        </w:rPr>
        <w:t>[Pages 25–27]</w:t>
      </w:r>
    </w:p>
    <w:p>
      <w:r>
        <w:t xml:space="preserve">r of as reliably as possible this horizon.  </w:t>
        <w:br/>
        <w:t xml:space="preserve">On the assessment of the profitability horizon for Ouibus  </w:t>
        <w:br/>
        <w:t xml:space="preserve">140. Several elements in the file suggest that Ouibus's domestic activity could generate losses in the initial years of operation, and then could start to generate profits that should allow it to cover its accumulated losses in the early years around 2025-2027.  </w:t>
        <w:br/>
        <w:t xml:space="preserve">141. Firstly, the business plan that Ouibus designed just before the market opened in 2015 mentions a compensation for the losses of the first years of operation [10-12] years after the launch of the activity, that is, between 2025 and 2027 (reference 10156).  </w:t>
        <w:br/>
        <w:t xml:space="preserve">142. This projection is subject to certain assumptions, two of which should be highlighted. The first is the market share that Ouibus anticipates by 2025, which is less than 30%. Thus, Ouibus plans to compensate for its early losses without needing, in the long term, to preempt the market or to exclude financially weaker competitors. The second is that the horizon for compensating losses is determined as the date when the net present value of the results of Ouibus's domestic activity becomes zero, taking into account an average cost of capital discount rate of [7-9]% (reference 10155). The consideration of this cost of capital suggests that Ouibus's business plan was not developed with the assumption that its shareholder would be unconcerned about short- or medium-term profitability due to its affiliation with an entity (SNCF Mobilités) that has a profitable monopoly in another market or has borrowing facilities related to its status as a public industrial and commercial establishment (EPIC).  </w:t>
        <w:br/>
        <w:t xml:space="preserve">143. Furthermore, the comparison of the internal projections of different operators shows that the market development assumptions (number of passengers, prices, occupancy rates, in particular) used by Ouibus have been less optimistic or ambitious than those used by Transdev (references 6750 to 6752). The 2025-2027 horizon by which Ouibus could compensate for its early losses thus appears credible given the current market developments, especially since, at this stage, the actual results of Ouibus's domestic activity have been close to Ouibus's internal forecasts (reference 10182). This situation can be explained by Ouibus's responsiveness and its strategic adaptations to a market environment that is less favorable than anticipated ("the ramp-up of the customer base is slower than expected, particularly in a context of stronger price pressure"). Ouibus has thus planned a "reduction and/or no increase in domestic supply," a "modulation of supply during off-peak seasons and/or during off-peak periods of the week," as well as a "cost improvement plan" (references 10160 to 1063), including a renegotiation of contracts with subcontractors, a reduction in the number of internal drivers, a delay in the delivery of coaches, an effort on structural costs, etc.  </w:t>
        <w:br/>
        <w:t xml:space="preserve">144. Secondly, Transdev produced two simulations in the annex to its referral regarding the profitability that Ouibus could expect for each year between 2016 and 2030 based on assumptions about market development over the next fifteen years (references 486 to 487). These simulations were criticized by Ouibus, on the grounds, in particular, that some of the evolution assumptions were not credible and inconsistent between the two simulations and that the assumptions used did not reflect Ouibus's current situation (references 8013 to 8028).  </w:t>
        <w:br/>
        <w:t xml:space="preserve">145. In response to these criticisms, Transdev produced a new simulation, which mentions a compensation for Ouibus's losses in 2027 under assumptions that Transdev describes as favorable to Ouibus (references 8394 to 8400). Transdev's simulation was notably based on conservative values for the main parameters determining profitability, in order to ensure that the 2027 date mentioned in Transdev's latest simulation was not overly optimistic.  </w:t>
        <w:br/>
        <w:t xml:space="preserve">146. This allowed the investigation services to analyze the losses or profits generated by Ouibus's domestic activity each year over the period 2016-2030, assuming that Ouibus's market share would remain constant at its current level, which is around 35%, this assumption having been retained in Transdev's latest simulation. For the other main parameters determining the profitability of Ouibus's domestic activity (prices, number of passengers, occupancy rates), the actual 2016 values of Ouibus were retained for the year 2016 (for the confidential elements for which Ouibus provided ranges, notably prices and occupancy rates, the lower bounds of the range were used).  </w:t>
        <w:br/>
        <w:t xml:space="preserve">147. For subsequent years, the growth of these parameters was assumed to be strong at the beginning of the period and then gradually less sustained, in line with the observed developments in the French and German markets since their opening. Finally, the target values for the year 2030 were defined conservatively, while being linked to the operators' expectations. Thus, the price by 2030 is assumed to be 0.065 euros per kilometer, which is a level lower than the price of carpooling, often cited as a reference by operators (reference 9974). The target number of passengers is 22.5 million, a more cautious estimate than some projections from industry operators. As for the occupancy rate, its target is 76%, a level consistent with Transdev's latest simulation and with Ouibus's internal expectations.  </w:t>
        <w:br/>
        <w:t xml:space="preserve">148. Additionally, an incremental cost related to Ouibus's domestic activity of 1.95 euros/km was taken into account. This assumption, which had been retained in Transdev's simulations, is unfavorable to Ouibus, as the cost data provided by Ouibus results in a lower cost per kilometer (reference 10178).  </w:t>
        <w:br/>
        <w:t xml:space="preserve">149. Finally, the cumulative result of Ouibus's domestic activity up to 2015 is assumed to be negative by 30 million euros, which is an amount greater than the actual losses incurred by Ouibus's domestic activity (reference 10171), in order to account for any costs that Ouibus may have incurred to prepare for the launch of its domestic activity before 2015. This is consistent with the portion of the recapitalization amount from December 2015 corresponding to Ouibus's domestic activity (reference 10167).  </w:t>
        <w:br/>
        <w:t xml:space="preserve">150. Under these assumptions, presented in the session, it appears that Ouibus could, in a cautious scenario, start to generate profits from its domestic activity starting in 2020. Furthermore, it appears that the net present value of the results of Ouibus's domestic activity becomes positive from the end of 2027, using the cost of capital rate employed by Ouibus in its internal projections. Ouibus could therefore fully compensate for the losses of the early years of operation by the end of 2027.  </w:t>
        <w:br/>
        <w:t xml:space="preserve">151. The various elements in the file thus allow us to conclude that at this stage, it is realistic to anticipate that the losses generated by Ouibus's domestic activity during the initial years after the market opening could be compensated around 2025-2027.  </w:t>
        <w:br/>
        <w:t xml:space="preserve">On the allegedly irrational nature of Ouibus's loss compensation horizon  </w:t>
        <w:br/>
        <w:t xml:space="preserve">152. The question raised by Transdev is the rationality, for a private shareholder, of considering profitability prospects over a horizon of about twelve years after the launch of an activity.  </w:t>
        <w:br/>
        <w:t xml:space="preserve">153. In this regard, it is not for the Authority to judge the relevance of the strategic choices of operators, except when these lead to unjustified losses that could reveal a predatory strategy or involve anti-competitive exclusion effects.  </w:t>
        <w:br/>
        <w:t xml:space="preserve">154. In this context, several remarks should be made.  </w:t>
        <w:br/>
        <w:t xml:space="preserve">155. Firstly, Transdev does not provide any element to justify its assertion that a horizon for compensating initial losses beyond 3 or 4 years would be "irrational." More broadly, it is difficult to generally assert a maximum "rational" duration for loss compensation. Indeed, depending on the characteristics of an activity, its risk, the level of expected profitability, etc., the horizon for recovering initial investments may vary significantly.  </w:t>
        <w:br/>
        <w:t xml:space="preserve">156. Secondly, in the present case, the long-term profitability of the coach transport activity appears significant. Ouibus anticipated in November 2016, just before the referral, an EBITDA margin of [9-13]% for its domestic activity in 2025 (reference 10169). This figure is close to that which emerges from the simulations presented in paragraphs 146 and following (operating result of over 10% after 2021). These profitability prospects can be attractive as they translate into a significant return on investment in Ouibus's domestic activity. It should be noted that this significant long-term profitability is credible due to the existence of entry barriers, related to brand recognition or critical network size. In England, where the market was opened to competition in the early 1980s, two operators represent over 95% of the market, with the last entry attempt in 2009 resulting in failure (the entrant now operates only one line). The German market, liberalized on January 1, 2013, has rapidly consolidated, although nearly ten players were active just after the market opened. Today, Flixbus holds about 70% market share and was able to significantly reduce its supply at the end of 2016, without this resulting, at least for the moment, in the arrival of new competitors. Flixbus also stated in the hearing that "the longer time goes on, the more difficult it would be for an operator to enter the market. It is indeed more complicated to arrive 2 years after everyone else" (reference 3604).  </w:t>
        <w:br/>
        <w:t xml:space="preserve">157. Thirdly, the risk that regular intercity coach transport activity will disappear or be significantly affected due to an innovation or technological disruption appears limited a priori. The situation is different in high-tech or IT sectors where disruptive innovations occur frequently and are a credible possibility. In this context, the absence of short-term profitability will not deter investment in coach transport.  </w:t>
        <w:br/>
        <w:t xml:space="preserve">158. Secondly, in light of the figures from Transdev's initial business plan, based on very ambitious assumptions, far more than those of Ouibus, Transdev itself could only foresee erasing its losses by the end of 2021 (references 6750, 9968, and 9969), which is between six and seven years after the market opened, a duration much greater than the "maximum horizon of 3 or 4 years" that it qualifies as rational. Transdev had also envisioned an unfavorable scenario, in which loss compensation could be expected in 2024 or 2025, that is, after 9 or 10 years (reference 9969). In other words, Ouibus does not seem to differ in its horizon for compensating its initial losses significantly from what a competitor like Transdev could foresee. The moderate difference in horizon between these two players is more due to the assumptions used than to a difference in efficiency between these two operators. Indeed, the inefficiency of Ouibus alleged by Transdev is not proven: the incremental cost of Ouibus assessed from the data provided by these operators falls within the indicative cost range given by Transdev for Isilines costs.  </w:t>
        <w:br/>
        <w:t>159. Therefore, the elements in the file do not allow us to consider with sufficient plausibility that Ouibus has abstracted itself from a profitability logic in its development strategy through potential cross-subsidies.</w:t>
      </w:r>
    </w:p>
    <w:p>
      <w:r>
        <w:rPr>
          <w:b/>
        </w:rPr>
        <w:t>[Pages 28–30]</w:t>
      </w:r>
    </w:p>
    <w:p>
      <w:r>
        <w:t xml:space="preserve">Analysis of Ouibus's pricing policy and other reported commercial practices  </w:t>
        <w:br/>
        <w:t xml:space="preserve">On the pricing aggressiveness of Ouibus  </w:t>
        <w:br/>
        <w:t xml:space="preserve">160. Transdev considers that Ouibus practices very aggressive pricing, relying on a comparison between the prices charged in 2015 on certain routes and the prices charged by Eurolines on the same routes in 2014 and 2015 as part of its cabotage activity. In its summary observations, Transdev asserts that "by setting the price of its tickets well in advance (...) Ouibus imposes its prices on other operators in the market, who have no choice but to align in order to continue filling their coaches" (reference 8287).  </w:t>
        <w:br/>
        <w:t xml:space="preserve">161. ARAFER expressed reservations regarding the interpretation of Transdev's pricing comparisons. The first reservation concerns the comparison of prices after the market opening (those of Ouibus) with cabotage prices at least partly before this opening (Eurolines prices in 2014 and 2015) in that "the activity before and after liberalization does not [benefit] from the same competitive intensity," and that the cabotage routes had particularities resulting from their regulation. The second reservation is methodological and relates to the comparison of the average prices offered by Ouibus, unweighted by sales volume, and the average prices per passenger of Eurolines on cabotage routes (reference 7039). In light of these reservations, it is not possible to rely on the comparisons provided by Transdev to assess the level of prices charged by Ouibus. It should also be noted that Transdev no longer mentioned these pricing comparisons in its summary observations.  </w:t>
        <w:br/>
        <w:t xml:space="preserve">162. It should first be recalled that pricing aggressiveness, from a dominant operator in the relevant market, cannot in itself constitute abusive behavior, in the absence of other elements demonstrating the existence of an exclusionary strategy.  </w:t>
        <w:br/>
        <w:t xml:space="preserve">163. Furthermore, and most importantly, the elements in the file indicate that Ouibus's pricing policy does not stand out from that of its competitors in terms of aggressiveness, contrary to what Transdev claims. Indeed, according to ARAFER's opinion, "the pricing policy of Ouibus for its activity in the French market seems to fall within a range close to the average of operators" (reference 7039).  </w:t>
        <w:br/>
        <w:t xml:space="preserve">164. Moreover, Flixbus stated during its hearing "that Ouibus is not more aggressive than its competitors, particularly from a pricing perspective" (reference 1235). Additionally, Ouibus specified that in 2016, its average price per passenger per 100 kilometers was between 4 and 4.2 euros, which is higher than the average market price calculated by Transdev based on the data from the second quarter 2016 report published by ARAFER (3.82 euros) (references 563 and 10174).  </w:t>
        <w:br/>
        <w:t xml:space="preserve">165. Finally, the idea that Ouibus could be responsible for low prices by setting them several months in advance despite not practicing the lowest prices does not appear to be supported by the elements in the file, as Ouibus indicates it practices "yield management" (reference 9492), meaning a dynamic management of its prices based on factors such as the period or occupancy rate, which implies real-time adjustments to its rates.  </w:t>
        <w:br/>
        <w:t>166. Thus, the elements in the file do not support the alleged "commercial aggressiveness" (reference 1088) of Ouibus that Transdev denounces.</w:t>
      </w:r>
    </w:p>
    <w:p>
      <w:r>
        <w:t xml:space="preserve">On the routes and frequencies operated by Ouibus  </w:t>
        <w:br/>
        <w:t xml:space="preserve">167. Transdev considers that Ouibus has implemented "a number of frequencies (...) significantly higher than that offered by the competition," which would also have experienced a diametrically opposed evolution compared to its competitors. Thus, between June 2016 and October 2016, Ouibus would have "increased its trips by more than 27%, while its competitors have reduced their offerings." Finally, Ouibus would also exhibit singular behavior regarding the opening of new routes: it would have opened certain routes at a time when other operators tend to close them (reference 1090).  </w:t>
        <w:br/>
        <w:t xml:space="preserve">168. Transdev's assertions are not supported by the elements in the file.  </w:t>
        <w:br/>
        <w:t xml:space="preserve">169. First, according to data provided by ARAFER, the occupancy rate recorded by Ouibus is rather higher than the average of all operators (references 7038 and 10174).  </w:t>
        <w:br/>
        <w:t xml:space="preserve">170. Second, according to ARAFER, "Ouibus has increased the frequency of its services at the same rate as the entire market." This is also true for the four main routes (Paris-Lille, Paris-Lyon, Paris-Rennes, Paris-Nantes), on which Ouibus generally has higher frequencies than those of Isilines and Eurolines, but similar to or lower than those of Flixbus (reference 9742). This observation is further reinforced by ARAFER's opinion, which shows that the total distance traveled by Ouibus coaches is lower in each of the first three quarters of 2016 than that traveled by Eurolines/Isilines coaches (reference 7046).  </w:t>
        <w:br/>
        <w:t xml:space="preserve">171. Third, the three examples cited by Transdev of new routes opened by Ouibus do not demonstrate singular behavior by this operator: the Paris-La Rochelle, Bordeaux-Lyon, and Metz-Lyon routes opened in June 2016 by Ouibus are also operated by Flixbus, demonstrating that a private investor may also find their operation relevant.  </w:t>
        <w:br/>
        <w:t>172. Thus, it does not emerge from the elements in the file that Ouibus distinguishes itself by singular choices of frequencies, size, and evolution of the network that would disrupt the functioning of the market.</w:t>
      </w:r>
    </w:p>
    <w:p>
      <w:r>
        <w:t xml:space="preserve">On marketing investments and promotional offers  </w:t>
        <w:br/>
        <w:t xml:space="preserve">173. Transdev considers Ouibus's marketing and advertising investments to be "totally disproportionate in relation to the size of the market." According to the referral, Ouibus would have invested promotional spending amounts more than five times higher than those of all its competitors combined (15 million for Ouibus versus less than 3 million for all its competitors) during the first year following the market opening (reference 1090). Ouibus would also have launched large-scale promotional offers that could not be duplicated by its competitors.  </w:t>
        <w:br/>
        <w:t xml:space="preserve">174. All of these practices are, according to Transdev, likely to disrupt the market sustainably by allowing Ouibus to acquire a significant weight and reputation for its future (reference 504).  </w:t>
        <w:br/>
        <w:t xml:space="preserve">175. It emerges from the file that Ouibus has indeed incurred significant communication expenses, and significantly higher than its competitors (reference 10152), primarily in the second half of 2015, the period of market launch (communication expenses have thus decreased sharply in 2016 and will be further reduced in 2017 – reference 10173).  </w:t>
        <w:br/>
        <w:t xml:space="preserve">176. However, it does not emerge from the documents in the file that these investments had a significant impact on Ouibus's competitive situation. In particular, Flixbus has downplayed the impact of marketing expenses on Ouibus's development by noting that the expenses of one player benefit only imperfectly: "advertising campaigns ultimately benefit all market players, so the return on investment is not so obvious" (reference 10103). Flixbus also noted "the limitations of Ouibus's marketing strategy, which struggles to convert its notoriety into customers" (reference 3602), echoing the fact that, although customer loyalty is an "important factor" (reference 10103), "price is the primary choice parameter" (reference 3602).  </w:t>
        <w:br/>
        <w:t xml:space="preserve">177. Furthermore, it is noteworthy that the current market leader, Flixbus, has hardly made any media investments according to the data provided by Transdev (reference 25). Transdev, for its part, criticizes Ouibus's communication spending choices, arguing that "in a market where the primary target is the student population (...) it does not seem extremely wise to invest in mass media such as television, which are not only extremely costly but also relatively ineffective for a population primarily connected to the Internet" (reference 8293).  </w:t>
        <w:br/>
        <w:t xml:space="preserve">178. Finally, Ouibus's promotional offers only apply to a limited proportion of its passengers and seem to be rapidly decreasing (reference 9757). Moreover, promotional offers are not exclusive to Ouibus, as evidenced by examples provided in its observations (references 9509 to 9512).  </w:t>
        <w:br/>
        <w:t>179. Ultimately, the referrer does not provide any specific elements to establish the existence of marketing expenses likely to disrupt the market sustainably. In any case, these expenses have been taken into account in the analysis of Ouibus's profitability prospects (cf. above).</w:t>
      </w:r>
    </w:p>
    <w:p>
      <w:r>
        <w:t xml:space="preserve">d) Conclusion on the alleged pricing and commercial practices  </w:t>
        <w:br/>
        <w:t xml:space="preserve">180. It follows from the above that no element in the file relating to its pricing or commercial behavior or to the analysis of the profitability horizon of its activity within an emerging market allows us to consider that Ouibus's prices are set within a plan aimed at eliminating one or more competitors or that they are likely to cause potential or real exclusionary effects.  </w:t>
        <w:br/>
        <w:t xml:space="preserve">181. In particular, the elements in the file do not allow us to consider with sufficient plausibility that the financial support of SNCF to Ouibus, possibly linked to its dominant position in the rail transport market, was essential for the latter to implement the development strategy it chose, nor that Ouibus's continued presence in the market, despite relatively distant profitability prospects, is irrational and corresponds to anti-competitive behavior. Furthermore, the horizon for compensating Ouibus's initial losses is consistent with that envisaged by Transdev.  </w:t>
        <w:br/>
        <w:t xml:space="preserve">182. Moreover, Ouibus's pricing aggressiveness is not established, nor are the alleged commercial behaviors related to the overcapacities implemented or to marketing investments.  </w:t>
        <w:br/>
        <w:t xml:space="preserve">183. On the contrary, it emerges from the file that the losses recorded by Ouibus are to be related to the emerging nature of the market.  </w:t>
        <w:br/>
        <w:t>184. This conclusion does not prejudge the analysis that the Authority could make if it were demonstrated that Ouibus was recording losses without reasonable prospects of returning to balance or if new elements regarding its behavior in the market were brought to the Authority's attention.</w:t>
      </w:r>
    </w:p>
    <w:p>
      <w:r>
        <w:rPr>
          <w:b/>
        </w:rPr>
        <w:t>[Pages 31–33]</w:t>
      </w:r>
    </w:p>
    <w:p>
      <w:r>
        <w:t xml:space="preserve">185. It follows from all of the above that the pricing and commercial practices denounced are not supported by sufficiently probative elements. Transdev's referral will therefore be dismissed on this point.  </w:t>
        <w:br/>
        <w:t xml:space="preserve">4. ON COUPLING PRACTICES  </w:t>
        <w:br/>
        <w:t xml:space="preserve">a) The facts denounced by Transdev  </w:t>
        <w:br/>
        <w:t xml:space="preserve">186. In its summary observations of February 13, 2017, Transdev argued that SNCF has been offering students, since November 2015, a package that combines its rail transport offer and its competitive activities, particularly intercity coach transport (references 8294 to 8301).  </w:t>
        <w:br/>
        <w:t xml:space="preserve">187. These student packages or "Mobility" packages would be available for subscription between May and November for the upcoming school year (with a new campaign starting in May 2017) and would include:  </w:t>
        <w:br/>
        <w:t xml:space="preserve">- a SNCF youth card allowing discounts on TGV;  </w:t>
        <w:br/>
        <w:t xml:space="preserve">- a 10 euro voucher for an SNCF journey (valid for 1 month);  </w:t>
        <w:br/>
        <w:t xml:space="preserve">- 10 euro discount vouchers for carpooling (IDVroom) or the purchase of a journey on Ouibus (voucher valid for 1 year).  </w:t>
        <w:br/>
        <w:t xml:space="preserve">188. In certain cities, it is also possible to subscribe to an urban transport pass under financial conditions determined by the operator.  </w:t>
        <w:br/>
        <w:t xml:space="preserve">189. Transdev argues that these "bundled offers" would constitute an abuse of dominant position by SNCF insofar as no other player would be able to replicate such offers and that they would be likely to create particularly strong exclusion effects targeting the customer base of coach operators (the youth) due to a financial incentive that Transdev considers very significant.  </w:t>
        <w:br/>
        <w:t xml:space="preserve">b) Applicable principles  </w:t>
        <w:br/>
        <w:t xml:space="preserve">190. In its communication on the priorities for the application of Article 82 of the EC Treaty, the Commission defines tied sales as follows (§ 48 of the communication): "There is 'tied sale' when the sale of a given product (the tying product) is conditional upon the purchase of another product (the tied product) from the dominant company. [...] In the case of mixed bundling, often referred to as 'multi-product discounts', the products are also available separately, but the sum of the prices of each of the products is higher than the total price resulting from the bundled sale."  </w:t>
        <w:br/>
        <w:t xml:space="preserve">191. It then indicates (§ 59): "A multi-product discount can be anti-competitive in the tied market or the tying market when it is so high that equally efficient competitors offering only some of the components are unable to compete with the bundle of products for which it is granted."  </w:t>
        <w:br/>
        <w:t xml:space="preserve">c) Analysis in the case at hand  </w:t>
        <w:br/>
        <w:t xml:space="preserve">192. The elements in the file do not establish that the offer proposed by SNCF would be likely to generate a leveraging effect such that competitors could be excluded from the intercity coach transport market. Indeed, students who decide to subscribe to SNCF's loyalty program for young people (the Youth Card) receive a simple voucher for a Ouibus journey, which they can freely choose to use or not based on their needs, thus limiting the effect of such offers in this case. Furthermore, the low amount of the voucher (10 euros for one year) does not appear likely to lead to a lock-in of the coach transport clientele.  </w:t>
        <w:br/>
        <w:t xml:space="preserve">193. In any event, until the beginning of 2017, this partnership only resulted in the distribution of 6,142 discount vouchers, of which 270 were actually used, representing a usage rate of 4.4% and a total cost for the first year of 2,700 euros for Ouibus (reference 9516).  </w:t>
        <w:br/>
        <w:t xml:space="preserve">194. Moreover, SNCF clarified in its summary observations that the partnership project was established with Ouibus following a call for tenders, in which all intercity coach transport operators were consulted, including Transdev, which did not initially mention this but acknowledged it in a supplementary note dated March 16, 2017 (references 9950 and 9951). According to the elements submitted by SNCF, no operator, other than Ouibus, wished to respond to this consultation. It should also be noted that the documents in the file do not establish the exclusive nature of this partnership, as SNCF further stated in the hearing that it was not exclusive.  </w:t>
        <w:br/>
        <w:t xml:space="preserve">195. Furthermore, Transdev contested in its note of March 16, 2017, the conditions of the call for tenders after having explained that it had not been aware of this procedure at the time due to internal organizational difficulties. Thus, since Transdev's arguments regarding the conditions of the call for tenders are not related to the company's decision not to participate in the procedure initiated by SNCF, they cannot be retained in this case.  </w:t>
        <w:br/>
        <w:t xml:space="preserve">196. It follows from the above that the coupling practice denounced is not supported by sufficiently probative elements. Transdev's referral will therefore be dismissed on this point.  </w:t>
        <w:br/>
        <w:t xml:space="preserve">5. ON ABUSIVE USE OF SNCF'S RESOURCES  </w:t>
        <w:br/>
        <w:t xml:space="preserve">a) The facts denounced by Transdev  </w:t>
        <w:br/>
        <w:t xml:space="preserve">197. Transdev accuses SNCF of having made available to Ouibus its brand image, its notoriety, as well as a set of material, immaterial, and human resources derived from its monopoly to promote the marketing of Ouibus services. All of these practices would have distorted the competitive landscape and created confusion in the minds of consumers (reference 8303) and allowed SNCF to extend its "position to other markets by means other than those that pertain to competition on merits." (reference 69).  </w:t>
        <w:br/>
        <w:t xml:space="preserve">198. Firstly, Transdev asserts in its observations that the brand image and notoriety of SNCF constitute an undeniable competitive advantage in the intercity transport market and cites Opinion No. 14-D-05 of the Authority, which indicated that "a solid financial base, as well as a strong brand image, can place the operator holding them in a position that deters the entry of competitors." (§ 332 of the opinion).  </w:t>
        <w:br/>
        <w:t xml:space="preserve">199. Transdev notes that Ouibus's use of SNCF's brand image primarily consists of the use of the SNCF logo on Ouibus coaches as well as the use of an identical visual identity between the Ouibus brand and the Ouigo brand, which identifies SNCF's low-cost offer, including its monopolistic rail offer.  </w:t>
        <w:br/>
        <w:t xml:space="preserve">200. Transdev also indicates in its summary observations that SNCF would have implemented positive actions aimed at leveraging the resources and advantages of the monopoly to promote the marketing of Ouibus services.  </w:t>
        <w:br/>
        <w:t xml:space="preserve">201. This would particularly involve the establishment of a page on SNCF's institutional website dedicated to presenting the Ouibus offer as well as SNCF's communication actions on social networks (notably via its Twitter account) to promote its entire low-cost offer, including that of Ouibus (references 8309 to 8315).  </w:t>
        <w:br/>
        <w:t xml:space="preserve">202. Finally, Transdev considers that Ouibus benefits from the provision of several executives without financial compensation, which would create confusion and reveal "the strong involvement of EPIC SNCF Mobilités within the SNCF-C6 subsidiary" (reference 8315).  </w:t>
        <w:br/>
        <w:t xml:space="preserve">203. These practices would occur in particular market circumstances likely to amplify this advantage in a way that competitors cannot replicate. According to Transdev, these market circumstances result from the very close connection between the rail transport market and the intercity coach transport market, the emerging nature of the market, the unawareness of the clientele, which could be misled about the extent of the rail monopoly, and finally the absence of competitors with strong notoriety.  </w:t>
        <w:br/>
        <w:t xml:space="preserve">b) Applicable principles  </w:t>
        <w:br/>
        <w:t xml:space="preserve">On the use of a monopoly's resources  </w:t>
        <w:br/>
        <w:t xml:space="preserve">204. In their decision-making practice, the Competition Council and then the Authority have repeatedly emphasized that it is lawful for a public enterprise that holds a dominant position in a market by virtue of a legal monopoly to enter one or more markets in competitive sectors, provided that it does not abuse its dominant position to restrict or attempt to restrict its competitors' access to the market by means other than competition on merits.  </w:t>
        <w:br/>
        <w:t xml:space="preserve">205. Thus, in its decision No. 13-D-16 mentioned above, the Authority recalled that it "is not opposed in principle to the diversification strategies of a historical operator, as long as they can stimulate competition by the arrival of a new player in one or more markets. However, the diversification of former public monopolies, retaining a public service activity, involves a number of risks that therefore require particular precautions to preserve effective and fair competition in the various concerned markets." (paragraph 140 of the decision).  </w:t>
        <w:br/>
        <w:t>206. In its decision No. 13-D-20 of December 17, 2013, regarding practices implemented by EDF in the sector of services intended for the production of photovoltaic electricity, the Authority sanctioned EDF for a practice of making available the resources of its monopolistic activities for the benefit of EDF ENR's competitive activities. This sanction took into account a cumulative set of practices, including the absence of dedicated resources for EDF ENR for its development, the handling of EDF ENR's prospecting and marketing activities by EDF's salespeople, the</w:t>
      </w:r>
    </w:p>
    <w:p>
      <w:r>
        <w:rPr>
          <w:b/>
        </w:rPr>
        <w:t>[Pages 34–36]</w:t>
      </w:r>
    </w:p>
    <w:p>
      <w:r>
        <w:t>sufficient to create confusion between the monopoly activities and the competitive activities.</w:t>
      </w:r>
    </w:p>
    <w:p>
      <w:r>
        <w:t>On the use of the SNCF's communication resources to promote Ouibus services</w:t>
      </w:r>
    </w:p>
    <w:p>
      <w:r>
        <w:t>218. There is no evidence in the file that the webpage dedicated to Ouibus's activity on the institutional site sncf.com particularly advantaged Ouibus in its development, as SNCF specified that less than 1% of the traffic recorded on the site ouibus.com came from the site sncf.com (reference 10181).</w:t>
      </w:r>
    </w:p>
    <w:p>
      <w:r>
        <w:t>219. Transdev also indicated late in the proceedings, in its summary observations, that the SNCF group used social networks, particularly Twitter, to promote Ouibus offers. In support of its claims, Transdev initially provided the Authority with a first communication on Twitter (references 8313 and 8314) in which voyages-sncf.com stated in response to a customer's inquiry about train ticket prices: "Don't tell anyone, we offer cheap tickets with carriers iDTGV, Ouigo &amp; Ouibus. Shhh," dated March 23, 2016, and a second published on Ouibus's Instagram account regarding its participation in a charitable operation in partnership with the company Innocent France, mentioning the hashtag #TeamVoyagesSNCF.</w:t>
      </w:r>
    </w:p>
    <w:p>
      <w:r>
        <w:t>220. However, these elements cannot be retained. The first example of communication indeed comes from voyages-sncf.com (hereinafter "VSC"), which engages in competitive activity, and results from a direct solicitation from a customer, at a time when Eurolines/Isilines tickets were not yet distributed by VSC. The second example cited by Transdev does not concern the commercial promotion of Ouibus services but only an institutional communication regarding Ouibus's participation, by virtue of its belonging to the Voyages SNCF branch, in a charitable action.</w:t>
      </w:r>
    </w:p>
    <w:p>
      <w:r>
        <w:t>221. Subsequently, Transdev submitted in a supplementary note dated March 16, 2017, 4 other examples of tweets that would reveal, according to the complainant, the existence of internal instructions aimed at using the monopoly's communication resources to promote Ouibus offers, including in a "proactive" manner (references 9956 to 9958).</w:t>
      </w:r>
    </w:p>
    <w:p>
      <w:r>
        <w:t>222. However, an analysis of these documents shows that 3 tweets are actually responses to direct customer inquiries, with the last tweet concerning the SNCF group's institutional communication regarding its coach transport activity.</w:t>
      </w:r>
    </w:p>
    <w:p>
      <w:r>
        <w:t>223. Furthermore, the documents produced by Transdev do not allow for a sufficiently plausible assumption that there exists a massive communication effort by SNCF to promote Ouibus offers. They also do not suggest that there is a commercial strategy to take advantage of customer contact related to SNCF's monopoly activities to promote a competitive service, as in each case, the responses given are directly related to the customer's request. In these circumstances, SNCF cannot be reproached for indicating during such contacts which services provided by the group could meet the expressed demand.</w:t>
      </w:r>
    </w:p>
    <w:p>
      <w:r>
        <w:t>On the use by Ouibus of the monopoly's human resources</w:t>
      </w:r>
    </w:p>
    <w:p>
      <w:r>
        <w:t>224. Finally, Transdev argues in its observations that the secondment of several executives from SNCF Mobilités to SNCF-C6 "only exacerbates the harm to competition caused by the confusion strategy implemented by SNCF" (reference 8315).</w:t>
      </w:r>
    </w:p>
    <w:p>
      <w:r>
        <w:t>225. In its decision No. 13-D-16 mentioned above concerning SNCF, the Authority noted that certain organizational factors within SNCF could lead to confusion (§ 143 of the decision). However, this was a situation in which Keolis was responding to calls for tenders in partnership with SNCF Partenariat, mobilizing certain resources from SNCF's monopoly, particularly its railway expertise, and therefore, it was legitimate to question the confusion that such an organization could induce from the perspective of the AOTs examining the offers.</w:t>
      </w:r>
    </w:p>
    <w:p>
      <w:r>
        <w:t>226. In this case, no evidence in the file establishes that the internal organization of the SNCF group and the origin of the members of Ouibus's board of directors would be sufficient to create confusion between the monopoly activities and the competitive activities.</w:t>
      </w:r>
    </w:p>
    <w:p>
      <w:r>
        <w:rPr>
          <w:b/>
        </w:rPr>
        <w:t>[Pages 37–39]</w:t>
      </w:r>
    </w:p>
    <w:p>
      <w:r>
        <w:t xml:space="preserve">susceptible of causing any confusion in the minds of consumers when booking their trip.  </w:t>
        <w:br/>
        <w:t xml:space="preserve">227. Consequently, the complainant does not provide sufficiently probative elements to establish the existence of a confusion practice.  </w:t>
        <w:br/>
        <w:t xml:space="preserve">On the use of the reputation and brand image of SNCF  </w:t>
        <w:br/>
        <w:t xml:space="preserve">228. Transdev considers that the brand image of SNCF necessarily constitutes a competitive advantage for Ouibus since it is the name of the historical rail transport operator. It notes in this regard that Flixbus stated during its hearing that "The link with SNCF contributes to the notoriety of Ouibus" (reference 3602).  </w:t>
        <w:br/>
        <w:t xml:space="preserve">229. The particular visibility of the "Ouibus" brand, compared to its competitors, is confirmed by the elements in the file (reference 7591). It cannot be excluded that the notoriety of SNCF has facilitated Ouibus's acquisition of an important brand image, particularly due to the significant number of media publications regarding the various activities of SNCF. Nevertheless, the file does not contain any elements demonstrating that the notoriety of Ouibus constitutes a competitive advantage capable of disrupting the functioning of this market.  </w:t>
        <w:br/>
        <w:t xml:space="preserve">230. On the contrary, various documents lead to nuance the impact of the SNCF brand image, with Ouibus management itself considering that the reference to Ouibus's affiliation with the SNCF group could have both a positive and negative effect on the perception of Ouibus's activity (reference 10154). Moreover, Ouibus has made limited use of the SNCF brand since the market opened. Thus, as indicated by the party concerned, the "SNCF" logo is only present on the front of the coaches and at the bottom of the first page of the operator's website. Advertising campaigns for Ouibus do not mention the SNCF brand (reference 7920).  </w:t>
        <w:br/>
        <w:t xml:space="preserve">231. Furthermore, the complainant has not provided any elements to establish that affiliation with the SNCF group was an important selection criterion for customers, which studies provided by the party concerned seem to contradict (reference 7588).  </w:t>
        <w:br/>
        <w:t xml:space="preserve">232. In this regard, the file does not reveal any particular risk aversion on the part of travelers, likely to encourage them to favor a transport operator linked to SNCF. The purchase of a ticket does not represent a significant financial investment and does not imply a long-term relationship, let alone an irreversible one.  </w:t>
        <w:br/>
        <w:t xml:space="preserve">233. Finally, other market players consider that brand notoriety has only a weak link with an operator's ability to develop in this market, as stated by Flixbus (reference 3602). The latter also believes that it has an advantage over SNCF and Transdev in that "Flixbus's core business is customer acquisition (notably online), which is not the case for Ouibus or Transdev." (reference 3602). In this respect, the rapid development of Flixbus, an unknown operator in France before September 2015 and now a market leader, tends to show that the advantage in terms of notoriety enjoyed by Ouibus does not seem to constitute a competitive advantage capable of distorting competition.  </w:t>
        <w:br/>
        <w:t>234. The elements in the file are therefore not sufficiently probative to establish that the current conditions of the use of the SNCF brand by Ouibus are likely to confer upon it a non-reproducible competitive advantage.</w:t>
      </w:r>
    </w:p>
    <w:p>
      <w:r>
        <w:t xml:space="preserve">d) Conclusion on the alleged practices of abusive use of SNCF resources  </w:t>
        <w:br/>
        <w:t xml:space="preserve">235. It follows from all of the above that the facts reported by Transdev are not supported by sufficiently probative elements to assume at this stage the existence of a practice resulting from the abusive use of a set of material and immaterial resources derived from SNCF's monopoly activities. The referral from Transdev will therefore be rejected on this point.  </w:t>
        <w:br/>
        <w:t xml:space="preserve">III. Conclusion  </w:t>
        <w:br/>
        <w:t xml:space="preserve">236. It results from all of the above that the facts invoked in the context of Transdev's referral are not supported by sufficiently probative elements to substantiate the existence of practices that could hinder the free play of competition.  </w:t>
        <w:br/>
        <w:t xml:space="preserve">237. This conclusion does not, however, preclude the analysis that the Authority could make if other elements relating to the behavior of the SNCF group towards Ouibus were brought to its attention.  </w:t>
        <w:br/>
        <w:t>238. It is therefore appropriate, in the current state of the file, to apply the provisions of Article L. 462-8 of the Commercial Code and to reject the referral registered under number 16/0098 F and, consequently, the request for interim measures registered under number 16/0099 M.</w:t>
      </w:r>
    </w:p>
    <w:p>
      <w:r>
        <w:t xml:space="preserve">DECISION  </w:t>
        <w:br/>
        <w:t xml:space="preserve">Article 1: The referral from Transdev Group registered under number 16/0098 F is rejected.  </w:t>
        <w:br/>
        <w:t xml:space="preserve">Article 2: The request for interim measures from Transdev Group registered under number 16/0099 M is rejected.  </w:t>
        <w:br/>
        <w:t xml:space="preserve">Deliberated on the oral report of Ms. Gaëlle Huerre and Mr. Cédric Nouel de Buzonnière, rapporteurs, and the intervention of Mr. Umberto Berkani, deputy general rapporteur, by Ms. Claire Favre, vice-president, chair of the session, Ms. Chantal Chomel, Ms. Séverine Larere, and Mr. Noël Diricq, members.  </w:t>
        <w:br/>
        <w:t xml:space="preserve">The session secretary, The session chair,  </w:t>
        <w:br/>
        <w:t xml:space="preserve">Claire Villeval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