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https://www.autoritedelaconcurrence.fr/fr/decision/relative-des-pratiques-mises-en-oeuvre-dans-le-secteur-du-transport-maritime-de-fret-entre</w:t>
      </w:r>
    </w:p>
    <w:p>
      <w:r>
        <w:t>Pages translated : 38</w:t>
      </w:r>
    </w:p>
    <w:p/>
    <w:p>
      <w:r>
        <w:rPr>
          <w:b/>
        </w:rPr>
        <w:t>[Pages 1–3]</w:t>
      </w:r>
    </w:p>
    <w:p>
      <w:r>
        <w:t xml:space="preserve">FRENCH REPUBLIC  </w:t>
        <w:br/>
        <w:t xml:space="preserve">1  </w:t>
        <w:br/>
        <w:t xml:space="preserve">Decision No. 13-D-15 of June 25, 2013  </w:t>
        <w:br/>
        <w:t xml:space="preserve">regarding practices implemented in the maritime freight transport sector between Northern Europe and the French Antilles  </w:t>
        <w:br/>
        <w:t xml:space="preserve">The Competition Authority (section IV),  </w:t>
        <w:br/>
        <w:t xml:space="preserve">Having regard to decision No. 09-SO-02 of November 3, 2009, registered under number 09/0119 F, by which the Competition Authority, in accordance with III of Article L. 462-5 of the Commercial Code, initiated an investigation ex officio into the practices implemented in the aforementioned sector;  </w:t>
        <w:br/>
        <w:t xml:space="preserve">Having regard to Article 81 of the Treaty establishing the European Community, now 101 of the TFEU as of December 1, 2009;  </w:t>
        <w:br/>
        <w:t xml:space="preserve">Having regard to Book IV of the Commercial Code;  </w:t>
        <w:br/>
        <w:t xml:space="preserve">Having regard to the business secrecy decisions No. 10-DSA-150 of August 3, 2010; No. 11-DSA-101 of April 5, 2011; No. 11-DSA-104 of April 11, 2011; No. 11-DSA-111 of April 13, 2011; No. 11-DSA-168 of May 12, 2011; No. 11-DSA-200 of July 13, 2011; No. 11-DSA-201 of July 13, 2011; No. 11-DSA-202 of July 13, 2011; No. 11-DSA-232 of July 27, 2011; No. 11-DSA-291 of September 27, 2011; No. 11-DSA-314 of October 19, 2011; No. 11-DSA-335 of November 7, 2011; No. 12-DSA-154 of April 6, 2012; No. 12-DSA-161 of April 20, 2012; No. 12-DSA-182 of May 4, 2012; No. 12-DSA-433 of December 20, 2012; No. 12-DSA-434 of December 20, 2012; No. 12-DSA-435 of December 20, 2012; No. 12-DSA-436 of December 20, 2012; No. 12-DSA-437 of December 21, 2012; No. 12-DSA-438 of December 21, 2012; No. 12-DSA-439 of December 21, 2012; No. 12-DSA-440 of December 21, 2012; No. 13-DSA-04 of January 3, 2013; No. 13-DSA-03 of January 3, 2013; No. 13-DSA-05 of January 3, 2013; No. 13-DSA-06 of January 4, 2013; No. 13-DSA-124 of April 16, 2013; No. 13-DSA-127 of April 17, 2013; No. 13-DSA-128 of April 18, 2013; No. 13-DSA-129 of April 19, 2013; No. 13-DSA-134 of April 19, 2013; No. 13-DECR-25 of April 23, 2013;  </w:t>
        <w:br/>
        <w:t xml:space="preserve">Having regard to the preliminary assessments of competition concerns by the rapporteurs, notified by minutes to the companies CMA-CGM S.A. (hereinafter CMA-CGM), AP Moller-Maersk A/S (hereinafter Maersk), Marfret S.A. (hereinafter Marfret), and WEC Lines B.V. (hereinafter WEC Lines) on December 19 and 21, 2012, and transmitted to the government commissioner on January 11, 2013;  </w:t>
        <w:br/>
        <w:t xml:space="preserve">Having regard to the joint commitments proposed by the companies CMA-CGM, Maersk, Marfret, and WEC Lines on February 8, 2013, and posted online on February 13, 2013;  </w:t>
        <w:br/>
        <w:t xml:space="preserve">Having regard to the observations presented by an individual on March 6, 2013, by the company Sea Shipping Services on March 8, 2013;  </w:t>
        <w:br/>
        <w:t xml:space="preserve">1 Communicable version.  </w:t>
        <w:br/>
        <w:t xml:space="preserve">Having regard to the new versions of the joint commitments proposed by the companies CMA-CGM, Maersk, Marfret, and WEC Lines on April 19, 2013, and, in session, on April 29, 2013;  </w:t>
        <w:br/>
        <w:t xml:space="preserve">Having regard to the other documents in the file;  </w:t>
        <w:br/>
        <w:t xml:space="preserve">The rapporteurs, the deputy general rapporteur, the government commissioner, and the representatives of the companies CMA-CGM, Maersk, Marfret, and WEC Lines heard during the session of the Competition Authority on April 24 and 29, 2013;  </w:t>
        <w:br/>
        <w:t xml:space="preserve">Adopts the following decision:  </w:t>
        <w:br/>
        <w:t>2</w:t>
      </w:r>
    </w:p>
    <w:p>
      <w:r>
        <w:t xml:space="preserve">SUMMARY  </w:t>
        <w:br/>
        <w:t xml:space="preserve">I. Findings .......................................................................................... 6  </w:t>
        <w:br/>
        <w:t xml:space="preserve">A. PROCEDURAL BACKGROUND .............................................................................................................. 6  </w:t>
        <w:br/>
        <w:t xml:space="preserve">B. THE PARTIES INVOLVED ....................................................................................................................... 7  </w:t>
        <w:br/>
        <w:t xml:space="preserve">1. A. P. MOLLER - MAERSK A/S ....................................................................................................... 7  </w:t>
        <w:br/>
        <w:t xml:space="preserve">2. CMA-CGM .................................................................................................................................... 7  </w:t>
        <w:br/>
        <w:t xml:space="preserve">3. MARFRET S.A. ............................................................................................................................... 7  </w:t>
        <w:br/>
        <w:t xml:space="preserve">4. WEC LINES B.V. ........................................................................................................................... 7  </w:t>
        <w:br/>
        <w:t xml:space="preserve">C. THE RELEVANT SECTOR .................................................................................................................... 7  </w:t>
        <w:br/>
        <w:t xml:space="preserve">1. DESCRIPTION OF MARITIME LINKS BETWEEN NORTHERN EUROPE AND THE ANTILLES ........ 8  </w:t>
        <w:br/>
        <w:t xml:space="preserve">a) The PCRF service .......................................................................................................... 8  </w:t>
        <w:br/>
        <w:t xml:space="preserve">b) Other maritime links ................................................................................................. 9  </w:t>
        <w:br/>
        <w:t xml:space="preserve">2. THE ECONOMIC BALANCE OF OFFERS ................................................................................... 10  </w:t>
        <w:br/>
        <w:t xml:space="preserve">a) Price analysis ............................................................................................................... 10  </w:t>
        <w:br/>
        <w:t xml:space="preserve">Evolution of freight rates on the Northern Europe – French Antilles route ......... 10  </w:t>
        <w:br/>
        <w:t xml:space="preserve">Comparison of maritime freight rates ....................................................................... 11  </w:t>
        <w:br/>
        <w:t xml:space="preserve">b) Cost analysis ................................................................................................................ 13  </w:t>
        <w:br/>
        <w:t xml:space="preserve">D. THE DEFINITION OF THE RELEVANT MARKET AND THE ANALYSIS OF THE POSITION OF  </w:t>
        <w:br/>
        <w:t xml:space="preserve">ACTORS ...........................................................................................................................................................14  </w:t>
        <w:br/>
        <w:t xml:space="preserve">1. MARKET DEFINITION ............................................................................................................. 14  </w:t>
        <w:br/>
        <w:t xml:space="preserve">a) Market for products and services ........................................................................... 14  </w:t>
        <w:br/>
        <w:t xml:space="preserve">b) Geographic delimitation ............................................................................................ 15  </w:t>
        <w:br/>
        <w:t xml:space="preserve">c) Conclusion .................................................................................................................. 16  </w:t>
        <w:br/>
        <w:t xml:space="preserve">2. ANALYSIS OF THE POSITION OF ACTORS ................................................................................... 16  </w:t>
        <w:br/>
        <w:t xml:space="preserve">a) Market share calculation .......................................................................................... 16  </w:t>
        <w:br/>
        <w:t xml:space="preserve">b) Market size .................................................................................................................. 17  </w:t>
        <w:br/>
        <w:t xml:space="preserve">E. THE PRACTICES CONCERNED ........................................................................................................17  </w:t>
        <w:br/>
        <w:t xml:space="preserve">1. DESCRIPTIONS OF THE MAIN CLAUSES OF THE SCAs SIGNED BETWEEN CMA-CGM AND  </w:t>
        <w:br/>
        <w:t xml:space="preserve">ITS PARTNERS ............................................................................................................................ 17  </w:t>
        <w:br/>
        <w:t xml:space="preserve">F. THE IMPLEMENTATION OF THE COMMITMENTS PROCEDURE .................................................18  </w:t>
        <w:br/>
        <w:t xml:space="preserve">1. THE PRELIMINARY EVALUATION ............................................................................................... 18  </w:t>
        <w:br/>
        <w:t xml:space="preserve">a) The applicable law .................................................................................................... 19  </w:t>
        <w:br/>
        <w:t>3</w:t>
      </w:r>
    </w:p>
    <w:p>
      <w:r>
        <w:rPr>
          <w:b/>
        </w:rPr>
        <w:t>[Pages 4–6]</w:t>
      </w:r>
    </w:p>
    <w:p>
      <w:r>
        <w:t xml:space="preserve">National Law ............................................................................................................. 19  </w:t>
        <w:br/>
        <w:t xml:space="preserve">European Union Law ............................................................................................... 19  </w:t>
        <w:br/>
        <w:t xml:space="preserve">b) The Economic and Legal Framework .................................................................. 20  </w:t>
        <w:br/>
        <w:t xml:space="preserve">c) The SCAs .............................................................................................................. 22  </w:t>
        <w:br/>
        <w:t xml:space="preserve">d) Conclusion ............................................................................................................. 23  </w:t>
        <w:br/>
        <w:t xml:space="preserve">2. JOINT PROPOSAL OF COMMITMENTS OF FEBRUARY 8, 2013 ................................. 24  </w:t>
        <w:br/>
        <w:t xml:space="preserve">a) Commitment No. 1 – On the Exclusivity Clause .................................................. 24  </w:t>
        <w:br/>
        <w:t xml:space="preserve">b) Commitment No. 2 – On the Resale Prohibition Clause .................................... 24  </w:t>
        <w:br/>
        <w:t xml:space="preserve">Preemption Right ..................................................................................................... 24  </w:t>
        <w:br/>
        <w:t xml:space="preserve">Approval of the Transferee ..................................................................................... 24  </w:t>
        <w:br/>
        <w:t xml:space="preserve">Compliance with the Provisions of the SCA ............................................................ 25  </w:t>
        <w:br/>
        <w:t xml:space="preserve">c) Commitment No. 3 – On the Duration of the SCAs ........................................... 25  </w:t>
        <w:br/>
        <w:t xml:space="preserve">d) On the Implementation Deadlines of the Commitments .................................... 26  </w:t>
        <w:br/>
        <w:t xml:space="preserve">e) On the Verification of the Implementation of the Commitments ........................ 26  </w:t>
        <w:br/>
        <w:t xml:space="preserve">3. RESPONSES TO THE MARKET TEST .............................................................................. 27  </w:t>
        <w:br/>
        <w:t xml:space="preserve">4. THE FINAL COMMITMENTS PROPOSED BY THE PARTIES ........................................... 27  </w:t>
        <w:br/>
        <w:t xml:space="preserve">a) Context of the Proposal of Commitments ............................................................ 27  </w:t>
        <w:br/>
        <w:t xml:space="preserve">b) Commitment No. 1 – On the Exclusivity Clause .................................................. 27  </w:t>
        <w:br/>
        <w:t xml:space="preserve">c) Commitment No. 2 – On the Resale Prohibition Clause .................................... 27  </w:t>
        <w:br/>
        <w:t xml:space="preserve">Preemption Right ..................................................................................................... 28  </w:t>
        <w:br/>
        <w:t xml:space="preserve">Approval of the Transferee ..................................................................................... 28  </w:t>
        <w:br/>
        <w:t xml:space="preserve">Compliance with the Provisions of the SCA ............................................................ 29  </w:t>
        <w:br/>
        <w:t xml:space="preserve">d) Commitment No. 3 – On the Duration of the SCAs ........................................... 29  </w:t>
        <w:br/>
        <w:t xml:space="preserve">e) On the Implementation Deadlines of the Commitments .................................... 30  </w:t>
        <w:br/>
        <w:t xml:space="preserve">f) On the Verification of the Implementation of the Commitments ........................ 31  </w:t>
        <w:br/>
        <w:t xml:space="preserve">g) On the Appointment and Role of the Mandatary (Annexed to the Commitments) . 31  </w:t>
        <w:br/>
        <w:t xml:space="preserve">Appointment of the Mandatary ............................................................................... 31  </w:t>
        <w:br/>
        <w:t xml:space="preserve">Conflicts of Interest .................................................................................................. 32  </w:t>
        <w:br/>
        <w:t xml:space="preserve">Duties of the Mandatary ........................................................................................... 32  </w:t>
        <w:br/>
        <w:t xml:space="preserve">End of the Mandate .................................................................................................. 33  </w:t>
        <w:br/>
        <w:t xml:space="preserve">II. Discussion ............................................................................................................. 33  </w:t>
        <w:br/>
        <w:t xml:space="preserve">A. ON GENERAL OBSERVATIONS ....................................................................................... 33  </w:t>
        <w:br/>
        <w:t xml:space="preserve">B. ON THE ASSESSMENT OF THE COMMITMENTS PROPOSED BY THE PARTIES INVOLVED ................................................................................................................................... 34  </w:t>
        <w:br/>
        <w:t xml:space="preserve">1. ON THE REMOVAL OF THE EXCLUSIVITY CLAUSE (COMMITMENT NO. 1) ............ 34  </w:t>
        <w:br/>
        <w:t xml:space="preserve">2. ON THE ASSIGNMENT OF CAPACITIES (COMMITMENT NO. 2) ................................. 34  </w:t>
        <w:br/>
        <w:t xml:space="preserve">3. ON THE DURATION OF THE SCAs (COMMITMENT NO. 3) ......................................... 35  </w:t>
        <w:br/>
        <w:t xml:space="preserve">4. ON THE SCOPE OF APPLICATION OF THE COMMITMENTS ........................................ 37  </w:t>
        <w:br/>
        <w:t xml:space="preserve">5. ON THE APPOINTMENT OF A MANDATARY ................................................................ 37  </w:t>
        <w:br/>
        <w:t xml:space="preserve">III. Conclusion ............................................................................................................. 37  </w:t>
        <w:br/>
        <w:t>DECISION .................................................................................................................... 38</w:t>
      </w:r>
    </w:p>
    <w:p>
      <w:r>
        <w:rPr>
          <w:b/>
        </w:rPr>
        <w:t>[Pages 7–9]</w:t>
      </w:r>
    </w:p>
    <w:p>
      <w:r>
        <w:t xml:space="preserve">B. THE PARTIES CONCERNED  </w:t>
        <w:br/>
        <w:t xml:space="preserve">1. A. P. MOLLER - MAERSK A/S  </w:t>
        <w:br/>
        <w:t xml:space="preserve">10. AP Moller-Maersk A/S (hereinafter Maersk), a global leader, is a Danish shipping company. It was formed from the merger of Maersk Sealand and P&amp;O NedLloyd in February 2006. In 2011, Maersk generated a revenue of approximately 25 billion euros. It operates more than 600 ships and has a capacity of about 3.8 million TEUs. The shipping agent for AP Moller-Maersk A/S in France is Maersk France SAS, a wholly-owned subsidiary of AP Moller-Maersk A/S.  </w:t>
        <w:br/>
        <w:t xml:space="preserve">2. CMA-CGM  </w:t>
        <w:br/>
        <w:t xml:space="preserve">11. Compagnie Maritime d’Affrètement – Compagnie Générale Maritime société anonyme (hereinafter CMA-CGM) is a French shipping company that has achieved global reach. It is the third largest global container shipping group and a major logistics player. CMA-CGM transports over 10 million TEUs globally and operates more than 390 ships. Its revenue in 2011 amounted to approximately 15 billion euros.  </w:t>
        <w:br/>
        <w:t xml:space="preserve">3. MARFRET S.A.  </w:t>
        <w:br/>
        <w:t xml:space="preserve">12. Compagnie Maritime Marfret société anonyme (hereinafter Marfret) is the second largest French shipping company and ranks among the top 70 global companies. Its revenue in 2009 was 135 million euros. It operates in three major geographical areas: Europe and the Mediterranean, America and the Caribbean, Southeast Asia and the South Pacific.  </w:t>
        <w:br/>
        <w:t xml:space="preserve">4. WEC LINES B.V.  </w:t>
        <w:br/>
        <w:t xml:space="preserve">13. West European Container Lines (hereinafter WEC Lines) is a Dutch company established in 1973. It transports approximately 450,000 TEUs per year, operates 20 ships, and has a self-owned capacity of about 16,000 TEUs.  </w:t>
        <w:br/>
        <w:t xml:space="preserve">C. THE RELEVANT SECTOR  </w:t>
        <w:br/>
        <w:t xml:space="preserve">14. The majority of goods consumed in the overseas departments (DOM) are imported, with the largest share coming from Europe, predominantly from mainland France. Maritime freight is the predominant mode of transport, while air freight, which is too expensive for low-value consumer goods, is only used in cases where timing is the decisive criterion for choosing the carrier. Maritime freight includes bulk, dry or liquid, vehicle transport, and especially container transport, which represents more than 80% of the imported tonnage, excluding hydrocarbons.  </w:t>
        <w:br/>
        <w:t xml:space="preserve">15. The main link between Europe and the French Antilles is that connecting Northern Europe, notably the French ports of the Channel and Atlantic, and the French Antilles. It accounts for 89% of containerized maritime transport exchanges between the two areas, while Southern Europe accounts for only 11%.  </w:t>
        <w:br/>
        <w:t xml:space="preserve">16. Since 2008, the link between Northern Europe and the French Antilles has been primarily provided by seven shipping companies: CMA-CGM, Maersk, Marfret, WEC Lines, Geest Line, Horn Linie until October 2009, and Sea Shipping Services (hereinafter Seatrade) since January 2011.  </w:t>
        <w:br/>
        <w:t xml:space="preserve">17. These seven companies operate or have operated on four different maritime routes:  </w:t>
        <w:br/>
        <w:t xml:space="preserve"> the PCRF service (or NEFWI);  </w:t>
        <w:br/>
        <w:t xml:space="preserve"> the Geest Line connection;  </w:t>
        <w:br/>
        <w:t xml:space="preserve"> until October 2009, the Horn Linie connection; and  </w:t>
        <w:br/>
        <w:t xml:space="preserve"> since January 2011, the Streamlines service of Seatrade.  </w:t>
        <w:br/>
        <w:t xml:space="preserve">1. DESCRIPTION OF MARITIME ROUTES BETWEEN NORTHERN EUROPE AND THE ANTILLES  </w:t>
        <w:br/>
        <w:t xml:space="preserve">a) The PCRF Service  </w:t>
        <w:br/>
        <w:t xml:space="preserve">18. The PCRF is a service opened by CMA-CGM between Northern Europe and the French Antilles since 1976. The rotation time is 28 days with a departure every 7 days. The nominal capacity of the 4 ships on this route is 2,200 TEUs, corresponding to an annual nominal capacity of 117,843 TEUs (of which 57,200 TEUs are allocated to CMA-CGM). Between 2008 and 2010, this service accounted for 90% of containerized goods exchanges between Northern Europe and the French Antilles.  </w:t>
        <w:br/>
        <w:t xml:space="preserve">19. The stops on this route are: Dunkirk (France), Rouen (France), Le Havre (France), Montoir-de-Bretagne (France), Pointe-à-Pitre (Guadeloupe), Fort-de-France (Martinique), Pointe-à-Pitre (Guadeloupe), Montoir-de-Bretagne (France), and Dunkirk (France). On the outbound leg, CMA-CGM's PCRF ships perform cabotage between metropolitan French ports and then between Pointe-à-Pitre and Fort-de-France. On the return leg, these ships are specifically designed to transport bananas to Dunkirk in refrigerated containers (also called reefers).  </w:t>
        <w:br/>
        <w:t xml:space="preserve">20. The companies CMA-CGM, Maersk, Marfret, and WEC Lines are linked by a Slot Charter Agreement (SCA) and use CMA-CGM's ships. In October 2009 (since Horn Linie ceased servicing the French Antilles), CMA-CGM entered into a new capacity provision agreement with Société Française de Consignation (hereinafter SFC), previously the shipping agent for Horn Linie.  </w:t>
        <w:br/>
        <w:t xml:space="preserve">b) Other Maritime Links  </w:t>
        <w:br/>
        <w:t xml:space="preserve">21. As part of its dedicated banana transport route from the English Caribbean islands, Geest Line established a stop in the French Antilles in 1994 (only Martinique). On the outbound leg, Geest Line provides a service from England and only loads at one stop in France at Le Havre. On the return leg, the ships perform a series of cabotage to load bananas in English-speaking Antilles before returning to Portsmouth. The nominal capacity of the 4 ships on this route is 385 TEUs. Geest Line primarily transports only its own containers.  </w:t>
        <w:br/>
        <w:t xml:space="preserve">22. Similarly, until October 2009, Horn Linie provided a weekly service from Antwerp. Its ships, with a nominal capacity between 300 and 320 TEUs, then went to the Antilles and subsequently to Colombia and Costa Rica. Since October 2009, these ships no longer call at the French Antilles.  </w:t>
        <w:br/>
        <w:t xml:space="preserve">23. Following this withdrawal, Seatrade, which also operates a service between Northern Europe and Colombia (Streamlines service), opened an additional stop in Guadeloupe in January 2011. Seatrade does not lease capacity to third parties on its ships. These ships have a maximum capacity of 200 TEUs.  </w:t>
        <w:br/>
        <w:t>24. It should be noted that each of these companies covers only a small share of the containers transported to the French Antilles, their ships being smaller and more</w:t>
      </w:r>
    </w:p>
    <w:p>
      <w:r>
        <w:rPr>
          <w:b/>
        </w:rPr>
        <w:t>[Pages 10–12]</w:t>
      </w:r>
    </w:p>
    <w:p>
      <w:r>
        <w:t xml:space="preserve">versatile (they also load bulk) than the ships of CMA-CGM, which limits the actual loading capacity in containers.  </w:t>
        <w:br/>
        <w:t xml:space="preserve">2. THE ECONOMIC BALANCE OF OFFERS  </w:t>
        <w:br/>
        <w:t xml:space="preserve">a) Price Analysis  </w:t>
        <w:br/>
        <w:t xml:space="preserve">Evolution of freight rates on the Northern Europe – French Antilles route  </w:t>
        <w:br/>
        <w:t xml:space="preserve">25. Between January 2008 and December 2011, the average freight rate (dry containers) of CMA-CGM on the PCRF service was [confidential] euros. As indicated in the following graph, the company's freight rates overall decreased by [30-40]% during the same period (-[20-30]% for dry containers):  </w:t>
        <w:br/>
        <w:t xml:space="preserve">CMA-CGM freight rates on the PCRF service between 2008 and 2011  </w:t>
        <w:br/>
        <w:t xml:space="preserve">1,800 €  </w:t>
        <w:br/>
        <w:t xml:space="preserve">1,600 €  </w:t>
        <w:br/>
        <w:t xml:space="preserve">1,400 €  </w:t>
        <w:br/>
        <w:t xml:space="preserve">1,200 €  </w:t>
        <w:br/>
        <w:t xml:space="preserve">1,000 €  </w:t>
        <w:br/>
        <w:t xml:space="preserve">confidential  </w:t>
        <w:br/>
        <w:t xml:space="preserve">800 €  </w:t>
        <w:br/>
        <w:t xml:space="preserve">600 €  </w:t>
        <w:br/>
        <w:t xml:space="preserve">400 €  </w:t>
        <w:br/>
        <w:t xml:space="preserve">200 €  </w:t>
        <w:br/>
        <w:t xml:space="preserve">- €  </w:t>
        <w:br/>
        <w:t xml:space="preserve">Jan-08 Apr-08 Jul-08 Oct-08 Jan-09 Apr-09 Jul-09 Oct-09 Jan-10 Apr-10 Jul-10 Oct-10 Jan-11 Apr-11 Jul-11 Oct-11  </w:t>
        <w:br/>
        <w:t xml:space="preserve">Dry containers Refrigerated containers Unplugged refrigerated containers All containers  </w:t>
        <w:br/>
        <w:t xml:space="preserve">Source: CMA-CGM (2012)  </w:t>
        <w:br/>
        <w:t xml:space="preserve">26. CMA-CGM indeed indicated during the investigation that "in 2008 and 2009, the economic crisis and the collapse of international container shipping traffic led to an overcapacity of the global container fleet, which caused a drop in freight rates on major international routes."  </w:t>
        <w:br/>
        <w:t xml:space="preserve">27. The erosion of freight rates for CMA-CGM's PCRF service since 2008 must thus be assessed in light of the general decline in maritime freight rates. The following graph compares the average quarterly freight rate of the PCRF service (dry containers) and the maritime freight transport price index published by the Ministry of Ecology, Sustainable Development, Transport and Housing between the first quarter of 2008 and the fourth quarter of 2011.  </w:t>
        <w:br/>
        <w:t xml:space="preserve">5 Additional response elements to the hearing of April 13, 2011.  </w:t>
        <w:br/>
        <w:t>6 cf. Figures &amp; Statistics No. 200, 224, 247, 275, and 302, General Commission for Sustainable Development (Ministry of Ecology, Sustainable Development, Transport and Housing). The maritime freight transport price index consists of transport services for others carried out by companies registered in France, whose activity is maritime freight transport. The currently covered scope is partial. It includes bulk transport (crude oil, refined petroleum products and gas, dry bulk) and ferry freight transport, which accounts for 35% of the 2006 turnover of the sector.</w:t>
      </w:r>
    </w:p>
    <w:p>
      <w:r>
        <w:t xml:space="preserve">Comparison between the average quarterly freight rate of the PCRF service and the maritime freight transport price index between 2008 and 2011  </w:t>
        <w:br/>
        <w:t xml:space="preserve">140.0  </w:t>
        <w:br/>
        <w:t xml:space="preserve">120.0 124.3  </w:t>
        <w:br/>
        <w:t xml:space="preserve">111.1  </w:t>
        <w:br/>
        <w:t xml:space="preserve">100.0  </w:t>
        <w:br/>
        <w:t xml:space="preserve">100.0  </w:t>
        <w:br/>
        <w:t xml:space="preserve">80.0  </w:t>
        <w:br/>
        <w:t xml:space="preserve">60.0 66.9 66.9  </w:t>
        <w:br/>
        <w:t xml:space="preserve">40.0 62.2 50.3 54.9 55.8 61.0 60.7 59.7 53.3 55.1 54.6 58.3  </w:t>
        <w:br/>
        <w:t xml:space="preserve">20.0  </w:t>
        <w:br/>
        <w:t xml:space="preserve">0.0  </w:t>
        <w:br/>
        <w:t xml:space="preserve">2008-T1 2008-T2 2008-T3 2008-T4 2009-T1 2009-T2 2009-T3 2009-T4 2010-T1 2010-T2 2010-T3 2010-T4 2011-T1 2011-T2 2011-T3 2011-T4  </w:t>
        <w:br/>
        <w:t xml:space="preserve">Maritime freight transport price index (50.2) published by the General Commission for Sustainable Development (Figures &amp; statistics)  </w:t>
        <w:br/>
        <w:t xml:space="preserve">Source: Calculations based on CMA-CGM data and publications from the Ministry of Ecology, Sustainable Development, Transport and Housing  </w:t>
        <w:br/>
        <w:t xml:space="preserve">28. Although there is no index specifically measuring the evolution of container freight transport prices, it can be noted that the average quarterly freight rate of CMA-CGM's PCRF service (dry containers) decreased by [20-30]% between the first quarter of 2008 and the fourth quarter of 2011, while during the same period, the maritime freight transport price index published quarterly by the General Commission for Sustainable Development shows a decrease of 41.7%, which is nearly [one to two] times greater than that observed for CMA-CGM's PCRF service (dry containers). The freight rates of CMA-CGM's PCRF service did indeed decrease between 2008 and 2011, but this decrease appears less pronounced than that which affected overall global maritime freight prices.  </w:t>
        <w:br/>
        <w:t xml:space="preserve">Comparison of maritime freight rates  </w:t>
        <w:br/>
        <w:t xml:space="preserve">29. In its opinion No. 09-A-45, the Authority found that, on the Northern Europe – French Antilles route, the gross freight price for a standard 20-foot container is on average, across all customers and all companies combined, but without weighting by quantities, around 1,400 €, with significant differences, as the gap between the best and worst conditions can reach 300 euros. Similarly, the gross freight price for a 40-foot container is around 2,500 euros, with gaps that can exceed 600 € depending on the customers and companies.  </w:t>
        <w:br/>
        <w:t xml:space="preserve">30. The tables below present a comparison between the rates applied in 2011 on the route between Northern Europe and the French Antilles and the maritime freight rates applied on other routes between Northern Europe and the Caribbean basin, according to the size of the containers transported (20 feet and 40 feet).  </w:t>
        <w:br/>
        <w:t xml:space="preserve">COMPARISON OF MARITIME FREIGHT RATES (in euros without discounts)*  </w:t>
        <w:br/>
        <w:t xml:space="preserve">Rates Northern Europe / Caribbean Basin – Central America (20’)  </w:t>
        <w:br/>
        <w:t xml:space="preserve">Rates Northern Europe / Antilles  </w:t>
        <w:br/>
        <w:t xml:space="preserve">Dominican Republic Dominican Republic Antilles Antilles Haiti  </w:t>
        <w:br/>
        <w:t xml:space="preserve">Freighters French (20’) (Puerto Moin) (Purto Limon)  </w:t>
        <w:br/>
        <w:t xml:space="preserve">(Caucedo) (Haina) (Willemstad) (Philipsburg) Prince)  </w:t>
        <w:br/>
        <w:t xml:space="preserve">CMA-CGM  </w:t>
        <w:br/>
        <w:t xml:space="preserve">Marfret  </w:t>
        <w:br/>
        <w:t xml:space="preserve">Maersk  </w:t>
        <w:br/>
        <w:t xml:space="preserve">SFC  </w:t>
        <w:br/>
        <w:t xml:space="preserve">confidential  </w:t>
        <w:br/>
        <w:t xml:space="preserve">WEC Lines  </w:t>
        <w:br/>
        <w:t xml:space="preserve">Streamline  </w:t>
        <w:br/>
        <w:t xml:space="preserve">Geest Line  </w:t>
        <w:br/>
        <w:t xml:space="preserve">Hapag Lloyd  </w:t>
        <w:br/>
        <w:t xml:space="preserve">MSC  </w:t>
        <w:br/>
        <w:t xml:space="preserve">Source: [confidential] (2011)  </w:t>
        <w:br/>
        <w:t xml:space="preserve">(*) All rates indicated in this table are FAK (Freight All Kind), understood from the port of embarkation of Le Havre to the port of destination  </w:t>
        <w:br/>
        <w:t xml:space="preserve">COMPARISON OF MARITIME FREIGHT RATES (in euros without discounts)*  </w:t>
        <w:br/>
        <w:t xml:space="preserve">Rates Northern Europe / Caribbean Basin – Central America (40’)  </w:t>
        <w:br/>
        <w:t xml:space="preserve">Rates Northern Europe / Antilles  </w:t>
        <w:br/>
        <w:t xml:space="preserve">Dominican Republic Dominican Republic Antilles Antilles Haiti  </w:t>
        <w:br/>
        <w:t xml:space="preserve">Freighters French (40’) (Puerto Moin) (Purto Limon)  </w:t>
        <w:br/>
        <w:t xml:space="preserve">(Caucedo) (Haina) (Willemstad) (Philipsburg) Prince)  </w:t>
        <w:br/>
        <w:t xml:space="preserve">CMA-CGM  </w:t>
        <w:br/>
        <w:t xml:space="preserve">Marfret  </w:t>
        <w:br/>
        <w:t xml:space="preserve">Maersk  </w:t>
        <w:br/>
        <w:t xml:space="preserve">SFC  </w:t>
        <w:br/>
        <w:t xml:space="preserve">confidential  </w:t>
        <w:br/>
        <w:t xml:space="preserve">WEC Lines  </w:t>
        <w:br/>
        <w:t xml:space="preserve">Streamline  </w:t>
        <w:br/>
        <w:t xml:space="preserve">Geest Line  </w:t>
        <w:br/>
        <w:t xml:space="preserve">Hapag Lloyd  </w:t>
        <w:br/>
        <w:t xml:space="preserve">MSC  </w:t>
        <w:br/>
        <w:t xml:space="preserve">Source: [confidential] (2011)  </w:t>
        <w:br/>
        <w:t xml:space="preserve">(*) All rates indicated in this table are FAK (Freight All Kind), understood from the port of embarkation of Le Havre to the port of destination  </w:t>
        <w:br/>
        <w:t xml:space="preserve">31. It thus appears that the average maritime freight rates charged by CMA-CGM, Maersk, Marfret, and WEC Lines on dry containers are 10 to 25% higher than the average rates charged by other companies operating on similar routes other than Northern Europe – French Antilles.  </w:t>
        <w:br/>
        <w:t xml:space="preserve">32. This confirms the findings made by the Authority in the aforementioned opinion. In 2009, the Authority indicated that, although the absolute level of prices was not easy to determine, due to the lack of a strongly competitive market directly comparable on the Northern Europe – Caribbean axis, several elements could suggest that the observed prices were above those of a full competition equilibrium. The Authority noted that "a shipowner, not a member of the conference, reported a decrease in its own rates during the period 2006-2008 with market share gains and announced for 2009 prices significantly lower than the average prices observed until 2008 within the SCA, which suggests that the operation of this service would still be profitable at lower price levels."  </w:t>
        <w:br/>
        <w:t>8 cf. Opinion No. 09-A-45 of September 8, 2009, § 52.</w:t>
      </w:r>
    </w:p>
    <w:p>
      <w:r>
        <w:rPr>
          <w:b/>
        </w:rPr>
        <w:t>[Pages 13–15]</w:t>
      </w:r>
    </w:p>
    <w:p>
      <w:r>
        <w:t xml:space="preserve">b) Cost Analysis  </w:t>
        <w:br/>
        <w:t xml:space="preserve">33. The costs and revenues of CMA-CGM on the PCRF service are summarized in the following table9:  </w:t>
        <w:br/>
        <w:t xml:space="preserve">Summary of CMA-CGM's costs on the PCRF line  </w:t>
        <w:br/>
        <w:t xml:space="preserve">2008 2009 2010 2011  </w:t>
        <w:br/>
        <w:t xml:space="preserve">Revenues  </w:t>
        <w:br/>
        <w:t xml:space="preserve">Transport service to customers  </w:t>
        <w:br/>
        <w:t xml:space="preserve">Freight  </w:t>
        <w:br/>
        <w:t xml:space="preserve">Miscellaneous  </w:t>
        <w:br/>
        <w:t xml:space="preserve">BAF (Bunker Adjustment Factor)*  </w:t>
        <w:br/>
        <w:t xml:space="preserve">THC (Terminal Handling Charge)**  </w:t>
        <w:br/>
        <w:t xml:space="preserve">Surcharges  </w:t>
        <w:br/>
        <w:t xml:space="preserve">Sale of slots to SCA members  </w:t>
        <w:br/>
        <w:t xml:space="preserve">Costs  </w:t>
        <w:br/>
        <w:t xml:space="preserve">including variable costs  </w:t>
        <w:br/>
        <w:t xml:space="preserve">Handling  </w:t>
        <w:br/>
        <w:t xml:space="preserve">Confidential  </w:t>
        <w:br/>
        <w:t xml:space="preserve">Handling rebates  </w:t>
        <w:br/>
        <w:t xml:space="preserve">Agent commission  </w:t>
        <w:br/>
        <w:t xml:space="preserve">Imbalances  </w:t>
        <w:br/>
        <w:t xml:space="preserve">Logistics costs  </w:t>
        <w:br/>
        <w:t xml:space="preserve">Overheads  </w:t>
        <w:br/>
        <w:t xml:space="preserve">including fixed costs  </w:t>
        <w:br/>
        <w:t xml:space="preserve">Charter  </w:t>
        <w:br/>
        <w:t xml:space="preserve">Bunkers  </w:t>
        <w:br/>
        <w:t xml:space="preserve">Port fees  </w:t>
        <w:br/>
        <w:t xml:space="preserve">Miscellaneous  </w:t>
        <w:br/>
        <w:t xml:space="preserve">Fixed costs attributed to the transport service  </w:t>
        <w:br/>
        <w:t xml:space="preserve">Fixed costs attributed to the sale of slots  </w:t>
        <w:br/>
        <w:t xml:space="preserve">Overall margin [10-20]% [10-20]% [10-20]% [10-20]%  </w:t>
        <w:br/>
        <w:t xml:space="preserve">Transport service margin [20-30]% [10-20]% [20-30]% [10-20]%  </w:t>
        <w:br/>
        <w:t xml:space="preserve">Margin on slot sales -[15-25]% -[25-35]% -[15-25]% -[5-15]%  </w:t>
        <w:br/>
        <w:t xml:space="preserve">Source: CMA-CGM after processing by the investigation services  </w:t>
        <w:br/>
        <w:t xml:space="preserve">* This surcharge corresponds to fluctuations in the price of crude oil.  </w:t>
        <w:br/>
        <w:t xml:space="preserve">** The THC represents the handling fees at the loading and unloading port. The amount can be fixed in the case of a container (price per container) or variable in the case of conventional freight (i.e., "non-containerized").  </w:t>
        <w:br/>
        <w:t xml:space="preserve">34. Upon reviewing this table, it should be noted that, despite the drop in freight rates observed between 2008 and 2011, the margin of the PCRF service generated by CMA-CGM is overall positive and stands at [10-20]% during this same period. If we seek to isolate the costs and revenues of the wholesale market (sale of slots)10 from the costs and revenues generated in the retail market (transport services to customers), it can be observed that the profit generated by CMA-CGM comes solely from its transport service to customers with an average margin of [15-25]% and negative margins on its slot sales activity (-[10-20]%), which corroborates the analysis that CMA-CGM applies high retail prices and low wholesale prices on the PCRF service.  </w:t>
        <w:br/>
        <w:t xml:space="preserve">9 The table below presents, in a synthetic manner, the analytical balance of CMA-CGM's activity on the PCRF service between 2008 and 2011, as resulting from the processing by the investigation services of the data obtained from CMA-CGM.  </w:t>
        <w:br/>
        <w:t xml:space="preserve">10 The fixed costs related to the sale of slots have thus been allocated pro rata to the annual capacities allocated between CMA-CGM and all other shipping companies using the PCRF service, while all variable costs have been allocated to the regular container transport service.  </w:t>
        <w:br/>
        <w:t xml:space="preserve">35. In this regard, and as indicated in the following table11, when comparing the costs and revenues of CMA-CGM related to the transport service to customers for the PCRF and Guyana lines, it can be noted that the average margin of the PCRF service is [one to two] times higher than that of the Guyana service.  </w:t>
        <w:br/>
        <w:t xml:space="preserve">Comparison of CMA-CGM's costs related to the PCRF service Guyana  </w:t>
        <w:br/>
        <w:t xml:space="preserve">Average annual revenues (2008-2011)  </w:t>
        <w:br/>
        <w:t xml:space="preserve">Average annual costs (2008-2011)  </w:t>
        <w:br/>
        <w:t xml:space="preserve">confidential confidential  </w:t>
        <w:br/>
        <w:t xml:space="preserve">including average annual variable costs  </w:t>
        <w:br/>
        <w:t xml:space="preserve">including average annual fixed costs  </w:t>
        <w:br/>
        <w:t xml:space="preserve">Average annual margin (2008-2011) [15-25]% [10-20]%  </w:t>
        <w:br/>
        <w:t xml:space="preserve">Source: CMA-CGM after processing by the investigation services  </w:t>
        <w:br/>
        <w:t xml:space="preserve">36. Therefore, referring to the analyses developed above, several indicators tend to demonstrate that the prices charged on the PCRF service are far from those that would be charged in a situation of full competition and suggest that dysfunctions exist that hinder the price adjustment mechanism.  </w:t>
        <w:br/>
        <w:t xml:space="preserve">D. DEFINITION OF THE RELEVANT MARKET AND ANALYSIS OF THE POSITION OF THE ACTORS  </w:t>
        <w:br/>
        <w:t xml:space="preserve">1. MARKET DEFINITION  </w:t>
        <w:br/>
        <w:t xml:space="preserve">a) Market for products and services  </w:t>
        <w:br/>
        <w:t xml:space="preserve">37. The decision-making practice of the European Commission, the case law of the courts of the European Union, and the information gathered during the investigation of the file indicate the existence of a market that includes regular container maritime transport services departing (or arriving) from Northern Europe and destined (or departing) for the French Antilles. The information collected from users of CMA-CGM's service confirms the product market definition made by the European Commission and the courts of the European Union.  </w:t>
        <w:br/>
        <w:t xml:space="preserve">38. The relevant product market is the market for regular container transport. This market is notably distinguished from the market for non-regular or tramp transport due to the fact that the latter generally do not offer the frequency, regularity, and reliability required by many shippers and that non-regular transport services cannot ensure the door-to-door service often required by customers. The relevant market retained in this case is also distinguished from the non-containerized or bulk transport market given the nature of the freight conveyed and the economic advantages associated with the use of containers, particularly their suitability for multimodal transport. Once containerization is completed, a return to bulk is very rare. Furthermore, container transport reduces storage costs and goods are less likely to be damaged (or stolen) during loading and unloading operations.  </w:t>
        <w:br/>
        <w:t xml:space="preserve">b) Geographic Delimitation  </w:t>
        <w:br/>
        <w:t xml:space="preserve">39. Regarding the geographic delimitation of the markets, it is necessary to distinguish both a departure area and a destination area for all the products and services concerned.  </w:t>
        <w:br/>
        <w:t xml:space="preserve">40. First, concerning the point of departure, in accordance with the Commission's decision-making practice and the majority of responses expressed by the companies surveyed in the context of the investigation of this case, two markets can be distinguished:  </w:t>
        <w:br/>
        <w:t xml:space="preserve"> a market for regular container maritime transport services departing from Northern Europe;  </w:t>
        <w:br/>
        <w:t xml:space="preserve"> a market for regular container maritime transport services departing from Southern Europe.  </w:t>
        <w:br/>
        <w:t xml:space="preserve">41. Next, regarding the destination, it appears that the two previously identified markets may a priori be limited to the maritime transport market destined for the French Antilles. Although the Commission analyzed, in the context of the concentration operation between Maersk and Ponl12, a market encompassing the Caribbean and Central America, no explanation regarding the delimitation of this market is included in the decision.  </w:t>
        <w:br/>
        <w:t xml:space="preserve">42. During the investigation, CMA-CGM defended the substitutability between the direct route Northern Europe/Antilles and the routes serving other ports in the Caribbean basin or Central America (using a transshipment service to the French Antilles for the last part of the journey)13.  </w:t>
        <w:br/>
        <w:t xml:space="preserve">43. However, the information gathered during the investigation of this case highlights the possible existence of a freight maritime transport market destined for the French Antilles distinct from a freight maritime transport market destined for the Caribbean and Central America.  </w:t>
        <w:br/>
        <w:t xml:space="preserve">44. From the demand perspective, substitutability between the direct route Northern Europe/Antilles and the routes serving other ports in the Caribbean basin or Central America using a transshipment service to the French Antilles is not observed. Most users surveyed still prefer the direct service over transshipment services. This choice seems to be the only possible one for perishable products for which the transit time must be as short as possible. Even for non-perishable products, a short transit favors better inventory management and greater responsiveness. Indeed, the data collected so far show that the volumes of goods transported to the French Antilles by transshipment services from a port in the Caribbean basin/Central America are very limited. In 2010, they represented only a tiny percentage of the total volume of goods destined for the ports of the Caribbean basin and Central America.  </w:t>
        <w:br/>
        <w:t xml:space="preserve">45. Furthermore, the security and reliability of the direct service, which are significantly higher than those of a service including transshipments, lean towards the absence of substitutability.  </w:t>
        <w:br/>
        <w:t xml:space="preserve">12 COMP/M. 3829 – Maersk /Ponl of July 29, 2005.  </w:t>
        <w:br/>
        <w:t>13 Hearing report of CMA-CGM of April 29, 2010.</w:t>
      </w:r>
    </w:p>
    <w:p>
      <w:r>
        <w:rPr>
          <w:b/>
        </w:rPr>
        <w:t>[Pages 16–18]</w:t>
      </w:r>
    </w:p>
    <w:p>
      <w:r>
        <w:t xml:space="preserve">between direct routes and lines including a stop at other ports in the Caribbean basin and Central America. Some companies have indeed noted that, for nearby destinations, the maritime freight rates charged on routes to the Caribbean are cheaper than those charged on the route to the French Antilles, which seems to indicate a lack of competitive pressure between the two routes.  </w:t>
        <w:br/>
        <w:t xml:space="preserve">46. Certainly, the companies using the PCRF service surveyed consider, like CMA-CGM, that a company currently serving the Caribbean basin could, in theory, easily modify its route and make a stop in the Antilles. However, this represents potential competition rather than actual competition.  </w:t>
        <w:br/>
        <w:t xml:space="preserve">47. The existence of potential competition is generally analyzed at the stage of determining a dominant position rather than at the stage of defining the relevant market. The competitive constraint created by potential entry can have a weakening effect on the market power of companies actually present in the market. However, no shipping company surveyed present in the Caribbean basin and Central America is considering serving the French Antilles in the short or medium term.  </w:t>
        <w:br/>
        <w:t xml:space="preserve">48. Thus, the North Europe/Antilles route presents a number of specificities (short transit time, ships adapted for banana transport and to Caribbean ports) that allow for the presumption of a distinct market. Consequently, the elements outlined above support a possible limitation of the geographic market to the French Antilles.  </w:t>
        <w:br/>
        <w:t xml:space="preserve">c) Conclusion  </w:t>
        <w:br/>
        <w:t xml:space="preserve">49. The relevant market identified is likely to be defined as that of regular containerized maritime transport services departing from Northern Europe and destined for the French Antilles. This market includes both outbound (Northern Europe to Antilles) and return (Antilles to Northern Europe) trips made by vessels on regular lines.  </w:t>
        <w:br/>
        <w:t xml:space="preserve">2. ANALYSIS OF THE POSITION OF THE ACTORS  </w:t>
        <w:br/>
        <w:t xml:space="preserve">a) Market Share Calculation  </w:t>
        <w:br/>
        <w:t xml:space="preserve">50. In light of the definition retained for the relevant market, the market shares of the various actors in the Northern Europe – French Antilles area are summarized in the following table. The market shares in the Southern Europe – French Antilles, Northern Europe – Caribbean basin, and Southern Europe – Caribbean basin areas are provided for illustrative purposes.  </w:t>
        <w:br/>
        <w:t>The calculation of market shares is based on the information provided by the actors during the investigation, taking into account, for both outbound and return trips, the volumes of containerized goods actually transported during the period 2008-2011.</w:t>
      </w:r>
    </w:p>
    <w:p>
      <w:r>
        <w:t xml:space="preserve">Market Share Calculation for the Period 2008-2011  </w:t>
        <w:br/>
        <w:t xml:space="preserve">Europe - French Antilles (outbound and return) Europe - Caribbean (outbound and return)  </w:t>
        <w:br/>
        <w:t xml:space="preserve">Northern Europe - Southern Europe - Northern Europe - Southern Europe -  </w:t>
        <w:br/>
        <w:t xml:space="preserve">Operators  </w:t>
        <w:br/>
        <w:t xml:space="preserve">French Antilles French Antilles Caribbean and Am. C Caribbean and Am. C  </w:t>
        <w:br/>
        <w:t xml:space="preserve">CCNI  </w:t>
        <w:br/>
        <w:t xml:space="preserve">CMA-CGM (1)  </w:t>
        <w:br/>
        <w:t xml:space="preserve">CSAV  </w:t>
        <w:br/>
        <w:t xml:space="preserve">Fyffes ContiLines  </w:t>
        <w:br/>
        <w:t xml:space="preserve">Geest Line  </w:t>
        <w:br/>
        <w:t xml:space="preserve">Hamburg Süd  </w:t>
        <w:br/>
        <w:t xml:space="preserve">Hapag Lloyd  </w:t>
        <w:br/>
        <w:t xml:space="preserve">Maersk (2) confidential  </w:t>
        <w:br/>
        <w:t xml:space="preserve">Marfret (3)  </w:t>
        <w:br/>
        <w:t xml:space="preserve">Maruba  </w:t>
        <w:br/>
        <w:t xml:space="preserve">MSC  </w:t>
        <w:br/>
        <w:t xml:space="preserve">Seatrade  </w:t>
        <w:br/>
        <w:t xml:space="preserve">SFC / Groupe FERON  </w:t>
        <w:br/>
        <w:t xml:space="preserve">WEC Lines (4)  </w:t>
        <w:br/>
        <w:t xml:space="preserve">Zim  </w:t>
        <w:br/>
        <w:t xml:space="preserve">Total consortium (1)+(2)+(3)+(4) 88.7% 100.0% 59.0% 43.4%  </w:t>
        <w:br/>
        <w:t xml:space="preserve">TOTAL 100.0% 100.0% 100.0% 100.0%  </w:t>
        <w:br/>
        <w:t xml:space="preserve">Source: Questionnaires sent to operators after processing by the investigation services  </w:t>
        <w:br/>
        <w:t xml:space="preserve">51. In the relevant market for regular containerized maritime transport services departing from Northern Europe and destined for the French Antilles, the combined market share of CMA-CGM, Maersk, Marfret, and WEC Lines amounts to 88.7%.  </w:t>
        <w:br/>
        <w:t xml:space="preserve">b) Market Size  </w:t>
        <w:br/>
        <w:t xml:space="preserve">52. The average annual volume of goods transported by container in this market was established, for the period 2008-2011, at [&gt;100,000] TEUs. [&gt;90]% of these goods were transported on the PCRF service.  </w:t>
        <w:br/>
        <w:t xml:space="preserve">53. The average annual revenue of CMA-CGM on the PCRF service during this same period was [80-120] million euros. The sale of slots to its competitors also represented [15-25] million euros per year.  </w:t>
        <w:br/>
        <w:t xml:space="preserve">E. THE PRACTICES CONCERNED  </w:t>
        <w:br/>
        <w:t xml:space="preserve">54. This case targets most of the SCA agreements concluded on the PCRF service, notably those concluded between CMA-CGM and its competitors Maersk, Marfret, and WEC Lines. The capacity leasing agreement concluded between CMA-CGM and SFC is not covered by this preliminary assessment (see paragraph 58).  </w:t>
        <w:br/>
        <w:t xml:space="preserve">1. DESCRIPTIONS OF THE MAIN CLAUSES OF THE SCA AGREEMENTS SIGNED BETWEEN CMA-CGM AND ITS PARTNERS  </w:t>
        <w:br/>
        <w:t xml:space="preserve">55. These agreements are for an indefinite duration and set the capacities allocated to the various operators. All SCA agreements contain clauses prohibiting operators from reselling the capacities allocated by CMA-CGM to third parties without its prior authorization. The agreements also contain exclusivity clauses that prohibit operators from transporting goods between Northern Europe and the French Antilles on services other than the PCRF service. The table below presents a summary of the currently effective SCA agreements, as well as their main clauses:  </w:t>
        <w:br/>
        <w:t xml:space="preserve">SCA Contracts on the PCRF Service  </w:t>
        <w:br/>
        <w:t xml:space="preserve">WEC LINES16 MAERSK17 MARFRET18 SFC19  </w:t>
        <w:br/>
        <w:t xml:space="preserve">Contract Date 29/09/2006 05/03/2007 14/07/2003 13/11/2009  </w:t>
        <w:br/>
        <w:t xml:space="preserve">Allocated Capacities [confidential] [confidential] [confidential] [confidential]  </w:t>
        <w:br/>
        <w:t xml:space="preserve">Resale of The parties may not sell slots to third parties without the prior agreement of CMA-CGM.  </w:t>
        <w:br/>
        <w:t xml:space="preserve">Slots  </w:t>
        <w:br/>
        <w:t xml:space="preserve">The parties will transport goods from or to the French Antilles using the PCRF service exclusively. No exclusivity clause since 2011.  </w:t>
        <w:br/>
        <w:t xml:space="preserve">Contract Duration of contracts unlimited.  </w:t>
        <w:br/>
        <w:t xml:space="preserve">Termination possible with 3 to 6 months' notice.  </w:t>
        <w:br/>
        <w:t xml:space="preserve">F. IMPLEMENTATION OF THE COMMITMENT PROCEDURE  </w:t>
        <w:br/>
        <w:t xml:space="preserve">56. On February 8, 2013, CMA-CGM, Maersk, Marfret, and WEC Lines sent a letter to the Competition Authority including a joint proposal of commitments (I.F.2) aimed at addressing the competition concerns as assessed by the investigation services and recalled below.  </w:t>
        <w:br/>
        <w:t xml:space="preserve">1. THE PRELIMINARY ASSESSMENT  </w:t>
        <w:br/>
        <w:t xml:space="preserve">57. In accordance with the provisions of Article R. 464-2 of the Commercial Code, the investigation services of the Authority expressed competition concerns, communicated to the parties during the hearings held on December 19 and 21, 2012, at the Authority's headquarters. These hearings were recorded in a report outlining the following elements.  </w:t>
        <w:br/>
        <w:t xml:space="preserve">58. Insofar as Maersk, Marfret, WEC Lines, and CMA-CGM are competitors, the SCA agreements signed by them on the route between Northern Europe and the French Antilles could be analyzed based on Article L. 420-1 of the Commercial Code and Article 101 of the Treaty on the Functioning of the European Union (hereinafter referred to as "TFEU").  </w:t>
        <w:br/>
        <w:t xml:space="preserve">16 SCA Contract between CMA-CGM and WEC Lines.  </w:t>
        <w:br/>
        <w:t xml:space="preserve">17 SCA Contract between CMA-CGM and Maersk.  </w:t>
        <w:br/>
        <w:t xml:space="preserve">18 SCA Contract between CMA-CGM and Marfret.  </w:t>
        <w:br/>
        <w:t>19 SCA Contract between CMA-CGM and SFC.</w:t>
      </w:r>
    </w:p>
    <w:p>
      <w:r>
        <w:rPr>
          <w:b/>
        </w:rPr>
        <w:t>[Pages 19–21]</w:t>
      </w:r>
    </w:p>
    <w:p>
      <w:r>
        <w:t xml:space="preserve">after TFEU)). The capacity lease agreement concluded between CMA-CGM and SFC is not covered by this preliminary competition assessment. Indeed, SFC, acting as a reseller of capacities and not operating ships, cannot be considered a competitor.  </w:t>
        <w:br/>
        <w:t xml:space="preserve">a) Applicable Law  </w:t>
        <w:br/>
        <w:t xml:space="preserve">59. Both national law and European law apply since the SCAs affect not only transport between French ports but are also likely to affect trade between Member States.  </w:t>
        <w:br/>
        <w:t xml:space="preserve">National Law  </w:t>
        <w:br/>
        <w:t xml:space="preserve">60. Article L. 420-1 of the Commercial Code applies to practices that are likely to have effects on one or more markets located within national territory.  </w:t>
        <w:br/>
        <w:t xml:space="preserve">61. The fact that some authors of the practices (WEC Lines and Maersk) are not established in France is not relevant in this regard. The SCAs in question affect maritime transport services between the metropolitan French ports of Dunkirk, Rouen, Le Havre, and Montoir and the ports of Pointe-à-Pitre and Fort-de-France located in the French Antilles, French overseas departments (DOM).  </w:t>
        <w:br/>
        <w:t xml:space="preserve">European Union Law  </w:t>
        <w:br/>
        <w:t xml:space="preserve">62. Article 101 of the Treaty on the Functioning of the European Union (hereinafter TFEU) applies to practices likely to affect trade between Member States. The criterion of effect on trade between Member States is met as soon as it appears with sufficient certainty, based on a set of objective legal or empirical factors, that the agreement in question may have a direct or indirect, actual or potential influence on the structure of the exchanges of goods or services between Member States. Based on the Treaty and the Commission's guidelines regarding the notion of affecting trade as set out in Articles 81 and 82 of the Treaty (OJ 2004 C 101, p. 84), the Competition Authority considers that three elements must be demonstrated to establish that practices are likely to have significantly affected intra-Community trade: (i) the existence of exchanges between Member States concerning the products subject to the practice, (ii) the existence of practices likely to affect these exchanges, and (iii) the significant nature of this possible effect.  </w:t>
        <w:br/>
        <w:t xml:space="preserve">63. According to the Commission's guidelines on the application of Article 81 of the EC Treaty to maritime transport services dated September 28, 2009, the transport services offered by liner service operators are often of an international nature as they connect Community ports with third countries and/or involve exports and imports between two or more Member States (and thus intra-Community trade). In most cases, they are likely to affect trade between Member States, particularly due to the effect they have on transport and intermediary service markets. Indeed, maritime transport service generally constitutes only one link in a supply chain that includes other services, such as handling and inland transport services. A restriction of competition at the maritime transport level would inevitably have a collateral effect on other activities and on trade outside the maritime link in question.  </w:t>
        <w:br/>
        <w:t xml:space="preserve">64. Although the SCAs concern the PCRF service which only connects French ports, they are likely to affect imports and exports between Member States. The parties to the SCAs are shipping companies operating in several Member States and offering maritime transport services to customers located worldwide wishing to export goods to the French Antilles and/or import goods produced in the French Antilles.  </w:t>
        <w:br/>
        <w:t xml:space="preserve">65. The effect on trade between Member States is likely to be all the more significant as it concerns very large shipping companies (including the global leader, Maersk, and the third-largest global operator, CMA-CGM). Therefore, the observed practices are likely to affect trade between Member States. Consequently, Article 101 of the TFEU is likely to apply alongside Article L. 420-1 of the Commercial Code. Thus, the regulations concerning the application of Community competition law to the liner shipping sector apply to the case at hand.  </w:t>
        <w:br/>
        <w:t xml:space="preserve">b) Economic and Legal Framework  </w:t>
        <w:br/>
        <w:t xml:space="preserve">66. The current SCAs between CMA-CGM, on the one hand, and Maersk, Marfret, and WEC Lines, on the other hand, are likely to be the result of a broader arrangement between CMA-CGM, Maersk, and Marfret notified to the European Commission in 2000 when Regulation (EC) No. 823/2000, imposing the obligation to notify consortium agreements, was in force.  </w:t>
        <w:br/>
        <w:t xml:space="preserve">67. This arrangement would have consisted of the withdrawal of five Maersk ships that had been serving the Northern Europe/Caribbean route since 1999 (serving the Caribbean basin ports of Guadeloupe, Martinique, and Venezuela) and the chartering of four ships from this same operator on the Southern Europe/Caribbean route. Consequently, two agreements were concluded and notified to the European Commission:  </w:t>
        <w:br/>
        <w:t xml:space="preserve">a. CMA-CGM, remaining the only operator to charter ships on the Northern Europe/Caribbean route (serving the Caribbean basin and the ports of Guadeloupe and Martinique), concluded a capacity allocation agreement (SCA) on its ships with Maersk and Marfret;  </w:t>
        <w:br/>
        <w:t xml:space="preserve">b. Maersk, Marfret, and CMA-CGM concluded a Vessel Sharing Agreement (VSA) on the Southern Europe/Caribbean route, with Maersk contributing four ships, CMA-CGM one ship, and Marfret another ship. Since April 1, 2007, Maersk has withdrawn from this route by disengaging from the VSA.  </w:t>
        <w:br/>
        <w:t xml:space="preserve">68. It can also be observed that Marfret and WEC Lines withdrew from the Northern Europe – French Antilles route before concluding SCAs with CMA-CGM. Marfret exited the market in 1980 and WEC Lines in 2005. After the cessation of competing services, CMA-CGM remained the only credible operator in the market, and its competitors decided to sign SCAs with it in order to continue offering a liner maritime transport service to the Antillean ports.  </w:t>
        <w:br/>
        <w:t xml:space="preserve">69. The various shipping companies justify their exit from the market and the signing of SCAs with CMA-CGM by reasons of profitability, viability, cost-sharing, and better adaptability of CMA-CGM's ships to the Antillean ports:  </w:t>
        <w:br/>
        <w:t xml:space="preserve"> WEC Lines, which started a service between Northern Europe and the French Antilles in 2003 with its own ships, withdrew from the market because the service was no longer financially viable, particularly given the prices charged by its competitor CMA-CGM. The company thus signed its first SCA with CMA-CGM in September 2005.  </w:t>
        <w:br/>
        <w:t xml:space="preserve"> Maersk, for its part, stopped its containerized liner shipping service between Northern Europe and the French Antilles in 2000 because [confidential].  </w:t>
        <w:br/>
        <w:t xml:space="preserve"> Regarding Marfret, the company concluded an SCA with CMA-CGM [confidential].  </w:t>
        <w:br/>
        <w:t xml:space="preserve">70. It should be noted that the competitive situation in the maritime transport sector is the product of the existence of several block exemption regulations, notably the block exemption regulation No. 4056/86 which allowed carriers to jointly set prices and regulate capacities. These "authorized cartels," also known as "shipping conferences," have organized liner shipping since the 1870s.  </w:t>
        <w:br/>
        <w:t>71. The block exemption regulation in favor of shipping conferences was repealed on October 18, 2008, by Regulation No. 1419/2006. From that date, liner shipping is subject to competition rules.</w:t>
      </w:r>
    </w:p>
    <w:p>
      <w:r>
        <w:rPr>
          <w:b/>
        </w:rPr>
        <w:t>[Pages 22–24]</w:t>
      </w:r>
    </w:p>
    <w:p>
      <w:r>
        <w:t xml:space="preserve">72. The former block exemption regulation No. 823/2000 and the new block exemption regulation No. 906/2009, which has replaced the previous one since April 26, 2010, establish the conditions for exemption for "consortium" agreements, that is to say, cooperation agreements for the joint operation of a maritime transport service, notably SCAs.  </w:t>
        <w:br/>
        <w:t xml:space="preserve">73. Upon notification of the agreements under regulation No. 823/2000, the European Commission, noting that the opposition period had expired, considered that the notified agreements were deemed exempt for the duration of regulation No. 823/2000, that is to say until April 25, 2005.  </w:t>
        <w:br/>
        <w:t xml:space="preserve">c) The SCAs  </w:t>
        <w:br/>
        <w:t xml:space="preserve">74. CMA-CGM, Maersk, Marfret, and WEC Lines are companies within the meaning of Articles L. 420-1 of the Commercial Code and 101 of the TFEU. The existence of agreements of intent between CMA-CGM, on the one hand, and Maersk, Marfret, and WEC Lines, on the other hand, is not in doubt in this case, as it has been formalized by duly executed contracts.  </w:t>
        <w:br/>
        <w:t xml:space="preserve">75. The SCAs described above concern the sale and purchase of capacities on the PCRF service. CMA-CGM thus sells space to its competitors on its four ships that connect the metropolitan ports of Dunkirk, Le Havre, Rouen, and Montoir de Bretagne to the Caribbean ports of Pointe-à-Pitre and Fort-de-France. CMA-CGM's ships transport approximately 90% of the goods on this route. The two other shipping companies active on this line are small and serve only one of the French Caribbean islands each (Seatrade calls at Guadeloupe and Geest Line at Martinique).  </w:t>
        <w:br/>
        <w:t xml:space="preserve">76. While it is not excluded that the SCAs may contribute to streamlining the activities of the member companies or allow for a more efficient use of ship capacity, while improving the frequency of services, stops, or service quality (notably due to the use of more modern ships suited to Caribbean ports), certain clauses of these agreements are, however, likely to restrict competition and do not appear, as noted in the statement of competition concerns, to be necessary to achieve these objectives.  </w:t>
        <w:br/>
        <w:t xml:space="preserve">77. Among the provisions likely to restrict competition, the following have been specifically identified:  </w:t>
        <w:br/>
        <w:t xml:space="preserve">the existence of exclusivity clauses, prohibiting CMA-CGM's contracting parties from loading quantities outside the SCA without its consent;  </w:t>
        <w:br/>
        <w:t xml:space="preserve">the capacity allocation mechanism within the ships which, in the current state of the contracts, is subject to discretionary decisions by CMA-CGM and does not meet any objective criteria;  </w:t>
        <w:br/>
        <w:t xml:space="preserve">the prohibition for CMA-CGM's contracting parties to resell unused capacity to third parties;  </w:t>
        <w:br/>
        <w:t xml:space="preserve">the duration of the contracts, which is currently indefinite.  </w:t>
        <w:br/>
        <w:t xml:space="preserve">78. By preventing the parties to the agreement, other than CMA-CGM, from transporting goods to the French Caribbean on competing services and prohibiting the possibility of reselling unused capacities, these provisions are likely to reduce these parties' ability to adapt to demand and to contest the market. Furthermore, the exclusivity clause may constitute an obstacle to the development of competing container transport services to the PCRF service as well as to the creation of new services.  </w:t>
        <w:br/>
        <w:t xml:space="preserve">79. Under these conditions, these contractual provisions have the effect of hindering the entry of new operators into the market, which limits their contestability. The indefinite duration of the agreements and the clause prohibiting the resale of capacity to third parties tend to perpetuate the presence of the same operators in the market. They do not allow potential new entrants to lease capacities on CMA-CGM's ships and limit the ability of existing operators to contest their respective markets.  </w:t>
        <w:br/>
        <w:t xml:space="preserve">80. It results from the cumulative effect of all these provisions that active operators have no incentive to compete on price to gain market share, as demonstrated by the stability of market shares since 2007, as well as the relatively high price levels and margins observed on the Northern Europe-French Caribbean route (cf. IC.2.).  </w:t>
        <w:br/>
        <w:t xml:space="preserve">d) Conclusion  </w:t>
        <w:br/>
        <w:t xml:space="preserve">81. It follows from the above that, although the SCAs may in principle generate positive economic effects for the market, certain clauses of the agreements in question restrict competition to the point of being regarded as likely to be contrary to Article L. 420-1 of the Commercial Code and Article 101 of the TFEU, as they are not necessary to achieve the observed positive economic effects.  </w:t>
        <w:br/>
        <w:t xml:space="preserve">82. As developed above, these provisions concern:  </w:t>
        <w:br/>
        <w:t xml:space="preserve">the existence of exclusivity clauses in the SCAs, prohibiting CMA-CGM's contracting parties from loading quantities outside the SCA without its consent;  </w:t>
        <w:br/>
        <w:t xml:space="preserve">the capacity allocation mechanism within the ships which, in the current state of the contracts, remains subject to CMA-CGM's discretion and does not meet any objective criteria;  </w:t>
        <w:br/>
        <w:t xml:space="preserve">the prohibition for CMA-CGM's contracting parties to resell unused capacity to third parties;  </w:t>
        <w:br/>
        <w:t xml:space="preserve">the duration of the contracts, which is currently indefinite.  </w:t>
        <w:br/>
        <w:t>36 "The calculation of this rate is based exclusively on the capacities retained by the concerned partner, that is to say excluding any capacities that may have been transferred to a third party. Furthermore, this calculation is based on the capacities actually made available to the Partner."</w:t>
      </w:r>
    </w:p>
    <w:p>
      <w:r>
        <w:t xml:space="preserve">2. JOINT PROPOSAL OF COMMITMENTS OF FEBRUARY 8, 2013  </w:t>
        <w:br/>
        <w:t xml:space="preserve">83. In view of the competition concerns expressed, the parties submitted, by letter registered on February 8, 2013, a proposal of commitments. A summary of the competition concerns and the commitments proposed by the parties were posted online on February 13, 2013, on the website of the Competition Authority to gather observations from any interested third parties.  </w:t>
        <w:br/>
        <w:t xml:space="preserve">84. The text of the commitments proposed by the parties on February 8, 2013, is as follows:  </w:t>
        <w:br/>
        <w:t xml:space="preserve">a) Commitment No. 1 – On the exclusivity clause  </w:t>
        <w:br/>
        <w:t xml:space="preserve">85. "The Parties commit to immediately remove the exclusivity clause contained in the SCAs binding CMA-CGM to the current Partners on this line."  </w:t>
        <w:br/>
        <w:t xml:space="preserve">b) Commitment No. 2 – On the resale prohibition clause  </w:t>
        <w:br/>
        <w:t xml:space="preserve">86. "The Parties commit, under the conditions described below, to modify the SCAs to allow the current Partners the ability to transfer to third parties all or part of the capacities they hold on the PCRF under the SCAs.  </w:t>
        <w:br/>
        <w:t xml:space="preserve">87. The Partners will determine each year whether they wish to put fixed or variable capacities on the market for a duration of one year.  </w:t>
        <w:br/>
        <w:t xml:space="preserve">88. The capacities that a Partner decides to transfer will be sold at a price negotiated bilaterally between the Partner and the buyer."  </w:t>
        <w:br/>
        <w:t xml:space="preserve">Right of preemption  </w:t>
        <w:br/>
        <w:t xml:space="preserve">89. "CMA-CGM will have a right of preemption regarding the capacities that its Partners wish to resell. The buyback price by CMA-CGM will be the same as the sale price of the slot according to the terms of the SCA entered into with the concerned Partner.  </w:t>
        <w:br/>
        <w:t xml:space="preserve">90. This right may only be exercised by CMA-CGM to use the capacities, not to transfer them to a third party or to prevent one of its competitors from using them."  </w:t>
        <w:br/>
        <w:t xml:space="preserve">Approval of the transferee  </w:t>
        <w:br/>
        <w:t xml:space="preserve">91. "If CMA-CGM decides not to exercise its right of preemption, the Partner is free to transfer the capacities to a third party of its choice.  </w:t>
        <w:br/>
        <w:t xml:space="preserve">92. However, the third-party operator acquiring the capacities must first receive the approval of CMA-CGM, which will accept any reasonable request, the approval of CMA-CGM aiming to ensure that access to the PCRF granted to a third party does not harm the interests or image of CMA-CGM.  </w:t>
        <w:br/>
        <w:t xml:space="preserve">93. In this regard, CMA-CGM may only refuse its approval if:  </w:t>
        <w:br/>
        <w:t xml:space="preserve"> the third-party operator is on a list of recipients of economic sanctions or embargo measures (whether decided by the European Union, the United States, the United Nations, etc.);  </w:t>
        <w:br/>
        <w:t> the third-party operator does not comply with the applicable regulations for dangerous goods (IMDG Code of the IMO), for protected species (IUCN Red List,</w:t>
      </w:r>
    </w:p>
    <w:p>
      <w:r>
        <w:rPr>
          <w:b/>
        </w:rPr>
        <w:t>[Pages 25–27]</w:t>
      </w:r>
    </w:p>
    <w:p>
      <w:r>
        <w:t xml:space="preserve">economic sanctions or embargo measures (whether decided by the European Union, the United States, the United Nations, etc.);  </w:t>
        <w:br/>
        <w:t xml:space="preserve"> the third-party operator does not comply with the regulations applicable to dangerous goods (IMDG Code of the IMO), protected species (IUCN Red List, CITES Convention), waste (Basel Convention), counterfeiting, and the fight against fraud and corruption; or  </w:t>
        <w:br/>
        <w:t xml:space="preserve"> the third-party operator operates its own service on the Northern Europe – French Antilles line and therefore has its own capacities.  </w:t>
        <w:br/>
        <w:t xml:space="preserve">94. The failure of CMA-CGM to respond to a request for approval from a Partner within 15 working days from the day of notification of the request will constitute tacit approval by CMA-CGM."  </w:t>
        <w:br/>
        <w:t xml:space="preserve">Compliance with the provisions of the SCA  </w:t>
        <w:br/>
        <w:t xml:space="preserve">95. "From a contractual perspective, the CMA-CGM Partner who has assigned capacities to a third party on the PCRF remains solely responsible, vis-à-vis CMA-CGM, for the proper execution of the terms and conditions of the SCA contract entered into with CMA-CGM."  </w:t>
        <w:br/>
        <w:t xml:space="preserve">c) Commitment No. 3 – On the duration of SCA contracts  </w:t>
        <w:br/>
        <w:t xml:space="preserve">96. "The Parties commit to amend the provisions relating to the duration of the SCAs by transforming the current indefinite duration SCAs into fixed-term contracts of two years, which may be renegotiated or terminated at any time by either party with a notice period of three to six months. If both parties to a given SCA agree, the duration of this notice period may then be shortened. The SCAs concluded between CMA-CGM and the Partners may in particular be renegotiated or terminated in the event that a Partner opens its own service to the French Antilles.  </w:t>
        <w:br/>
        <w:t xml:space="preserve">97. The new contractual provisions negotiated between CMA-CGM and each of the Partners at the end of each two-year cycle will take effect immediately or, at the request of the concerned partner, within a period of up to 6 months from the anniversary date of the relevant SCA contract.  </w:t>
        <w:br/>
        <w:t xml:space="preserve">98. The allocation of capacities at the beginning of a new two-year cycle will proceed in the following sequential manner:  </w:t>
        <w:br/>
        <w:t xml:space="preserve">• CMA-CGM determines the capacities it needs for the next two-year cycle. CMA-CGM's allocation for the new cycle may be less than or greater than that which CMA-CGM had during the previous cycle. CMA-CGM commits to maintaining a minimum annual average utilization rate of its capacities of 80% for containers loaded from Northern Europe to the French Antilles (hereinafter Minimum Annual Average Utilization Rate of Capacities). Failing this, CMA-CGM commits to justifying retrospectively, at the request of the Authority, the reasons why it could not achieve the Minimum Annual Average Utilization Rate of Capacities.  </w:t>
        <w:br/>
        <w:t xml:space="preserve">• CMA-CGM allocates capacities to the Partners and any potential new entrants based on their requests within the limits of available capacities, according to the following rules:  </w:t>
        <w:br/>
        <w:t xml:space="preserve"> In the event that all capacity requests from the Partners and potential new entrants can be satisfied based on available capacities, CMA-CGM will fulfill all these requests.  </w:t>
        <w:br/>
        <w:t xml:space="preserve"> In the event that available capacities are less than the capacities requested by the Partners and potential new entrants, CMA-CGM will allocate the available capacities as follows:  </w:t>
        <w:br/>
        <w:t xml:space="preserve">- If the Partner has achieved during the previous cycle the fixed and variable Minimum Annual Average Utilization Rate of Capacities of 80%, the Partner will have a priority right to obtain capacities compared to (i) other Partners who have not reached this Minimum Annual Average Utilization Rate of Capacities and (ii) potential new entrants;  </w:t>
        <w:br/>
        <w:t xml:space="preserve">- The available capacities will then be distributed among potential new entrants and Partners who have not reached the Minimum Annual Average Utilization Rate of Capacities of 80%."  </w:t>
        <w:br/>
        <w:t xml:space="preserve">d) On the implementation timelines of the commitments  </w:t>
        <w:br/>
        <w:t xml:space="preserve">99. The commitments proposed by the parties "will come into effect immediately after notification to the Parties of the decision of the Competition Authority and will apply to ongoing contracts between the Parties on the Northern Europe – French Antilles line. They are proposed for an indefinite duration. Upon the expiration of a period of four years after the start of their implementation, the Parties propose to meet with the Competition Authority to discuss the relevance of maintaining these commitments in light of the structure of the offer on the Northern Europe – French Antilles line and/or the economic conditions of maritime transport from Europe to the Caribbean.  </w:t>
        <w:br/>
        <w:t xml:space="preserve">100. If at any time there is a significant change in the legal or factual circumstances existing at the time of acceptance by the Competition Authority of these commitments, either Party may submit a request to the Authority for a revision or removal of these commitments. For example, the launch of one or more new regular service offers (weekly, biweekly, or monthly) serving the Antilles either directly or by transshipment would constitute such a change opening the right to renegotiate these commitments. In this regard, a new service offer may be established based on the ships already operating to the French Antilles."  </w:t>
        <w:br/>
        <w:t xml:space="preserve">e) On the verification of the implementation of the commitments  </w:t>
        <w:br/>
        <w:t xml:space="preserve">101. "The Parties propose to provide the investigation services of the Authority with copies of the amendments made to the SCAs in execution of this proposal of commitments and copies of the new contracts concluded at the end of the two-year period between CMA-CGM and its Partners.  </w:t>
        <w:br/>
        <w:t xml:space="preserve">102. CMA-CGM will also transmit to the Authority, at the end of each two-year period, data relating to the utilization rates of capacities by CMA-CGM and by the Partners, in the form of individualized submissions for each Partner. Each Partner will receive a copy of the correspondence sent to the Authority including its own capacity utilization rate."  </w:t>
        <w:br/>
        <w:t xml:space="preserve">3. RESPONSES TO THE MARKET TEST  </w:t>
        <w:br/>
        <w:t xml:space="preserve">103. Within the allotted time, Sea Shipping Services and an individual notably submitted observations on the commitments proposed by the parties.  </w:t>
        <w:br/>
        <w:t xml:space="preserve">104. Contributors to the market test highlight CMA-CGM's preeminent position on the Northern Europe/French Antilles line. They propose to prohibit the current SCAs, which could result in the creation of two partnerships between the parties involved (for example, an SCA between CMA-CGM and Marfret and another between Maersk and WEC Lines). The creation of partnerships in the form of VSAs – which would allow participants to exchange space by sharing ships – has also been proposed.  </w:t>
        <w:br/>
        <w:t xml:space="preserve">4. FINAL COMMITMENTS PROPOSED BY THE PARTIES  </w:t>
        <w:br/>
        <w:t xml:space="preserve">105. The proposal of commitments from the parties was modified on April 23, 2013, and during the session of the Authority that took place on April 24 and 29, 2013. The final version of these proposals is reproduced below:  </w:t>
        <w:br/>
        <w:t xml:space="preserve">a) Context of the proposal of commitments  </w:t>
        <w:br/>
        <w:t xml:space="preserve">106. "CMA-CGM operates four ships (the PCRF) on the Northern Europe – French Antilles line and, in this capacity, is required to enter into space charter agreements (Slot Charter Agreement – SCA) with other operators (hereinafter the Partners).  </w:t>
        <w:br/>
        <w:t xml:space="preserve">107. The proposal of commitments below addresses the competition concerns expressed by the investigation services of the Competition Authority regarding the SCAs entered into by CMA-CGM with three operators (AP Moller Maersk, Marfret, and WEC Lines; hereinafter the current Partners) concerning the PCRF operating the Northern Europe – French Antilles line. It applies to any SCA – or equivalent contracts – that CMA-CGM may be required to enter into in this context.  </w:t>
        <w:br/>
        <w:t xml:space="preserve">108. The proposal of commitments below is jointly submitted on behalf of CMA-CGM and the current Partners (hereinafter the Parties)."  </w:t>
        <w:br/>
        <w:t xml:space="preserve">b) Commitment No. 1 – On the exclusivity clause  </w:t>
        <w:br/>
        <w:t xml:space="preserve">109. "The Parties commit to immediately remove the exclusivity clause contained in the SCAs binding CMA-CGM to the current Partners on this line."  </w:t>
        <w:br/>
        <w:t xml:space="preserve">c) Commitment No. 2 – On the resale prohibition clause  </w:t>
        <w:br/>
        <w:t>110. "The Parties commit, under the conditions described below, to amend the SCAs to allow the current Partners the ability to assign to third parties all or part of the capacities they hold on the PCRF under the SCAs.</w:t>
      </w:r>
    </w:p>
    <w:p>
      <w:r>
        <w:rPr>
          <w:b/>
        </w:rPr>
        <w:t>[Pages 28–30]</w:t>
      </w:r>
    </w:p>
    <w:p>
      <w:r>
        <w:t xml:space="preserve">111. The Partners will determine every six months whether they wish to put fixed or variable capacities on the market for a duration of six months.  </w:t>
        <w:br/>
        <w:t xml:space="preserve">112. The capacities that a Partner decides to transfer will be sold at a price negotiated bilaterally between the Partner and the buyer.  </w:t>
        <w:br/>
        <w:t xml:space="preserve">Right of Preemption  </w:t>
        <w:br/>
        <w:t xml:space="preserve">113. "CMA-CGM will have a right of preemption regarding the capacities that its Partners wish to resell. The buyback price by CMA-CGM will be identical to the selling price of the slot according to the terms of the SCA concluded with the relevant Partner.  </w:t>
        <w:br/>
        <w:t xml:space="preserve">114. This right can only be exercised by CMA-CGM to utilize the capacities, not to transfer them to a third party or to prevent one of its competitors from using them.  </w:t>
        <w:br/>
        <w:t xml:space="preserve">115. This right of preemption can only be exercised by CMA-CGM to the extent that it anticipates, within the 6 months following the exercise of the right of preemption, a utilization rate (i) of the capacities it had before exercising its right of preemption (Initial Capacities) of 90% and (ii) a minimum utilization rate of the preempted capacities (Preempted Capacities) of 80%.  </w:t>
        <w:br/>
        <w:t xml:space="preserve">116. CMA-CGM commits to communicate to a representative, at the end of each semester during which CMA-CGM may have exercised its right of preemption, the data necessary to calculate the utilization rate of its Initial Capacities and the utilization rate of its Preempted Capacities during said period.  </w:t>
        <w:br/>
        <w:t xml:space="preserve">117. In the event that CMA-CGM has not been able to meet the minimum utilization rate of the Initial Capacities or the minimum utilization rate of the Preempted Capacities, CMA-CGM commits to communicate to the Competition Authority the elements justifying the reasons for non-compliance with these utilization rates in light of the observed impact of the objectively listed elements below:  </w:t>
        <w:br/>
        <w:t xml:space="preserve"> modification of the economic, political, or social situation in the Caribbean/Central America/South America region;  </w:t>
        <w:br/>
        <w:t xml:space="preserve"> regulatory developments concerning the Antilles;  </w:t>
        <w:br/>
        <w:t xml:space="preserve"> failure of an existing client or a future client who has begun negotiations;  </w:t>
        <w:br/>
        <w:t xml:space="preserve"> climatic hazard;  </w:t>
        <w:br/>
        <w:t xml:space="preserve"> modification of the structure of the transport service offering serving the Caribbean/Central America/South America region;  </w:t>
        <w:br/>
        <w:t xml:space="preserve"> technical problem affecting the PCRF service.  </w:t>
        <w:br/>
        <w:t xml:space="preserve">118. The Partners must notify CMA-CGM of their wish to sell capacities between eight and six weeks before the departure of the voyage. CMA-CGM will have half of this period from the notification to exercise its right of preemption on all or part of the capacities put up for sale.  </w:t>
        <w:br/>
        <w:t xml:space="preserve">119. Failing the exercise of the right of preemption within this period, CMA-CGM may, on the same basis as the other Partners, purchase all or part of the capacity made available at a price negotiated bilaterally.  </w:t>
        <w:br/>
        <w:t xml:space="preserve">Approval of the Transferee  </w:t>
        <w:br/>
        <w:t xml:space="preserve">120. "If CMA-CGM decides not to exercise its right of preemption, the Partner is free to transfer the capacities to a third party of its choice.  </w:t>
        <w:br/>
        <w:t xml:space="preserve">121. However, the third-party operator acquiring the capacities must first receive the approval of CMA-CGM, which will accept any reasonable request, the approval of CMA-CGM aiming to ensure that access to the PCRF granted to a third party does not harm the interests or image of CMA-CGM.  </w:t>
        <w:br/>
        <w:t xml:space="preserve">122. In this regard, CMA-CGM may only refuse its approval if:  </w:t>
        <w:br/>
        <w:t xml:space="preserve"> the third-party operator is on a list of recipients of economic sanctions or embargo measures (whether decided by the European Union, the United States, the United Nations, etc.);  </w:t>
        <w:br/>
        <w:t xml:space="preserve"> the third-party operator does not comply with the regulations applicable to dangerous goods (IMDG Code of the IMO), protected species (IUCN Red List, CITES Convention), waste (Basel Convention), counterfeiting, and the fight against fraud and corruption; or  </w:t>
        <w:br/>
        <w:t xml:space="preserve"> the third-party operator operates its own service on the Northern Europe – French Antilles line and therefore has its own capacities.  </w:t>
        <w:br/>
        <w:t xml:space="preserve">123. The lack of response from CMA-CGM to a Partner's request for approval within 15 working days from the day of notification of the request will be deemed tacit approval by CMA-CGM."  </w:t>
        <w:br/>
        <w:t xml:space="preserve">Compliance with the Provisions of the SCA  </w:t>
        <w:br/>
        <w:t xml:space="preserve">124. "From a contractual perspective, the Partner of CMA-CGM who has transferred capacities to a third party on the PCRF remains solely responsible, vis-à-vis CMA-CGM, for the proper execution of the terms and conditions of the SCA contract concluded with CMA-CGM."  </w:t>
        <w:br/>
        <w:t xml:space="preserve">d) Commitment No. 3 – On the Duration of SCA Contracts  </w:t>
        <w:br/>
        <w:t xml:space="preserve">125. "The Parties commit to modify the provisions relating to the duration of the SCAs by transforming the current indefinite duration SCAs into contracts of a duration of two years, subject to being renegotiated or terminated at any time by either party with a notice period of three to six months. If both parties to a given SCA agree, the duration of this notice period may then be shortened. The SCAs concluded between CMA-CGM and the Partners may in particular be renegotiated or terminated in the event that a Partner opens its own service to the French Antilles.  </w:t>
        <w:br/>
        <w:t xml:space="preserve">126. The new contractual provisions negotiated between CMA-CGM and each of the Partners at the end of each two-year cycle will take effect immediately or, at the request of the concerned Partner, within a period of up to 6 months from the anniversary date of the relevant SCA contract.  </w:t>
        <w:br/>
        <w:t xml:space="preserve">127. CMA-CGM commits to provide any potential new entrant, upon request, with relevant information regarding available capacities, as well as the date of availability of these capacities.  </w:t>
        <w:br/>
        <w:t xml:space="preserve">128. The allocation of capacities during a new two-year cycle will proceed in the following sequential manner:  </w:t>
        <w:br/>
        <w:t xml:space="preserve">• CMA-CGM determines the capacities it needs during the next two-year cycle. CMA-CGM's allocation for the new cycle may be less than or greater than that which CMA-CGM had during the previous cycle. CMA-CGM commits to maintaining a minimum average annual utilization rate of its capacities of 80% for containers loaded from Northern Europe to the French Antilles (hereinafter Minimum Average Annual Utilization Rate of Capacities). Otherwise, CMA-CGM commits to justifying retrospectively, at the request of the Authority, the reasons why it could not achieve the Minimum Average Annual Utilization Rate of Capacities.  </w:t>
        <w:br/>
        <w:t xml:space="preserve">• CMA-CGM allocates capacities to the Partners and any potential new entrants based on their requests within the limits of available capacities, according to the following rules:  </w:t>
        <w:br/>
        <w:t xml:space="preserve"> In the event that all capacity requests from the Partners and potential new entrants can be satisfied based on available capacities, CMA-CGM satisfies all of these requests.  </w:t>
        <w:br/>
        <w:t xml:space="preserve"> In the event that available capacities are less than the capacities requested by the Partners and potential new entrants, CMA-CGM allocates the available capacities as follows:  </w:t>
        <w:br/>
        <w:t xml:space="preserve">- if the Partner has achieved during the previous cycle the Minimum Average Annual Utilization Rate of fixed and variable Capacities of 80%, the Partner will have a priority right to obtain capacities compared to (i) other Partners who have not achieved this Minimum Average Annual Utilization Rate of Capacities and (ii) potential new entrants;  </w:t>
        <w:br/>
        <w:t xml:space="preserve">- any available capacities will then be distributed among potential new entrants and Partners who have not achieved the Minimum Average Annual Utilization Rate of fixed and variable Capacities of 80%. In the event that the remaining capacities are insufficient to satisfy these requests, the capacities will be allocated with priority to the applicant who has proposed the highest price per TEU."  </w:t>
        <w:br/>
        <w:t xml:space="preserve">e) On the Implementation Timelines of the Commitments  </w:t>
        <w:br/>
        <w:t xml:space="preserve">129. "These commitments will come into effect immediately after notification to the Parties of the decision of the Competition Authority validating this proposal of commitments and will apply to ongoing contracts between the Parties and any SCA – or equivalent contracts – that CMA-CGM may enter into within the framework of the Northern Europe – French Antilles line.  </w:t>
        <w:br/>
        <w:t xml:space="preserve">130. These commitments are proposed for an indefinite duration. After a period of four years following the start of their implementation, the Parties and the Competition Authority will meet to discuss the relevance of maintaining these commitments in light of the structure of the offering on the Northern Europe – French Antilles line and/or the economic conditions of maritime transport from Europe to the Caribbean.  </w:t>
        <w:br/>
        <w:t>131. If at any time there is a significant change in the legal or factual circumstances prevailing at the time of acceptance by the Authority of the commitments, the calculation of this rate is based exclusively on the capacities retained by the relevant Partner, that is to say excluding the capacities that may have been transferred to a third party. Furthermore, this calculation is based on the fixed capacities and the variable capacities allocated to the Partner, whether used or not by it. However, in the event that CMA-CGM uses all or part of the variable capacities of the Partners, these capacities used by CMA-CGM will be deducted from the calculation base of the utilization rate of the Partners concerned, in proportion to the variable capacities of the Partner in the total of the allocated variable capacities, and will be taken into account for the calculation of the utilization rate of CMA-CGM. For the determination of the potential priority right of the Partners, the average of their Minimum Average Annual Utilization Rates of Capacities for the two years of the past cycle will be calculated."</w:t>
      </w:r>
    </w:p>
    <w:p>
      <w:r>
        <w:rPr>
          <w:b/>
        </w:rPr>
        <w:t>[Pages 31–33]</w:t>
      </w:r>
    </w:p>
    <w:p>
      <w:r>
        <w:t xml:space="preserve">would impose obligations on the parties.  </w:t>
        <w:br/>
        <w:t xml:space="preserve">g) On the verification of the implementation of the commitments  </w:t>
        <w:br/>
        <w:t xml:space="preserve">132. "The Parties commit to appoint an independent representative. The Representative will be tasked with monitoring the exercise of CMA-CGM's preemption right described in point 2.2.1 above [cf. paragraphs 113 to 119]. The rules regarding the appointment and role of the representative are attached to these commitments [cf. I.F.4.g)].  </w:t>
        <w:br/>
        <w:t xml:space="preserve">133. The Parties propose to provide the Competition Authority with copies of the amendments made to the SCAs or any equivalent contract in execution of this proposal of commitments and copies of the new contracts concluded at the end of the two-year period between CMA-CGM and its Partners, as well as its future Partners.  </w:t>
        <w:br/>
        <w:t xml:space="preserve">134. CMA-CGM will also transmit to the Authority, at the end of each two-year period, the data necessary to calculate the capacity utilization rates by CMA-CGM and by the Partners, in the form of individualized submissions for each of the Partners. Each Partner will receive a copy of the correspondence sent to the Authority containing its own capacity utilization rate.  </w:t>
        <w:br/>
        <w:t xml:space="preserve">135. Finally, when exercising the preemption right referred to in section 2.2.1 above [cf. paragraphs 113 to 119], CMA-CGM will notify the approved representative without delay. At the end of the semi-annual period during which this right has been exercised, CMA-CGM will provide the representative with the necessary elements for the proper execution of its mission as defined in the annex."  </w:t>
        <w:br/>
        <w:t xml:space="preserve">h) On the appointment and role of the representative (part attached to the commitments)  </w:t>
        <w:br/>
        <w:t xml:space="preserve">Appointment of the representative  </w:t>
        <w:br/>
        <w:t xml:space="preserve">136. "Within 30 working days following the notification of the decision making these commitments mandatory, the Parties will propose the name of a Representative to the Authority, along with a draft mandate allowing him to carry out the missions described below.  </w:t>
        <w:br/>
        <w:t xml:space="preserve">137. The Representative must have the necessary support structures to carry out his mission.  </w:t>
        <w:br/>
        <w:t xml:space="preserve">138. The proposal will contain all the information allowing the Authority to ensure that the Representative is independent of the Parties and that he meets the necessary conditions of professionalism, impartiality, and expertise for the execution of his mandate. In particular, the proposal must include the full text of the mandate and the main lines of the work plan that the Representative intends to follow to accomplish his mission.  </w:t>
        <w:br/>
        <w:t xml:space="preserve">139. The proposal will also provide for the terms of remuneration of the Representative. He will be compensated by the parties in a manner that does not compromise the proper execution of his mandate or his independence.  </w:t>
        <w:br/>
        <w:t xml:space="preserve">140. The Authority may accept the proposed Representative, as well as the mandate contract, with any modifications it deems necessary, or refuse it by written decision. In the event of the Authority's refusal to approve the Representative, a new candidate will be proposed under the same conditions within 10 working days following the written notification to the Parties of the refusal of approval. In the event of a second refusal of approval, the Authority will itself propose, as soon as possible, a Representative whose appointment will be made after consulting the Parties."  </w:t>
        <w:br/>
        <w:t xml:space="preserve">Conflicts of interest  </w:t>
        <w:br/>
        <w:t xml:space="preserve">141. "Any existing relationships between the Representative, on the one hand, and the Parties or any other company whose interests may be close to those of the Parties, on the other hand, will be described in the proposal submitted to the Authority.  </w:t>
        <w:br/>
        <w:t xml:space="preserve">142. On this basis, the Representative will confirm that from the date of signing the Mandate, he is independent of the Parties or any other company whose interests may be close to those of the Parties, and is not exposed to any conflict of interest that undermines his objectivity and ability to execute the missions entrusted to him under the Mandate independently.  </w:t>
        <w:br/>
        <w:t xml:space="preserve">143. The Representative commits to not creating any conflict of interest during the execution of the Mandate. The Representative will therefore not, during the execution of this Mandate:  </w:t>
        <w:br/>
        <w:t xml:space="preserve">• hold or accept any employment, position, or social mandate within the companies that are parties to this procedure, except for any appointments related to the implementation and execution of the Mandate;  </w:t>
        <w:br/>
        <w:t xml:space="preserve">• execute or accept any mission or any other business relationship with the companies that are parties to this procedure that could give rise to a conflict of interest.  </w:t>
        <w:br/>
        <w:t xml:space="preserve">144. If the Representative becomes aware of the existence of a conflict of interest involving him, he commits to resolving it immediately. If the conflict of interest cannot be resolved within a reasonable time, the Representative will immediately inform the Authority. Similarly, if the Parties become aware of the existence of a conflict of interest involving the Representative, they will inform the Authority as soon as possible.  </w:t>
        <w:br/>
        <w:t xml:space="preserve">145. For the duration of the execution of the Mandate, and for a period of one year from the end of the Mandate, the Representative commits to not providing the Parties with any services of any kind, including consulting, and more generally commits to not accepting any employment, position, or social mandate within the companies that are parties to the procedure.  </w:t>
        <w:br/>
        <w:t xml:space="preserve">146. Furthermore, the Representative commits to implementing the necessary measures to ensure his independence as well as that of any potential employees."  </w:t>
        <w:br/>
        <w:t xml:space="preserve">Missions of the representative  </w:t>
        <w:br/>
        <w:t xml:space="preserve">147. "As soon as CMA-CGM exercises its preemption right described in point 2.2.1 of the commitments [cf. paragraphs 113 to 119], the Representative will prepare a report that will be transmitted to the Competition Authority and to CMA-CGM.  </w:t>
        <w:br/>
        <w:t xml:space="preserve">148. When CMA-CGM exercises its preemption right, the Representative, or a person designated by him, will verify that:  </w:t>
        <w:br/>
        <w:t xml:space="preserve">• the average utilization rate of the Initial Capacities is above 90% and  </w:t>
        <w:br/>
        <w:t xml:space="preserve">• the average utilization rate of the Preempted Capacities is above 80%.  </w:t>
        <w:br/>
        <w:t xml:space="preserve">149. The Representative may provide, at the request of the Authority, any explanation that may clarify the execution of these commitments by the Parties.  </w:t>
        <w:br/>
        <w:t xml:space="preserve">150. CMA-CGM will provide the representative with all documents necessary for the fulfillment of his missions, including:  </w:t>
        <w:br/>
        <w:t xml:space="preserve">• When CMA-CGM exercises the preemption right provided for in point 2.2.1 of the commitments [cf. paragraphs 113 to 119], the data that allows calculating the average utilization rate of the Initial Capacities, as well as the data that allows calculating the average utilization rate of the Preempted Capacities.  </w:t>
        <w:br/>
        <w:t xml:space="preserve">151. The representative may also send any request for clarification necessary for the fulfillment of his functions to the Parties."  </w:t>
        <w:br/>
        <w:t xml:space="preserve">End of the mandate  </w:t>
        <w:br/>
        <w:t xml:space="preserve">152. "The Representative will carry out his mission for the entire duration of the commitments. In the event of a definitive impossibility for the Representative to execute his mission, for any reason whatsoever, including reasons of conflict of interest, or in the event of failures in the execution of his missions, the Authority may require the Parties to revoke the Representative.  </w:t>
        <w:br/>
        <w:t xml:space="preserve">153. The Parties may revoke the Representative with the prior authorization of the Authority. The Parties then commit to propose to the Competition Authority a new Representative under the conditions provided above within a period of fifteen working days. The revoked Representative may be required to continue to perform his duties until the new Representative, to whom the revoked Representative will have transmitted all relevant information and documents, is in office."  </w:t>
        <w:br/>
        <w:t xml:space="preserve">II. Discussion  </w:t>
        <w:br/>
        <w:t xml:space="preserve">154. According to the provisions of I of Article L. 464-2 of the Commercial Code, amended by Article 2 of Ordinance No. 2008-1161 of November 13, 2008, on the modernization of competition regulation, the Competition Authority may "accept commitments proposed by companies or organizations that are likely to address its competition concerns that may constitute prohibited practices referred to in Articles L. 420-1, L. 420-2, and L. 420-5."  </w:t>
        <w:br/>
        <w:t xml:space="preserve">A. ON GENERAL OBSERVATIONS  </w:t>
        <w:br/>
        <w:t xml:space="preserve">155. As mentioned above, in its response to the market test, an individual proposes the prohibition of the current SCAs to introduce more competition in the market.  </w:t>
        <w:br/>
        <w:t>156. However, this suggestion does not seem suitable for a commitments procedure. In the context of a commitments procedure, the concerned company (or companies) voluntarily proposes, for the future, behaviors that address competition concerns, unlike a condemnation decision, which would impose obligations on the parties.</w:t>
      </w:r>
    </w:p>
    <w:p>
      <w:r>
        <w:rPr>
          <w:b/>
        </w:rPr>
        <w:t>[Pages 34–36]</w:t>
      </w:r>
    </w:p>
    <w:p>
      <w:r>
        <w:t xml:space="preserve">would like to exercise its right to use the variable capacities it has, these will be counted as available capacities for CMA-CGM and deducted from the available capacities for the concerned parties. The following formula has been proposed by the parties to calculate the minimum average annual utilization rate (see footnote No. 37):  </w:t>
        <w:br/>
        <w:t>"This rate is based exclusively on the capacities retained by the concerned partner, that is to say excluding any capacities that may have been transferred to a third party. Furthermore, this calculation is based on the fixed capacities and the variable capacities allocated to the Partner, whether used by them or not. However, in the event that CMA-CGM would like to exercise its right to use the variable capacities it has, these will be counted as available capacities for CMA-CGM and deducted from the available capacities for the concerned parties."</w:t>
      </w:r>
    </w:p>
    <w:p>
      <w:r>
        <w:rPr>
          <w:b/>
        </w:rPr>
        <w:t>[Pages 37–38]</w:t>
      </w:r>
    </w:p>
    <w:p>
      <w:r>
        <w:t>the variable capacities of the Partners used by CMA-CGM:</w:t>
        <w:br/>
        <w:t>- will be deducted from the calculation base of the utilization rate of the considered Partners, in proportion to the variable capacities of the Partner in the total of the allocated variable capacities, and</w:t>
        <w:br/>
        <w:t>- will be taken into account for the calculation of CMA-CGM's utilization rate."</w:t>
        <w:br/>
        <w:t>173. Under these conditions, the Competition Authority considers that Commitment No. 3, in the final version proposed by the parties, allows for the stimulation of competition in the market and thus responds in a relevant, credible, and verifiable manner to the competition concern regarding the lack of contestability of the market.</w:t>
        <w:br/>
        <w:t>4. ON THE SCOPE OF APPLICATION OF THE COMMITMENTS</w:t>
        <w:br/>
        <w:t>174. The commitments in their final version apply "to any SCA – or equivalent contracts – that CMA-CGM may enter into in this context." This extension of the scope of application represents an improvement over the version of the commitments from February 8, as they are now applicable not only to current SCA contracts but also to future contracts concluded with other partners and to contracts equivalent to an SCA concluded with other operators.</w:t>
        <w:br/>
        <w:t>5. ON THE APPOINTMENT OF A MANDATORY</w:t>
        <w:br/>
        <w:t>175. The commitments in their final version propose the appointment of an independent mandatory to oversee the potential exercise of the preemption right described in Commitment No. 2. The appointment of a mandatory represents an improvement over the previous version of the commitments by facilitating their verification. In this case, the regular analysis, which is semi-annual, of the data allowing for the verification of the exercise of the preemption right would impose a disproportionate burden on the Authority, whereas one of the objectives of a commitment procedure is to gain in simplicity and speed, in order to allow the Authority to free up resources for other activities. Therefore, the appointment of an independent mandatory proves to be both useful and necessary, as it allows the Competition Authority to effectively verify and control the exercise of the preemption right while not excessively mobilizing its resources.</w:t>
        <w:br/>
        <w:t>III. Conclusion</w:t>
        <w:br/>
        <w:t>176. The Competition Authority considers that the commitments proposed by the parties, in their final version, address the competition concerns raised by the rapporteurs and present a substantial, credible, and verifiable nature. It is therefore appropriate to accept the commitments of the parties, to make them mandatory, and to close the procedure.</w:t>
        <w:br/>
        <w:t>37</w:t>
      </w:r>
    </w:p>
    <w:p>
      <w:r>
        <w:t>DECISION</w:t>
        <w:br/>
        <w:t>Article 1: The Competition Authority accepts the commitments jointly made by the companies CMA-CGM S.A., AP Moller-Maersk A/S, Marfret S.A., and WEC Lines B.V., which are an integral part of the decision. These commitments are made mandatory as of the date of notification of the decision to the parties.</w:t>
        <w:br/>
        <w:t>Article 2: The referral registered under number 09/0119 F is closed.</w:t>
        <w:br/>
        <w:t>Deliberated on the oral report of Ms. Iratxe Gurpegui and Mr. Henry-Pierre Mélone, rapporteurs, and the intervention of Mr. Nicolas Deffieux, deputy general rapporteur, by Ms. Élisabeth Flüry-Hérard, vice-president, chairing the session, Ms. Pierrette Pinot, and Messrs. Noël Diricq and Jean-Bertrand Drummen, members.</w:t>
        <w:br/>
        <w:t>The session secretary, The vice-president,</w:t>
        <w:br/>
        <w:t>Caroline Orsel-Sébès Élisabeth Flüry-Hérard</w:t>
        <w:br/>
        <w:t>© Competition Authority</w:t>
        <w:br/>
        <w:t>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