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https://www.autoritedelaconcurrence.fr/fr/decision/relative-des-pratiques-mises-en-oeuvre-dans-le-secteur-du-transport-scolaire-par-autocar</w:t>
      </w:r>
    </w:p>
    <w:p>
      <w:r>
        <w:t>Pages translated : 40</w:t>
      </w:r>
    </w:p>
    <w:p/>
    <w:p>
      <w:r>
        <w:rPr>
          <w:b/>
        </w:rPr>
        <w:t>[Pages 1–3]</w:t>
      </w:r>
    </w:p>
    <w:p>
      <w:r>
        <w:t>FRENCH REPUBLIC</w:t>
        <w:br/>
        <w:t>Decision No. 16-D-02 of January 27, 2016</w:t>
        <w:br/>
        <w:t>regarding practices implemented</w:t>
        <w:br/>
        <w:t>in the school transport sector by coach in Bas-Rhin</w:t>
        <w:br/>
        <w:t>The Competition Authority (section II),</w:t>
        <w:br/>
        <w:t>Considering the letter registered on October 3, 2014 under number 14/0076 F, by which the Minister in charge of the economy referred to the Competition Authority practices implemented in the school transport sector by coach in the Bas-Rhin department;</w:t>
        <w:br/>
        <w:t>Considering Book IV of the Commercial Code and in particular its Article L. 420-1;</w:t>
        <w:br/>
        <w:t>Considering the business secrecy decisions No. 15-DSA-145 of March 30, 2015, No. 15-DSA-154 of April 3, 2015, No. 15-DSA-195 of May 12, 2015 and No. 15-DSA-200 of May 27, 2015, No. 15-DEC-36 of May 20, 2015 and No. 15-DECR-26 of June 2, 2015;</w:t>
        <w:br/>
        <w:t>Considering the observations of the companies Autocars et Transport Royer, Staub Voyages, Royer Holding, Autocars Mugler &amp; Cie, SARL Cars des Rohan and SAS Mugler Finance;</w:t>
        <w:br/>
        <w:t>Considering the other documents in the file;</w:t>
        <w:br/>
        <w:t>The rapporteur, the deputy general rapporteur, the Government Commissioner and the representatives of the companies Autocars et Transport Royer, Staub Voyages, Royer Holding, Autocars Mugler &amp; Cie, Cars des Rohan and Mugler Finance, heard during the session of the Competition Authority on December 17, 2015;</w:t>
        <w:br/>
        <w:t>Adopts the following decision:</w:t>
      </w:r>
    </w:p>
    <w:p>
      <w:r>
        <w:t>SUMMARY</w:t>
        <w:br/>
        <w:t>I. Findings .................................................................................... 4</w:t>
        <w:br/>
        <w:t>A. PROCEDURE .......................................................................................................................................... 4</w:t>
        <w:br/>
        <w:t>B. THE SECTOR AND THE COMPANIES CONCERNED .................................................................. 5</w:t>
        <w:br/>
        <w:t>1. THE ORGANIZATION OF SCHOOL TRANSPORT IN THE BAS-RHIN DEPARTMENT .......... 5</w:t>
        <w:br/>
        <w:t>2. SCHOOL TRANSPORT OPERATORS BY COACH IN BAS-RHIN ............................................... 5</w:t>
        <w:br/>
        <w:t>a) Road transport companies operating in the northern part of the Bas-Rhin department ........................................................................................................................ 5</w:t>
        <w:br/>
        <w:t>The companies of the Mugler group ............................................................................ 5</w:t>
        <w:br/>
        <w:t>The companies of the Royer group ............................................................................... 6</w:t>
        <w:br/>
        <w:t>The companies of the Striebig group .......................................................................... 7</w:t>
        <w:br/>
        <w:t>The René Antoni company .......................................................................................... 7</w:t>
        <w:br/>
        <w:t>The Braun company ...................................................................................................... 7</w:t>
        <w:br/>
        <w:t>b) Other companies operating in the Bas-Rhin department ........................................... 7</w:t>
        <w:br/>
        <w:t>Independent coach operators located in the southern part of the Bas-Rhin department .... 7</w:t>
        <w:br/>
        <w:t>Coach operators located in neighboring departments .................................................. 8</w:t>
        <w:br/>
        <w:t>Large transport groups ................................................................................................. 8</w:t>
        <w:br/>
        <w:t>c) The "Avenir Transport" group .................................................................................. 9</w:t>
        <w:br/>
        <w:t>Presentation of the "Avenir Transport" group ............................................................ 9</w:t>
        <w:br/>
        <w:t>The members of the Avenir Transport group .............................................................. 9</w:t>
        <w:br/>
        <w:t>3. OBSERVED PRACTICES ................................................................................................................. 10</w:t>
        <w:br/>
        <w:t>a) Public contracts for school transport opened by the Bas-Rhin General Council for the years 2010, 2011, and 2012 ........................................................... 10</w:t>
        <w:br/>
        <w:t>c) The behavior of the Avenir Transport group in the context of these calls for tenders ............................................................................................................. 12</w:t>
        <w:br/>
        <w:t>The companies' statements on the objectives of the group ....................................... 12</w:t>
        <w:br/>
        <w:t>The results of the calls for tenders initiated by the Bas-Rhin General Council ....... 13</w:t>
        <w:br/>
        <w:t>The prices proposed by the Avenir Transport group ................................................ 16</w:t>
        <w:br/>
        <w:t>C. REMINDER OF THE CHARGES NOTIFIED TO THE PARTIES .................................................. 16</w:t>
        <w:br/>
        <w:t>II. Discussion ..................................................................................... 17</w:t>
        <w:br/>
        <w:t>A. ON THE PROCEDURE ......................................................................................................................... 17</w:t>
        <w:br/>
        <w:t>1. ON THE CONSEQUENCES OF THE SETTLEMENT ACCEPTED BY CERTAIN MEMBERS OF THE GROUP .............................................................................................................................. 17</w:t>
        <w:br/>
        <w:t>2. ON THE NON-TRANSMISSION OF THE PARTIES' OBSERVATIONS TO THE ADMINISTRATIVE INVESTIGATION REPORT ....................................................................................................... 17</w:t>
        <w:br/>
        <w:t>3. ON THE ABSENCE OF HEARINGS OF THE COMPANIES IMPLICATED BY THE RAPPORTEUR 18</w:t>
        <w:br/>
        <w:t>B. ON THE RELEVANT MARKETS ....................................................................................................... 18</w:t>
        <w:br/>
        <w:t>C. ON THE MERITS OF THE CHARGE ................................................................................................ 19</w:t>
        <w:br/>
        <w:t>1. ON THE AGREEMENT OF INTENT ............................................................................................ 19</w:t>
        <w:br/>
        <w:t>2. ON THE OPERATION OF THE AGREEMENT ............................................................................. 20</w:t>
        <w:br/>
        <w:t>a) Reminder of the applicable principles .................................................................... 21</w:t>
        <w:br/>
        <w:t>b) On the administration of evidence .......................................................................... 21</w:t>
        <w:br/>
        <w:t>c) Application to the case at hand ................................................................................ 22</w:t>
        <w:br/>
        <w:t>3. ON THE LEGAL AND ECONOMIC CONTEXT ............................................................................. 24</w:t>
        <w:br/>
        <w:t>4. CONCLUSION ON THE ANTI-COMPETITIVE OBJECT OF THE Avenir Transport GROUP</w:t>
        <w:br/>
        <w:t>...................................................................................................................................................... 26</w:t>
        <w:br/>
        <w:t>D. ON THE CONTINUITY OF THE PRACTICE ..................................................................................... 27</w:t>
        <w:br/>
        <w:t>E. THE ATTRIBUTION OF PRACTICES ............................................................................................... 27</w:t>
        <w:br/>
        <w:t>1. REMINDER OF THE PRINCIPLES ................................................................................................. 27</w:t>
        <w:br/>
        <w:t>2. APPLICATION TO THE CASE AT HAND .................................................................................... 28</w:t>
        <w:br/>
        <w:t>III. On the sanctions ........................................................................... 29</w:t>
        <w:br/>
        <w:t>A. PRINCIPLES ............................................................................................................................................ 29</w:t>
        <w:br/>
        <w:t>B. ON THE DETERMINATION OF THE BASE AMOUNT .................................................................. 30</w:t>
        <w:br/>
        <w:t>1. ON THE METHOD USED FOR DETERMINING THE BASE AMOUNT ...................................... 30</w:t>
        <w:br/>
        <w:t>2. ON THE GRAVITY OF THE FACTS AND THE IMPORTANCE OF THE DAMAGE CAUSED TO THE ECONOMY .................................................................................................................. 31</w:t>
        <w:br/>
        <w:t>a) On the gravity of the facts ....................................................................................... 31</w:t>
        <w:br/>
        <w:t>b) On the importance of the damage caused to the economy ................................... 33</w:t>
        <w:br/>
        <w:t>Reminder of the principles ......................................................................................... 33</w:t>
        <w:br/>
        <w:t>Application to the case at hand .................................................................................. 34</w:t>
        <w:br/>
        <w:t>c) Conclusion on the proportion of turnover retained in terms of gravity and damage to the economy .................................................................................................................. 38</w:t>
        <w:br/>
        <w:t>C. ON THE INDIVIDUALIZATION OF SANCTIONS ........................................................................... 38</w:t>
        <w:br/>
        <w:t>D. ON THE FINAL ADJUSTMENTS ...................................................................................................... 39</w:t>
        <w:br/>
        <w:t>1. ON THE VERIFICATION OF COMPLIANCE WITH THE LEGAL MAXIMUM ................................ 39</w:t>
        <w:br/>
        <w:t>2. ON THE FINANCIAL SITUATION OF THE COMPANIES ............................................................... 39</w:t>
        <w:br/>
        <w:t>3. ON THE FINAL AMOUNT OF SANCTIONS .................................................................................. 40</w:t>
        <w:br/>
        <w:t>4. ON THE OBLIGATION OF PUBLICATION .................................................................................. 40</w:t>
        <w:br/>
        <w:t>DECISION .............................................................................................................................................. 42</w:t>
      </w:r>
    </w:p>
    <w:p>
      <w:r>
        <w:rPr>
          <w:b/>
        </w:rPr>
        <w:t>[Pages 4–6]</w:t>
      </w:r>
    </w:p>
    <w:p>
      <w:r>
        <w:t xml:space="preserve">I. Findings  </w:t>
        <w:br/>
        <w:t xml:space="preserve">A. PROCEDURE  </w:t>
        <w:br/>
        <w:t xml:space="preserve">1. By request dated July 6, 2012, the Interregional Competition Investigation Brigade (hereinafter "BIEC") of Lorraine, Alsace, and Champagne-Ardenne was tasked with an investigation concerning school transport in the Bas-Rhin department due to the transmission, by the regional directorate of enterprises, competition, consumption, labor, and employment (DIRRECTE) of Alsace, of an indication suggesting possible competition dysfunctions during the awarding of various contracts launched by the Bas-Rhin General Council with the involvement of a temporary grouping of companies associating the main road passenger transporters in the northern area of the department.  </w:t>
        <w:br/>
        <w:t xml:space="preserve">2. The investigations were conducted on the basis of Article L. 450-3 of the Commercial Code with the Bas-Rhin General Council (Mobility Directorate) and 10 coach transport professionals from this department. On February 26, 2013, an administrative investigation report (hereinafter "RAE") was established by the BIEC of Lorraine, Alsace, and Champagne-Ardenne. It concluded that the practices in question were contrary to the provisions of Article L. 420-1 of the Commercial Code. This report was transmitted to the general rapporteur who informed the Minister in charge of the economy, by letter dated June 14, 2013, that she did not intend to propose to the Competition Authority (hereinafter "the Authority") to take up this case ex officio, as the practices in question involved local companies and their effects were geographically limited.  </w:t>
        <w:br/>
        <w:t xml:space="preserve">3. On October 28, 2013, the Minister in charge of the economy proposed to the concerned companies to settle under Article L. 464-9 of the Commercial Code. Three companies accepted the settlement, and four refused it.  </w:t>
        <w:br/>
        <w:t xml:space="preserve">4. In accordance with Article L. 464-9 paragraph 2 of the Commercial Code which states that "the execution within the stipulated deadlines of the obligations resulting from the injunction and the acceptance of the settlement extinguishes any action before the Competition Authority for the same facts," the action was extinguished for the companies Autocars Striebig, Autocars Eschenlauer, and Société d’exploitation des établissements René Antoni.  </w:t>
        <w:br/>
        <w:t xml:space="preserve">5. By letter registered on October 3, 2014, the Minister in charge of the economy, pursuant to Articles L. 464-9 and R. 464-9-3 of the Commercial Code, referred the Authority to practices implemented in the school transport sector by coaches in the Bas-Rhin department. This referral only concerns the companies that did not wish to settle, namely the companies Autocars Mugler, Cars des Rohan, Autocars et Transport Royer, and Staub Voyages. The referral was registered under number 14/0076 F.  </w:t>
        <w:br/>
        <w:t xml:space="preserve">6. In application of Articles L. 463-3 and R. 463-12 of the Commercial Code, the case is exempt from the prior establishment of a report.  </w:t>
        <w:br/>
        <w:t>7. In accordance with the aforementioned provisions, a simplified notification of grievances was notified to the parties and to the government commissioner on June 3, 2015.</w:t>
      </w:r>
    </w:p>
    <w:p>
      <w:r>
        <w:t xml:space="preserve">B. THE SECTOR AND THE COMPANIES CONCERNED  </w:t>
        <w:br/>
        <w:t xml:space="preserve">1. THE ORGANIZATION OF SCHOOL TRANSPORT IN THE BAS-RHIN DEPARTMENT  </w:t>
        <w:br/>
        <w:t xml:space="preserve">8. School transport is a public regular service, within the meaning of Article L. 3111-7 of the Transport Code (resulting from Law No. 82-1153 of December 30, 1982 on the orientation of internal transport, known as "LOTI") and Article L. 213-11 of the Education Code. Outside Île-de-France, the department is the common organizing authority. To ensure the transport of students, the department can rely on regular public transport lines or set up lines dedicated to school transport.  </w:t>
        <w:br/>
        <w:t xml:space="preserve">9. Pursuant to Article L. 1221-3 of the Transport Code, the execution of public transport services for persons is ensured either by a public entity in management, or by a company that has entered into a fixed-term agreement with the competent organizing authority for this purpose.  </w:t>
        <w:br/>
        <w:t xml:space="preserve">10. The agreements relating to the execution of public transport services fall either under the Public Procurement Code or under Article L. 1411-1 of the General Code of Local Authorities relating to public service delegations, depending on the remuneration method of the operator. Since school transport is generally free or almost free for its users, and thus mainly financed by the departments, their contracting falls under public procurement.  </w:t>
        <w:br/>
        <w:t xml:space="preserve">11. In the Bas-Rhin department, the General Council ensures the transport of nearly 42,000 students, outside urban transport perimeters. This represents an annual operating budget of nearly 50 million euros, of which more than 14 million are allocated to school lines operated by private transporters within the framework of a tendering procedure (reference 1504).  </w:t>
        <w:br/>
        <w:t xml:space="preserve">2. SCHOOL TRANSPORT OPERATORS BY COACH IN THE BAS-RHIN  </w:t>
        <w:br/>
        <w:t xml:space="preserve">a) Road transport companies operating in the northern part of the Bas-Rhin department  </w:t>
        <w:br/>
        <w:t xml:space="preserve">The Mugler group companies  </w:t>
        <w:br/>
        <w:t xml:space="preserve">12. The companies Autocars Mugler et Cie and Cars des Rohan belong to the Mugler group. The share capital of the SAS Autocars Mugler et Cie, amounting to 412,612 euros, is held 99.96% by the holding Mugler Finance SAS (RCS Saverne 675 680 086), which is itself 75% owned by Mr. Louis X..., president of Autocars Mugler et Cie. The SARL Cars des Rohan is 100% owned by the holding Mugler Finance SAS.  </w:t>
        <w:br/>
        <w:t xml:space="preserve">- Autocars Fuchslock SARL in Oberhaslach (67280);  </w:t>
        <w:br/>
        <w:t xml:space="preserve">- Société d’exploitation Josy Schwanger SAS in Russ (67130);  </w:t>
        <w:br/>
        <w:t xml:space="preserve">- Schneider SA in Sand (67230);  </w:t>
        <w:br/>
        <w:t xml:space="preserve">- Cars Bastien Kristinatours SA in Triembach-au-Val (67220), and its subsidiary Autocars Wingert SARL in Saint-Pierre (67140);  </w:t>
        <w:br/>
        <w:t xml:space="preserve">- Obernai Tourisme SARL in Obernai (67210), a subsidiary of the aforementioned SAS Autocars Striebig;  </w:t>
        <w:br/>
        <w:t xml:space="preserve">- Flecher Voyages SARL in Ohnenheim (67390), a subsidiary of the Mugler group.  </w:t>
        <w:br/>
        <w:t xml:space="preserve">The coach operators located in neighboring departments  </w:t>
        <w:br/>
        <w:t xml:space="preserve">22. The school pickup services in the northern half of the Bas-Rhin are also likely to be executed by coach operators from the following neighboring departments:  </w:t>
        <w:br/>
        <w:t xml:space="preserve">- in Moselle, the company Staub Voyages (Royer group), the company Transport Rémi Bentz SARL in Phalsbourg (57370), and the company SOTRAM in Sarreguemines (57200);  </w:t>
        <w:br/>
        <w:t xml:space="preserve">- in Haut-Rhin, the company LK-Voyages Lucien Kunegel SAS which has its headquarters in Colmar (Haut-Rhin) and has several subsidiaries, including Voyages Fœll SARL in Betschdorf in the northern Bas-Rhin and the company Autocars Schmitt SASU in Mutterholtz in the southern Bas-Rhin.  </w:t>
        <w:br/>
        <w:t xml:space="preserve">The major transport groups  </w:t>
        <w:br/>
        <w:t xml:space="preserve">23. The two main national groups, Transdev (born from the merger, in March 2011, of Veolia Transport and Transdev) and Keolis (a subsidiary of SNCF), which represent half of the road passenger transport market in France, are established in Alsace:  </w:t>
        <w:br/>
        <w:t xml:space="preserve">- Transdev Alsace is located in Illkirch-Graffenstaden in the Strasbourg urban community and is thus primarily focused on urban transport (reference 3133);  </w:t>
        <w:br/>
        <w:t xml:space="preserve">- Kunegel SAS, a subsidiary of Transdev headquartered in Illzach in Haut-Rhin and with locations in Bas-Rhin, Haute-Saône, and the Territoire de Belfort, operates in the school pickup and regular intercity lines sector;  </w:t>
        <w:br/>
        <w:t xml:space="preserve">- Keolis 3 Frontières is located in Moselle and has activities in Lorraine and Alsace; it currently has few school pickup lines in Alsace but applied for a number of lines in 2012 and acquired the Striebig group at the end of 2014, whose main activity is school pickup.  </w:t>
        <w:br/>
        <w:t>24. The Swiss group Carpostal, which has a subsidiary in Hagenau, has been cited several times by independent coach operators as a potential competitor, but it did not apply for public school transport contracts in the Bas-Rhin during the 2010-2012 period. It operates the intercity network of Hagenau and Schweighouse-sur-Moder.</w:t>
      </w:r>
    </w:p>
    <w:p>
      <w:r>
        <w:rPr>
          <w:b/>
        </w:rPr>
        <w:t>[Pages 7–9]</w:t>
      </w:r>
    </w:p>
    <w:p>
      <w:r>
        <w:t>c) The "Avenir Transport" Group</w:t>
      </w:r>
    </w:p>
    <w:p>
      <w:r>
        <w:t>Presentation of the "Avenir Transport" Group</w:t>
      </w:r>
    </w:p>
    <w:p>
      <w:r>
        <w:t>25. The Avenir Transport group defines itself as "a temporary joint group of passenger transport companies" (reference 1483). The first Avenir Transport group was formed in 2001. At that time, it was composed of the following companies: Autocars Eschenlauer, Autocars Mugler et Cie, Autocars et Transport Royer, Société d’exploitation des établissements René Antoni, Obernai Tourisme (now Striebig), Schmitt Tour (now LK Tour, which later left the group), Herrmann, and Eurobus (which left the group following its acquisition by Connex, now Véolia).</w:t>
      </w:r>
    </w:p>
    <w:p>
      <w:r>
        <w:t>26. Since 2001, each year, an agreement is signed by all these companies to respond to the calls for tenders from the Bas-Rhin department related to regular school transport services. Mr. Louis X..., representing the Mugler group, indicated during his hearing that, "each year where there is significant competition, a new temporary group called 'Avenir Transport N' is created to respond to the consultations of year N. However, we maintain the same types of group agreements and the internal regulations and the same bank account" (reference 85).</w:t>
      </w:r>
    </w:p>
    <w:p>
      <w:r>
        <w:t>27. The purpose of the group agreement is "to define the relationships between the members of the group and more particularly the conditions under which the group will present the applications, submit the offers of the approved candidates, negotiate the contracts with the organizing authority, execute the delegated contracts and their possible modifications. The agreement notably defines the rights and obligations of each member of the group both towards each other and towards the organizing authority as well as towards their representative" (Article 4 of the agreement, reference 318). According to the RAE, the role of the representative, renewed year after year since 2006, essentially consists of "organizing the distribution of lots by convening preparatory meetings for the calls for tenders, then initialing and signing the offer files as well as proceeding with the disbursement to the members of the amounts paid by the community into the common bank account opened with the C.I.C bank" (reference 3152).</w:t>
      </w:r>
    </w:p>
    <w:p>
      <w:r>
        <w:t>28. Among the general obligations provided in the contract, each member of the group commits, to the extent of their transport means, to supplement the shortfall of the failing member(s) in the execution of the contract. The group is represented by a representative, who is deemed to be mandated by each member of the group, the latter not having legal personality.</w:t>
      </w:r>
    </w:p>
    <w:p>
      <w:r>
        <w:t>29. Each Avenir Transport group remains active throughout the duration of the awarded contracts, which ranges from one to six years during the period from 2001 to 2012. The contracts of the groups from 2001, 2009, and 2010 are included in the annexes of the RAE.</w:t>
      </w:r>
    </w:p>
    <w:p>
      <w:r>
        <w:t>The members of the Avenir Transport group</w:t>
      </w:r>
    </w:p>
    <w:p>
      <w:r>
        <w:t>30. The Avenir Transport groups for 2010, 2011, and 2012 were composed of the following seven companies (reference 322):</w:t>
        <w:br/>
        <w:t>- Autocars Mugler et Cie SAS in Ingwiller (67340),</w:t>
        <w:br/>
        <w:t>- Cars des Rohan SARL in Steinbourg (67790),</w:t>
        <w:br/>
        <w:t>- Autocars et Transport Royer SASU in Herrlisheim (67850),</w:t>
        <w:br/>
        <w:t>- Staub Voyages SARL in Rohrbach-les-Bitche (57410),</w:t>
        <w:br/>
        <w:t>- Autocars Striebig SAS in Brumath (67170),</w:t>
        <w:br/>
        <w:t>- Autocars Eschenlauer SA in Soufflenheim (67620),</w:t>
        <w:br/>
        <w:t>- Société d’exploitation des établissements René Antoni SAS in Haguenau (67500).</w:t>
      </w:r>
    </w:p>
    <w:p>
      <w:r>
        <w:t>31. In addition to Staub Voyages SARL, which is based in Moselle, the group has brought together, since 2009, all the independent road passenger transport companies in the northern half of the Bas-Rhin department, with the exception of SARL Braun, which is located in Diemeringen (67430), in "Alsace bossue," that is to say, the northwestern part of Bas-Rhin enclosed within the Moselle department.</w:t>
      </w:r>
    </w:p>
    <w:p>
      <w:r>
        <w:t>32. As indicated by Mr. Michel B..., president of the company operating the Antoni establishments: "Avenir Transport brings together almost all the independent coach operators located in the north of the department who are likely to execute the school transport services requested by the Bas-Rhin General Council in this geographical area."</w:t>
      </w:r>
    </w:p>
    <w:p>
      <w:r>
        <w:t>3. OBSERVED PRACTICES</w:t>
      </w:r>
    </w:p>
    <w:p>
      <w:r>
        <w:t>a) The public contracts for school transport opened by the Bas-Rhin General Council for the years 2010, 2011, and 2012</w:t>
      </w:r>
    </w:p>
    <w:p>
      <w:r>
        <w:t>33. The practices pursued in this case concern the public contracts for school transport opened by the Bas-Rhin General Council for the years 2010, 2011, and 2012.</w:t>
      </w:r>
    </w:p>
    <w:p>
      <w:r>
        <w:t>34. These are calls for tenders subject to the provisions of Articles 33, paragraph 3, and 57 to 59 of the Public Procurement Code. The contracts are order-based without minimum or maximum (Article 77 of the same code). Their duration varies according to the lots, so that new lots are put out to competition each year.</w:t>
      </w:r>
    </w:p>
    <w:p>
      <w:r>
        <w:t>35. The relationships between the General Council and the candidate companies are framed by a specifications document.</w:t>
      </w:r>
    </w:p>
    <w:p>
      <w:r>
        <w:t>36. Each year, the criteria for evaluating the offers and their weighting were as follows (references 793 and 794):</w:t>
        <w:br/>
        <w:t>- price of services: 60%;</w:t>
        <w:br/>
        <w:t>- technical value: 40%, based on the following sub-criteria and weightings:</w:t>
        <w:br/>
        <w:t>year of vehicle commissioning: 15%;</w:t>
        <w:br/>
        <w:t>o</w:t>
        <w:br/>
        <w:t>vehicle capacity: 4%;</w:t>
        <w:br/>
        <w:t>o</w:t>
        <w:br/>
        <w:t>environmental quality: 8%;</w:t>
        <w:br/>
        <w:t>o</w:t>
        <w:br/>
        <w:t>organization of the company (telephone reception, replacement time for a vehicle in case of breakdown): 13%.</w:t>
      </w:r>
    </w:p>
    <w:p>
      <w:r>
        <w:t>37. The consultations are divided into lots with an average of two school circuits per lot. There are 162 lots grouping 271 school lines in the Bas-Rhin department. The lots concerning the northern zone are designated by the letter N, the southern lots by the letter S. The northern and southern zones are delineated by an approximate line passing south of Saverne and north of Strasbourg.</w:t>
      </w:r>
    </w:p>
    <w:p>
      <w:r>
        <w:t>38. Mr. Jean-Philippe A..., director of mobility at the General Council, explained that "the General Council distinguishes two geographical sectors with a northern zone and a southern zone, the division occurring approximately along a Saverne-Strasbourg line. The operators differ between the two zones except for the national leaders in the profession who are able to bid on most of the department" (reference 1504).</w:t>
      </w:r>
    </w:p>
    <w:p>
      <w:r>
        <w:t>39. In 2010, 35 lots were subject to calls for tenders, divided into three procedures with distinct timelines. In 2011, 32 lots were subject to calls for tenders, divided into three distinct procedures. In 2012, 46 lots were subject to calls for tenders, also divided into three distinct procedures.</w:t>
      </w:r>
    </w:p>
    <w:p>
      <w:r>
        <w:t>b) The allotment policy of the Bas-Rhin General Council</w:t>
      </w:r>
    </w:p>
    <w:p>
      <w:r>
        <w:t>40. According to the RAE, the allotment policy of the General Council made the school transport contracts accessible to all road passenger transporters, regardless of their size. This is confirmed by statements from the representative of the General Council, from members of the Avenir Transport group, and from other operators in the department.</w:t>
      </w:r>
    </w:p>
    <w:p>
      <w:r>
        <w:t>41. Thus, Mr. Jean-Philippe A..., director of mobility at the General Council, stated: "I believe that the General Council has, for nearly 10 years, played its role by making these contracts accessible to all road passenger transporters, whether local or based in the neighboring departments of Moselle and Haut-Rhin primarily. My predecessors have always sought to allow the opening of these markets to as many coach operators as possible, and this allotment policy currently allows for the competition of 162 contracts grouping 271 school lines in the Bas-Rhin department (which is an average of less than 2 school circuits per contract)" (reference 1505).</w:t>
      </w:r>
    </w:p>
    <w:p>
      <w:r>
        <w:t>42. Mr. Louis X..., president of Autocars Mugler et Cie, stated: "Currently, the companies in the Avenir Transport group would be able to bid individually for the school circuits that interest them and which are generally located within a small geographical perimeter" (reference 86). Mr. Michel B... indicated on his part: "Although the ANTONI company is the smallest in the group, I confirm that our company has the human and technical resources to execute alone the school circuits assigned to it within the framework of the group and which are located in a small geographical perimeter, in this case the sector located north of HAGUENAU" (reference 343).</w:t>
      </w:r>
    </w:p>
    <w:p>
      <w:r>
        <w:t>43. During her hearing, Ms. Christine F..., manager of the Fuchslock company, based in the south of the department, stated: "At all times, we have always responded to these consultations individually, without resorting to a group with other coach operators in the sector. Indeed, the General Council has carried out since the 2000s a thorough division of the school map of the department. The lots set up thus include only one or two circuits, rarely more, and are therefore fully compatible with the capacities of an SME in our line of business, except in exceptional cases with the possibility of subcontracting" (reference 366). According to Ms. F..., school transport is a "basic service that does not require any particular technical constraints as we know in advance and accurately the annual program of transport days." Mr. Joseph C..., president of SAS Josy Schwanger, made the same analysis (references 378 and 379).</w:t>
      </w:r>
    </w:p>
    <w:p>
      <w:r>
        <w:rPr>
          <w:b/>
        </w:rPr>
        <w:t>[Pages 10–12]</w:t>
      </w:r>
    </w:p>
    <w:p>
      <w:r>
        <w:t>c) The behavior of the Avenir Transport group in the context of these calls for tenders</w:t>
      </w:r>
    </w:p>
    <w:p>
      <w:r>
        <w:t>The statements of the companies regarding the objectives of the group</w:t>
      </w:r>
    </w:p>
    <w:p>
      <w:r>
        <w:t>44. It emerges from the statements of several members of the Avenir Transport group that its essential objective was the historical distribution of routes among local coach operators, even when the General Council redefined the lots by grouping several routes, but this distribution also aimed to limit competition with non-member companies.</w:t>
      </w:r>
    </w:p>
    <w:p>
      <w:r>
        <w:t>45. Thus, Mr. Louis X..., president of Autocars Mugler et Cie stated: "When the lot defined by the General Council groups routes previously operated by several carriers, the group is fully justified, as it allows, after being declared the successful bidder, to redistribute the routes to each of the historical operators." (reference 86).</w:t>
      </w:r>
    </w:p>
    <w:p>
      <w:r>
        <w:t>46. Mr. Michel B..., president of the company operating the establishments René Antoni, confirmed that "indeed, since the creation of AVENIR TRANSPORT, the partners maintain their positions by always keeping the same routes. They do not seek to establish themselves on a route operated by another member and strive to maintain this common discipline in the interest of balance and the proper functioning of the group. The latter guarantees the maintenance of the price level and the market shares held by the various partners." (reference 344).</w:t>
      </w:r>
    </w:p>
    <w:p>
      <w:r>
        <w:t>47. Similarly, Mr. Rémy D... indicated during the hearing: "For our part, since joining the group, we always keep the same routes and we have not taken over any new routes operated by our colleagues. (...) In practice, during a call for tenders, we only bid on the routes we previously operated." (reference 243).</w:t>
      </w:r>
    </w:p>
    <w:p>
      <w:r>
        <w:t>48. The members of the group sought to limit competition among themselves, and also with non-member companies. Mr. Rémy D... thus reported a non-aggression pact among the members of the agreement, which extended to other operators: "But given the non-aggression pact already mentioned above, we limited ourselves, on lot N1, to the two routes previously executed by us (LS44 and LS193). For the three other school routes that we did not seek to operate directly, our intention was to propose them to the previously established holders as part of a subcontracting arrangement that was accepted by the companies KUNEGEL through its secondary establishment in Schweighouse-sur-Moder (Haguenau) and FOELL located in Betschdorf." (reference 1428).</w:t>
      </w:r>
    </w:p>
    <w:p>
      <w:r>
        <w:t>49. Mr. D... also explained, regarding lot N11 (reference 1430): "It serves the schools of Lembach and groups LS101 operated by our company since 2005, LS289 executed by SAS KUNEGEL, and LS328 operated by the ANTONI company since 2005. Mr. B... has, for his part, set a daily flat rate for LS328 which he operates as well as for LS289 and, in the same logic, subcontracted the latter to SAS KUNEGEL. I can only acknowledge that these routes are located near Lembach, a municipality where the ANTONI company has sufficient human and material resources following the acquisition of the company Transports HERRMANN and that an optimization of the group's resources could have proven more judicious here as well."</w:t>
      </w:r>
    </w:p>
    <w:p>
      <w:r>
        <w:t>50. Finally, it emerges from these same statements that the Avenir Transport group also aimed to maintain the prices of school transport services obtained from the General Council.</w:t>
      </w:r>
    </w:p>
    <w:p>
      <w:r>
        <w:t>51. Thus, Mr. Rémy D... stated: "The group allows for a harmonized response and best maintains the level of prices and market shares held by each of its members." (reference 243). Mr. D... indicated that the daily rates for services for lots N1, N4, N5, N8, N9 ranged from 250 to 300 euros excluding taxes. On several occasions, he acknowledged that these rates compensated "very comfortably" for the services rendered, particularly regarding lots N1, N4, and N5 during the 2012 consultation.</w:t>
      </w:r>
    </w:p>
    <w:p>
      <w:r>
        <w:t>52. Mr. Michel B... also stated: "[This group] is the guarantor of maintaining the level of prices and market shares held by the various partners" (reference 344).</w:t>
      </w:r>
    </w:p>
    <w:p>
      <w:r>
        <w:t>53. These consistent statements confirm that among the objectives of the Avenir Transport group was the maintenance of higher daily rates in the northern area of the Bas-Rhin department.</w:t>
      </w:r>
    </w:p>
    <w:p>
      <w:r>
        <w:t>The results of the calls for tenders initiated by the General Council of Bas-Rhin</w:t>
      </w:r>
    </w:p>
    <w:p>
      <w:r>
        <w:t>54. The RAE presented in tabular form the results of the calls for tenders for each of the lots of school routes put out to competition in 2010, 2011, and 2012, for the northern and southern parts of the department.</w:t>
      </w:r>
    </w:p>
    <w:p>
      <w:r>
        <w:t>Observations in the northern part of the department</w:t>
      </w:r>
    </w:p>
    <w:p>
      <w:r>
        <w:t>55. In the context of the calls for tenders in 2010, 2011, and 2012, independent coach operators located in the northern half of the Bas-Rhin department applied almost exclusively through the Avenir Transport group.</w:t>
      </w:r>
    </w:p>
    <w:p>
      <w:r>
        <w:t>56. Thus, during the 2010 consultation, the Avenir Transport group applied for almost all the lots, and only the company, Cars des Rohan submitted a bid for lots N12 and N13, for which the group was not a candidate. During the consultations of 2011 and 2012, none of the members of the group submitted an individual application.</w:t>
      </w:r>
    </w:p>
    <w:p>
      <w:r>
        <w:t>57. Moreover, for the majority of the lots located in the northern half of the department in 2010, 2011, and 2012, the Avenir Transport group faced only very weak competition, which allowed it to win almost all the lots for which it had applied.</w:t>
      </w:r>
    </w:p>
    <w:p>
      <w:r>
        <w:t>58. Thus, in 2010, the Avenir Transport group applied for 12 lots out of 16 lots put out to competition in the northern half of the department, and won 12, resulting in a success rate of 100%. In 2011, the group applied for 11 lots out of 12 in the northern part, and was awarded 11, resulting in a success rate of 100%. Finally, in 2012, the group submitted bids for 23 lots out of 27 in the northern area, and won 20, resulting in a success rate of 87%.</w:t>
      </w:r>
    </w:p>
    <w:p>
      <w:r>
        <w:t>59. According to the RAE, there is a "natural zone of activity" in which the members of the Avenir Transport group (reference 3138) are particularly present. This is a sector bounded by the border with Germany to the East, Germany and the Moselle department to the North, as well as by virtual lines Wingen-sur-Moder-Saveme to the West and Saverne-Brumath-Strasbourg to the South, as indicated by the following map:</w:t>
      </w:r>
    </w:p>
    <w:p>
      <w:r>
        <w:t>60. This area thus corresponds to the northern part of the Bas-Rhin department, excluding the region known as "l’Alsace bossue." This territory, more rural and more hilly than the rest of the department, also presents different competitive conditions, notably due to the presence of Moselle operators located nearby.</w:t>
      </w:r>
    </w:p>
    <w:p>
      <w:r>
        <w:t>61. According to the RAE, at the time of the facts, the Avenir Transport group held 94.4% of the allocations of school routes within this "natural zone of activity."</w:t>
      </w:r>
    </w:p>
    <w:p>
      <w:r>
        <w:t>62. This particular situation is notably due to the fact that the Avenir Transport group was the only candidate in the running or the only candidate selected by the community (the other bids being declared financially inadmissible or irregular) for respectively 58.3%, 54.5%, and 52.2% of the lots on which it submitted a bid during the 2010, 2011, and 2012 consultations.</w:t>
      </w:r>
    </w:p>
    <w:p>
      <w:r>
        <w:t>63. Indeed, for the northern part of the Bas-Rhin department, the only potential competitors of the Avenir Transport group were either based in the southern part of the department or around the territory of "l’Alsace bossue."</w:t>
      </w:r>
    </w:p>
    <w:p>
      <w:r>
        <w:rPr>
          <w:b/>
        </w:rPr>
        <w:t>[Pages 13–15]</w:t>
      </w:r>
    </w:p>
    <w:p>
      <w:r>
        <w:t>64. According to the RAE, these companies did not constitute, at the time of the facts, effective competition for the members of the group.</w:t>
      </w:r>
    </w:p>
    <w:p>
      <w:r>
        <w:t>65. Indeed, concerning first the coach operators located in the South of the department, their response times are higher, due to their distance from the relevant lots. This impacts both their costs and the technical value of their application (the replacement time for a broken down vehicle being longer).</w:t>
      </w:r>
    </w:p>
    <w:p>
      <w:r>
        <w:t>66. Thus, in 2010, for lots N1 and N5, the pricing proposal from Kunegel SAS exceeded double that of the group. For lot N2, the proposal from Transdev was nearly double that of the group. Lot N4 was the only one where the pricing proposals were close (31,020 euros for Fœll-LK Kunegel / 31,664 euros for the group). The group won this lot thanks to the technical value criterion.</w:t>
      </w:r>
    </w:p>
    <w:p>
      <w:r>
        <w:t>67. In 2011, the only competitor of the group for the lots in the northern part of the department was Kunegel SAS, which only applied for five lots out of twelve and did not win any. Lots N1 and N4 were negotiated, as the tenders were declared unsuccessful on the grounds that the offers were unacceptable; indeed, the pricing proposals from the two candidates were significantly higher than the estimated price by the General Council, and the technical information provided by the group was incomplete. Despite the negotiation, the Avenir Transport group did not wish to lower its prices.</w:t>
      </w:r>
    </w:p>
    <w:p>
      <w:r>
        <w:t>68. In 2012, many alternative offers to those proposed by the group were submitted, but according to the RAE, a significant number of them were rejected by the General Council on the grounds that they were financially unacceptable. Regarding the eight lots for which the Avenir Transport group faced one or two other candidates, competition was exercised by the companies Fœll, Keolis, Kunegel, and the Transdev-Kunegel group. The pricing proposals were closer (except for lot N9) and most often, the Avenir Transport group won based on technical criteria (notably its ability to replace a vehicle more quickly in case of a problem). The three lots that the group did not win after applying were located in "l’Alsace bossue" or around Saverne, a town near the Moselle department.</w:t>
      </w:r>
    </w:p>
    <w:p>
      <w:r>
        <w:t>69. Thus, outside the areas of "l’Alsace bossue" and Saverne, the Avenir Transport group won almost all the lots for which it applied.</w:t>
      </w:r>
    </w:p>
    <w:p>
      <w:r>
        <w:t>Observations in the southern part of the department</w:t>
      </w:r>
    </w:p>
    <w:p>
      <w:r>
        <w:t>70. The Avenir Transport group is much less active in the southern part of the department. In total, the Avenir Transport group applied for 6 lots out of 19 in 2010, 5 lots out of 20 in 2011, and 7 lots out of 19 in 2012. It won all 6 lots for which it applied in 2010, 2 lots out of 5 in 2011, and 4 lots out of 7 in 2012.</w:t>
      </w:r>
    </w:p>
    <w:p>
      <w:r>
        <w:t>71. On the one hand, these lots were all located near the dividing line between the northern and southern areas defined by the General Council, and were therefore close to the service areas of the group members.</w:t>
      </w:r>
    </w:p>
    <w:p>
      <w:r>
        <w:t>72. On the other hand, competition was fiercer for the lots in the southern area of the department. Thus, in addition to the Avenir Transport group, the major players in the sector (Transdev Alsace, Keolis 3 Frontières) and the Kunegel group, many local transporters were present and submitted offers in 2010, 2011, and 2012: Flecher Voyages, Schneider SA, Autocars Schmitt, Josy Schwanger, Autocars Bastien, Fuchslock, and Autocars Wingert.</w:t>
      </w:r>
    </w:p>
    <w:p>
      <w:r>
        <w:t>73. Three other groups were present in the tenders for the southern area:</w:t>
      </w:r>
    </w:p>
    <w:p>
      <w:r>
        <w:t>- the Transport de voyageurs GTV 2010 and GTV 2011 group, bringing together Striebig SAS, Autocars Schmitt, and Obernai Tourisme; it won 2 lots out of the 9 for which it applied in 2010, and none out of 6 in 2011;</w:t>
        <w:br/>
        <w:t>- the Strasbourg sud 2011 group (GSS 2011) bringing together Obernai Tourisme SARL, Schneider SA, Autocars Striebig SAS, and Transdev Alsace, which applied for three lots in 2011 without winning any;</w:t>
        <w:br/>
        <w:t>- the Kunegel-Transdev group which appeared in 2012, applied for 3 lots and won one.</w:t>
      </w:r>
    </w:p>
    <w:p>
      <w:r>
        <w:t>74. Finally, it should be noted that in the southern area, independent coach operators were able to win lots on their own. Thus, Autocars Bastien, Flecher Voyages, Autocars Wingert, Josy Schwanger, and Fuchslock separately won lots in 2010, 2011, and 2012.</w:t>
      </w:r>
    </w:p>
    <w:p>
      <w:r>
        <w:t>The prices proposed by the Avenir Transport group</w:t>
      </w:r>
    </w:p>
    <w:p>
      <w:r>
        <w:t>75. Mr. Jean-Philippe A..., Director of Mobility at the Bas-Rhin General Council, stated during the hearing: "Regarding the daily packages submitted by the candidates for these school transport contracts, our services have indeed observed, for several years, increasingly frequent and significant overruns of the administrative estimate, which was calculated very pragmatically by our technical teams. These overruns are most often noted in the northern area of Bas-Rhin" (reference 1505).</w:t>
      </w:r>
    </w:p>
    <w:p>
      <w:r>
        <w:t>76. These statements are confirmed by the RAE. Analyzing the distribution of daily packages, by pricing bracket, for vehicles of 49 seats and more, proposed by the Avenir Transport group on the 25 school lines comprising the 12 northern lots of the 2012 consultation, the RAE indicates that 92% of the pricing offers were above 200 euros excluding taxes per day, and 72% above 250 euros. However, the daily packages proposed by the independent coach operators from the south of the department were in much lower ranges, for similar services rendered. Thus, the daily packages for 11 plain circuits awarded to Josy Schwanger in 2011 and 2012 ranged between 145 euros and 200 euros excluding taxes.</w:t>
      </w:r>
    </w:p>
    <w:p>
      <w:r>
        <w:t>77. The RAE concluded that the daily prices excluding taxes submitted by the Avenir Transport group for the lots in the northern area were significantly higher than the daily packages for the lots in the southern area. It estimates this gap to be around 25% to 30%.</w:t>
      </w:r>
    </w:p>
    <w:p>
      <w:r>
        <w:t>C. REMINDER OF THE ALLEGATIONS NOTIFIED TO THE PARTIES</w:t>
      </w:r>
    </w:p>
    <w:p>
      <w:r>
        <w:t xml:space="preserve">78. On June 3, 2015, the following allegation was notified: "The following companies are accused: </w:t>
        <w:br/>
        <w:t>- Autocars Mugler et Cie SAS (RCS Saverne 324 521 210),</w:t>
        <w:br/>
        <w:t>- Cars des Rohan SARL (RCS Saverne 501 903 181),</w:t>
        <w:br/>
        <w:t>- Autocars et Transport Royer SASU (RCS Strasbourg 728 501 503),</w:t>
        <w:br/>
        <w:t>- Staub Voyages SARL (RCS Sarreguemines 378 392 690),</w:t>
        <w:br/>
        <w:t>- Mugler Finance SAS (RCS Saverne 675 680 086) as the parent company of the SARL Cars des Rohan and the SAS Autocars Mugler et Cie,</w:t>
        <w:br/>
        <w:t>- Royer holding SAS (RCS Strasbourg 414 375 436) as the parent company of the SASU Autocars et Transport Royer,</w:t>
        <w:br/>
        <w:t>for having, for the lots of the public contracts for school transport in 2010, 2011, and 2012 in the northern part of the Bas-Rhin department (lots identified by the letter N), made offers through a group that was unjustified both technically and economically and of a size far superior to what the proper execution of the contracts required. This practice aimed to allocate the lots among its members, to dry up competition, and to obstruct price setting by the free play of competition to the detriment of the General Council, a public buyer. It took place from March 3, 2010, to June 4, 2012. It produced effects and is likely to continue to produce effects until July 2, 2016, the date of expiration of the last lots in execution. This practice is prohibited by the provisions of Article L. 420-1 of the Commercial Code."</w:t>
      </w:r>
    </w:p>
    <w:p>
      <w:r>
        <w:t>II. Discussion</w:t>
      </w:r>
    </w:p>
    <w:p>
      <w:r>
        <w:t>A. ON THE PROCEDURE</w:t>
      </w:r>
    </w:p>
    <w:p>
      <w:r>
        <w:t>1. ON THE CONSEQUENCES OF THE SETTLEMENT ACCEPTED BY CERTAIN MEMBERS OF THE GROUP</w:t>
      </w:r>
    </w:p>
    <w:p>
      <w:r>
        <w:t>79. The parties report in their observations particular circumstances explaining that the other members of the group, the companies Striebig, Eschenlauer, and Antoni, accepted the settlement proposed by the Minister in charge of the economy. They wish "that these precedents are not considered as being of a nature to establish the active awareness of the operators of the illicit nature of said group."</w:t>
      </w:r>
    </w:p>
    <w:p>
      <w:r>
        <w:t>80. In this regard, it should be recalled that, in accordance with Article R. 464-9-3 of the Commercial Code, the refusal or acceptance of a settlement by one or more of the concerned companies "has no effect on the situation of the other companies that were subject to the same procedure."</w:t>
      </w:r>
    </w:p>
    <w:p>
      <w:r>
        <w:t>81. The circumstances under which the companies Striebig, Eschenlauer, and Antoni accepted this settlement are therefore irrelevant to the decision made by the Authority in this case.</w:t>
      </w:r>
    </w:p>
    <w:p>
      <w:r>
        <w:t>2. ON THE NON-TRANSMISSION OF THE PARTIES' OBSERVATIONS TO THE ADMINISTRATIVE INVESTIGATION REPORT</w:t>
      </w:r>
    </w:p>
    <w:p>
      <w:r>
        <w:t>82. The parties are surprised that the memorandum of observations they sent to the DIRRECTE of Alsace on March 10, 2014, in response to the proposed settlement by the Minister in charge of the economy, was not transmitted to the investigation services of the Authority and argue that this lack of communication is prejudicial to them (reference 3429).</w:t>
      </w:r>
    </w:p>
    <w:p>
      <w:r>
        <w:rPr>
          <w:b/>
        </w:rPr>
        <w:t>[Pages 16–18]</w:t>
      </w:r>
    </w:p>
    <w:p>
      <w:r>
        <w:t>83. However, the communication of these observations, within the framework of the referral to the Competition Authority by the Minister in charge of the economy following a refusal of settlement, is explicitly excluded by Article R. 464-9-3 of the Commercial Code which states that "The observations made by the companies addressed by the injunction or the settlement within the framework of the procedure are not transmitted to the Competition Authority."</w:t>
      </w:r>
    </w:p>
    <w:p>
      <w:r>
        <w:t>84. The non-transmission to the Authority of the memorandum of observations submitted by the parties within the framework of the settlement procedure is consequently legally justified and the companies involved cannot claim any infringement of their rights.</w:t>
      </w:r>
    </w:p>
    <w:p>
      <w:r>
        <w:t>3. ON THE ABSENCE OF HEARINGS OF THE COMPANIES IMPLICATED BY THE RAPPORTEUR</w:t>
      </w:r>
    </w:p>
    <w:p>
      <w:r>
        <w:t>85. The companies argue that they were not heard by the rapporteur during the investigation of the case.</w:t>
      </w:r>
    </w:p>
    <w:p>
      <w:r>
        <w:t>86. However, it follows from the provisions of Chapter III of Title VI of Book IV of the Commercial Code and from the decision-making practice of the Authority that the rapporteur conducts the hearings he deems necessary and is not obliged to hear the implicated parties during his investigation, provided that the representatives of the companies are able to present written observations in response to the notification of grievances and to develop them orally during the Authority's session (see in particular decisions No. 97-D-52 of June 25, 1997, concerning practices identified in the temporary work sector in the departments of Isère and Savoie, No. 06-D-3bis, 07-D-15, No. 07-D-27, No. 10-D-03).</w:t>
      </w:r>
    </w:p>
    <w:p>
      <w:r>
        <w:t>87. This principle has been confirmed by the Paris Court of Appeal which specified that "the hearing of interested persons is a faculty left to the discretion of the rapporteur or the Council, having regard to the content of the file; Furthermore, the fact that the executives of a company were not heard during the investigation and instruction is, in the absence of a legal obligation in this matter, without impact on the regularity of the procedure, provided that from the notification of grievances and during the various phases of the procedure, the company was able, as was the case here for the applicant, to assert its observations in a timely manner" (Paris Court of Appeal January 25, 2008, le Goff Confort).</w:t>
      </w:r>
    </w:p>
    <w:p>
      <w:r>
        <w:t>88. Now, it is established, and moreover undisputed, that the implicated companies were able to assert their observations in response to the notification of grievances. They submitted a detailed memorandum on August 10, 2015, accompanied by 22 annexes. They also expressed themselves extensively orally during the session held on December 17, 2015. Consequently, the fact that they were not heard by the rapporteur during the investigation does not infringe either the principle of adversarial proceedings or the rights of the defense.</w:t>
      </w:r>
    </w:p>
    <w:p>
      <w:r>
        <w:t>B. ON THE RELEVANT MARKETS</w:t>
      </w:r>
    </w:p>
    <w:p>
      <w:r>
        <w:t>89. The implicated parties argue that the analysis of the practice should have been conducted lot by lot, identifying, for each of them, "the economic operators likely to position themselves in view of the existing logistical bases, the resulting high-mileage, or even in light of their capacity to support the establishment of new logistical bases allowing them to remedy their remoteness."</w:t>
      </w:r>
    </w:p>
    <w:p>
      <w:r>
        <w:t>90. According to a consistent decision-making practice of the Competition Authority regarding collusion, each public market conducted through a tender procedure constitutes a relevant market in itself. This market results from the confrontation of the demand of the contracting authority and the offers made by the candidates responding to the call for tenders (decision No. 10-D-10 of March 10, 2010, concerning practices identified during a call for tenders by the General Council of Alpes-Maritimes for landscaping work on a road junction). Since each lot is subject to a separate call for tenders, as applications and offers are examined lot by lot (Article 10 of the Public Procurement Code), each lot constitutes a relevant market.</w:t>
      </w:r>
    </w:p>
    <w:p>
      <w:r>
        <w:t>91. However, if several calls for tenders constitute different relevant markets, a collusion organized at a level broader than each of the considered markets may be sanctioned if it leads the companies present to unlawfully divide the shares among themselves. In a ruling of January 14, 2003, the Paris Court of Appeal thus held that: "(...) each public market conducted according to the tender procedure constitutes a reference market, resulting from the concrete confrontation, during the tender, of a demand from the project owner and the proposals made by the candidates responding to the call; considering that while this circumstance allows for the delimitation and identification of the reference market, practices affecting exclusively this market may nevertheless be sanctioned under Article L. 420-1 of the Commercial Code, as well as collusion organized at a level broader than each of the considered markets and producing effects on said markets, in that it leads the companies present to unlawfully divide the shares." Therefore, collusions can be assessed at the level of a global market composed of several calls for tenders, lots, or sub-markets.</w:t>
      </w:r>
    </w:p>
    <w:p>
      <w:r>
        <w:t>92. In this case, while each of the lots that were subject to a call for competition by the Bas-Rhin General Council may constitute a relevant market, the pursued practice consisted of forming a group among several operators, with the aim of ensuring a distribution of several lots among these companies.</w:t>
      </w:r>
    </w:p>
    <w:p>
      <w:r>
        <w:t>93. It is therefore appropriate to assess this behavior at the level of all the markets that were subject to a distribution. The practice in question will thus be analyzed by the Authority on the global market composed of all the lots of school transport by coach in the northern part of the Bas-Rhin department that were subject to a call for tenders launched by the Bas-Rhin General Council for the years 2010, 2011, and 2012.</w:t>
      </w:r>
    </w:p>
    <w:p>
      <w:r>
        <w:t>C. ON THE MERITS OF THE GRIEVANCE</w:t>
      </w:r>
    </w:p>
    <w:p>
      <w:r>
        <w:t>1. ON THE MEETING OF MINDS</w:t>
      </w:r>
    </w:p>
    <w:p>
      <w:r>
        <w:t>94. Article L.420-1 of the Commercial Code prohibits concerted actions, agreements, express or tacit collusions between companies when they have the object or may have the effect of preventing, restricting, or distorting competition in a market.</w:t>
      </w:r>
    </w:p>
    <w:p>
      <w:r>
        <w:t>95. In any case, a collusion is constituted when the parties have freely expressed a common intention to behave in a certain manner in the market. It is not necessary for it to be put in writing or to comply with any particular formality, and it is not mandatory for contractual sanctions or coercive measures to be provided. A collusion may be express or may implicitly arise from the behavior of the parties, since a course of conduct may be evidence of a collusion.</w:t>
      </w:r>
    </w:p>
    <w:p>
      <w:r>
        <w:t>96. In its decision No. 06-D-03 of March 9, 2006, concerning practices implemented in the heating, sanitary, plumbing, and air conditioning sector, the Competition Council recalled that the companies that are members of a group are presumed to have adhered to its statutes: "The membership of the parties in purchasing groups demonstrates, by itself, the willingness of the parties to respect the statutes of the group. The fact that they did not participate in the drafting of these statutes has no impact on their acceptance. It is therefore appropriate to dismiss the arguments that, not having been members of the group since its inception, the companies could not be held accountable for their participation in a collusion based on the anti-competitive nature of the group's statutes."</w:t>
      </w:r>
    </w:p>
    <w:p>
      <w:r>
        <w:t>97. Finally, according to a consistent case law in national law, meetings during which competing companies pre-allocate upcoming markets constitute meetings with an anti-competitive purpose, which are followed by the concerted submission to these markets (decisions 03-D-54; 05-D-26; 05-D-38 confirmed by a ruling of the Paris Court of Appeal of February 7, 2006 (Transdev)).</w:t>
      </w:r>
    </w:p>
    <w:p>
      <w:r>
        <w:t>98. In this case, it follows from the findings made in paragraphs 25 to 32 that each company member of the Avenir Transport group signed, each year, the group's agreement and committed to respecting all its obligations. Each member of the group also agreed to be represented by the same representative vis-à-vis the authorities of the General Council.</w:t>
      </w:r>
    </w:p>
    <w:p>
      <w:r>
        <w:t>99. These companies thus gave their consent for the representative to organize the distribution of the lots by convening preparatory meetings for the calls for tenders. The RAE further specifies that "clearly contacts took place between the companies for the distribution among themselves of the lots and the formation of groups on the principle of one group per lot (...)” (reference 1603).</w:t>
      </w:r>
    </w:p>
    <w:p>
      <w:r>
        <w:t>100. The consistent and detailed statements of the managers of the companies cited in paragraphs 25 to 27 of the decision, as well as the internal functioning of the group (Article 6 of the agreement), demonstrate that meetings between transporters led to the formation of temporary groups of companies to respond to the calls for tenders on the principle of one group per year, which gave rise to the distribution agreement.</w:t>
      </w:r>
    </w:p>
    <w:p>
      <w:r>
        <w:t>101. The meeting of minds of the implicated companies, members of the Avenir Transport group, is therefore established, regardless of the fact that it is not justified that the formation of the group stemmed from the intention of its members to organize an anti-competitive collusion, as case law never requires proof that the meeting of minds of the companies party to the collusion also concerns the obtaining of an anti-competitive effect that they would have intentionally sought.</w:t>
      </w:r>
    </w:p>
    <w:p>
      <w:r>
        <w:t>2. ON THE OPERATION OF THE COLLUSION</w:t>
      </w:r>
    </w:p>
    <w:p>
      <w:r>
        <w:t>102. The investigations have gathered a body of serious, precise, and consistent evidence demonstrating that the parties participated in an anti-competitive collusion whose purpose was to divide the school lines constituting the lots put on the market by the General Council. It is appropriate, first of all, to recall the principles that guide the qualification of such practices (a), secondly, to present the rules of evidence administration (b), and finally to analyze all these principles in the case at hand (c).</w:t>
      </w:r>
    </w:p>
    <w:p>
      <w:r>
        <w:rPr>
          <w:b/>
        </w:rPr>
        <w:t>[Pages 19–21]</w:t>
      </w:r>
    </w:p>
    <w:p>
      <w:r>
        <w:t xml:space="preserve">a) Reminder of Applicable Principles  </w:t>
        <w:br/>
        <w:t xml:space="preserve">103. The Council, and then the Competition Authority, have repeatedly reminded that the formation, by independent and competing companies, of groups in order to respond to a call for tenders is not illegal in itself (decision no. 09-D-03 of January 21, 2009, concerning practices implemented in the school and intercity transport sector by coach in the Pyrénées-Orientales department and judgment of the Paris Court of Appeal of January 5, 2010). Such groups can have a "pro-competitive" effect if they allow the grouped companies to compete when they would not have been able to do so individually, or to compete on the basis of a more competitive or higher quality offer.  </w:t>
        <w:br/>
        <w:t xml:space="preserve">104. However, a group can have an anti-competitive nature if it causes an artificial reduction in the number of candidate companies, concealing an anti-competitive agreement or market allocation. The group is thus condemned when it is formed solely for the purpose of restricting competition and is without economic or technical justification. Thus, in its decision no. 04-D-50 of November 3, 2004, concerning practices implemented during calls for tenders organized by the Intercommunal Sanitation Syndicate of the Valley of Lakes, the Competition Council considered that the offer presented in a group had no serious economic or technical justification insofar as the two companies involved had the same scope and specialization and that each contract had a dimension compatible with the size of each of the companies. Moreover, by grouping to submit bids, the companies had allocated the contracts among themselves and had compensated each other so that each of them ultimately received an equivalent amount for the execution of the work.  </w:t>
        <w:br/>
        <w:t xml:space="preserve">105. In its decision no. 08-D-22 of October 9, 2008, concerning practices implemented in the context of public contracts in the Haut-Rhin department, the Competition Council considered that "the harm to the competitive process resulting from the formation of a group not justified by legitimate reasons (...) lies in the fact that this formation artificially reduces or prevents competing offers, particularly when the agreement prevents the members of the 'artificial' group from submitting an individual offer or within the framework of a 'legitimate' group. (...) Thus, a group is qualified as an anti-competitive agreement if its object or effect is to prevent potential competition, both within and outside the group."  </w:t>
        <w:br/>
        <w:t xml:space="preserve">106. The anti-competitive object of a group is thus particularly revealed when the group has been formed between companies that have come together to replicate the execution conditions of services that the public authority, prior to the call for tenders, was already distributing among these companies (decision no. 95-D-56 of September 12, 1995, concerning practices implemented by health transport companies during the awarding of a contract with the hospital center of Tourcoing and decision no. 09-D-03 mentioned above).  </w:t>
        <w:br/>
        <w:t xml:space="preserve">b) On the Administration of Evidence  </w:t>
        <w:br/>
        <w:t xml:space="preserve">107. According to consistent case law, the existence of an anti-competitive practice can be characterized either by self-sufficient material evidence or by a set of serious, precise, and consistent indications constituted by the correlation of various elements collected during the investigation.  </w:t>
        <w:br/>
        <w:t xml:space="preserve">108. The Court of Cassation, in a judgment of December 8, 1992, admitted the evidentiary value of a set of indications: "evidently, the existence and effectiveness of an agreement (...) are normally not established by formalized, dated, and signed documents emanating from the companies to which they are opposed (...) the proof can only result from varied indications insofar as, after cross-checking, they constitute a set of presumptions that are sufficiently serious, precise, and consistent." The Paris Court of Appeal upheld these principles (judgment of the Paris Court of Appeal of September 16, 2010, Raffalli &amp; Cie).  </w:t>
        <w:br/>
        <w:t xml:space="preserve">109. Regarding the evidentiary value of the minutes of statements, the Paris Court of Appeal ruled, in a judgment of January 26, 2012, in the so-called "Parfums" case, not challenged by the Court of Cassation on this point, that "as for the probative value of the various elements of evidence, the only relevant criterion for assessing the evidence produced lies in their credibility; that according to the general rules regarding evidence, the credibility and thus the probative value of a document depend on its origin, the circumstances of its preparation, its recipient, and its content; that concerning the probative value of statements, particularly high credibility can be recognized for those which, first, are reliable, second, are made on behalf of a company, third, come from a person bound by the professional obligation to act in the interest of that company, fourth, go against the interests of the declarant, fifth, come from a direct witness of the circumstances they report, and sixth, have been provided in writing, deliberately and after careful consideration" (page 46 of the judgment).  </w:t>
        <w:br/>
        <w:t xml:space="preserve">c) Application to the Case at Hand  </w:t>
        <w:br/>
        <w:t xml:space="preserve">110. The companies involved argue that the demonstration of the anti-competitive nature of the agreement relies solely on statements and that therefore, the proof of the notified agreement is not established. In particular, they dispute the evidentiary value of the statements of Mr. D..., which they consider only bind him and that he did not measure their scope. Furthermore, they assert that these statements do not in any way demonstrate that the other implicated companies were engaged in a similar perspective (reference 3503).  </w:t>
        <w:br/>
        <w:t xml:space="preserve">111. However, the aforementioned statements, made during the administrative investigation, like all the documents in the file, come from the main responsible individuals of the implicated companies and reveal in a precise and consistent manner the organization and implementation of the agreement. The individuals heard were all direct witnesses of the facts, and many of them played a personal and decisive role in the agreement.  </w:t>
        <w:br/>
        <w:t xml:space="preserve">112. In this case, the statements of Mr. D... are consistent with those of Mr. B... and Mr. X... and highlight the objectives of the group, whose agreement in its point "E" under "V. Operation" specifies in particular that it is responsible for designating the potential operators of each lot obtained (reference 320).  </w:t>
        <w:br/>
        <w:t xml:space="preserve">113. The evidentiary value of a direct witness's statement is all the greater as this statement goes against the interest of the company of which this witness is a member. This is indeed the case, so that the statements of the leaders of the implicated companies each constitute a particularly convincing indication.  </w:t>
        <w:br/>
        <w:t xml:space="preserve">114. It must be noted that these statements consistently specify that the group aimed at the allocation among its members of the school lines constituting the lots put on the market by the General Council, the limitation of competition with respect to companies that are not members of the group, and the maintenance of the level of prices for school transport services and market shares.  </w:t>
        <w:br/>
        <w:t xml:space="preserve">i) The Allocation Among Group Members of School Lines  </w:t>
        <w:br/>
        <w:t xml:space="preserve">115. The consistent statements mentioned above (paragraphs 45 to 47) confirm the objective of allocating school lines among the members of the group.  </w:t>
        <w:br/>
        <w:t xml:space="preserve">116. This is particularly evident from a statement by Mr. Louis X..., president of Autocars Mugler et Cie: "When the lot defined by the General Council groups lines previously operated by several carriers, the group is fully justified, as it allows, after having been declared the successful bidder, to redistribute the lines to each of the historical operators." (reference 86).  </w:t>
        <w:br/>
        <w:t xml:space="preserve">117. Thus, the agreement aimed in particular at the historical allocation of lines among local coach operators, even when the General Council redefined the lots by grouping several lines.  </w:t>
        <w:br/>
        <w:t xml:space="preserve">ii) Drying Up Competition in the Northern Part of the Department  </w:t>
        <w:br/>
        <w:t xml:space="preserve">118. Similarly, it emerges from the previously cited statements (paragraphs 48 and 49) that the members of the group established a common discipline aimed at ensuring that each member respects the historical positions acquired with a joint intention not to attempt to establish themselves in the territory of another company.  </w:t>
        <w:br/>
        <w:t xml:space="preserve">119. The companies put forward a few counterexamples showing that certain lines belonging to lots held by the group have been able to change operators (references 3495 and 3496):  </w:t>
        <w:br/>
        <w:t xml:space="preserve">- line 320, historically operated by the Mugler company within the framework of the group, "now" operated by the Striebig company following a change in the starting point of the line; however, the parties do not indicate which lot and which consultation this line pertains to;  </w:t>
        <w:br/>
        <w:t xml:space="preserve">- "various lots and routes that have changed operators, notably between the Mugler and Antoni companies, given that the respective operating conditions allowed for a better offer within the framework of the group."  </w:t>
        <w:br/>
        <w:t xml:space="preserve">- a lot no. 5 cited in the RAE (reference 3143): although closer to the operating site of Autocars Royer, this route is operated by the Striebig company.  </w:t>
        <w:br/>
        <w:t xml:space="preserve">120. However, these examples are rare and poorly substantiated and do not allow for a valid challenge to the consistent statements of several members of the group indicating that it aimed to maintain the market shares of its members.  </w:t>
        <w:br/>
        <w:t xml:space="preserve">iii) Maintaining the Level of Prices and Market Shares  </w:t>
        <w:br/>
        <w:t xml:space="preserve">121. Finally, it emerges from the statements of the members of the group (paragraphs 51 and 52) that it also aimed to maintain the prices of school transport services obtained from the General Council.  </w:t>
        <w:br/>
        <w:t xml:space="preserve">122. In particular, Mr. D... indicated that the daily rates for services for lots N1, N4, N5, N8, N9 ranged between 250 and 300 euros excluding taxes. On several occasions, he acknowledged that these rates compensated "very comfortably" the services performed, particularly regarding lots N1, N4, and N5 during the 2012 consultation.  </w:t>
        <w:br/>
        <w:t>123. For example, Mr. Christian E..., manager of the SARL Autotransport Wingert, stated regarding the services performed in the southern part of the department that "in terms of pricing, given the existing competition, I do not have much leeway if I want to be truly competitive. Therefore, I try to optimize the organization of these school routes by reusing vehicles during off-peak hours in order to be able to submit an attractive price proposal. Thus, for example, I carried out for...</w:t>
      </w:r>
    </w:p>
    <w:p>
      <w:r>
        <w:rPr>
          <w:b/>
        </w:rPr>
        <w:t>[Pages 22–24]</w:t>
      </w:r>
    </w:p>
    <w:p>
      <w:r>
        <w:t>6,500 euros in "pool" revenue in the month of October 2012 with neighboring municipalities or communities of municipalities. This allows me to be competitive in my price submissions to the General Council. The prices submitted range between 150 and 180 euros, all taxes included, per day and per vehicle" (reference 409).</w:t>
      </w:r>
    </w:p>
    <w:p>
      <w:r>
        <w:t>124. These consistent statements confirm that among the objectives of the Avenir Transport group was the aim of maintaining higher daily rates in the northern area of the Bas-Rhin department.</w:t>
      </w:r>
    </w:p>
    <w:p>
      <w:r>
        <w:t>3. ON THE LEGAL AND ECONOMIC CONTEXT</w:t>
      </w:r>
    </w:p>
    <w:p>
      <w:r>
        <w:t>125. The parties attempt to justify the formation of a group to respond to the calls for tenders by the legal and economic context in which the practices are situated.</w:t>
      </w:r>
    </w:p>
    <w:p>
      <w:r>
        <w:t>126. In this regard, they argue that the group "justifies elements of optimization for the benefit of the departmental community" (reference 3494), notably a gradual harmonization of the fleet of coaches around two brands to reduce costs and the definition of a standard coach allowing interoperability within the group. They also highlight "the establishment of a common passenger information system that has directly benefited the departmental network" as well as "the organization of joint training for the different companies" (reference 3506). They also cite certain technical requirements and operational constraints contained in the specifications:</w:t>
        <w:br/>
        <w:t>- the age of the vehicles used for transporting students: "the age limit for vehicles has been raised to 16 years, or even 12 for certain lots, whereas it was previously set at 19 years in the context of earlier procurement procedures," while "the issue of vehicle age is of paramount importance in assessing the technical value of the offers" (reference 3454);</w:t>
        <w:br/>
        <w:t>- qualitative requirements regarding staff training, vehicle condition, and environmental provisions (reference 3456);</w:t>
        <w:br/>
        <w:t>- requirements in terms of service hours, presence at stopping points, and intermediate travel times (reference 3455).</w:t>
      </w:r>
    </w:p>
    <w:p>
      <w:r>
        <w:t>127. The companies also argue that given, on the one hand, the particularly short time frame to formalize a response, and on the other hand, the necessity to be effectively in a position to execute the services expected by the departmental institution in case of award, the group allows for a certain pooling of technical resources, particularly regarding the availability of vehicles and driving personnel.</w:t>
      </w:r>
    </w:p>
    <w:p>
      <w:r>
        <w:t>128. However, the administrative investigation established that there were no synergies or pooling among the members of the group beyond the initial distribution of lots. This is confirmed by the statements of Mr. Louis X... who declared on September 20, 2012: "Even in case of a problem (such as breakdown at the start, unexpectedly absent or sick driver...) on a school route, we have always found an internal solution and we have rarely needed to call on the services of another member of the Avenir Transport group to execute our school transport service (except for calls to ANTONI on a few occasions)" (reference 86).</w:t>
      </w:r>
    </w:p>
    <w:p>
      <w:r>
        <w:t>129. The statements of Mr. Rémy D... go in the same direction. He stated on September 20, 2012: "Except for cases of mechanical or human failures, which are very rare, the members of the group do not consider at any time pooling their various resources. There is no synergy in the operation of the lines. When we submit a price proposal to the group's representative for the lines that interest us, it is clear that the company Autocars STRIEBIG is capable of executing this service by itself" (reference 243).</w:t>
      </w:r>
    </w:p>
    <w:p>
      <w:r>
        <w:t>130. Consequently, contrary to what is claimed, the parties involved do not establish in any way that it was economically necessary to apply as a group of companies to respond to the calls for tenders.</w:t>
      </w:r>
    </w:p>
    <w:p>
      <w:r>
        <w:t>131. The members of the group implicated in this case then claim that the idea of a group arose from the General Council's intention to eventually create a public service delegation by geographical basin.</w:t>
      </w:r>
    </w:p>
    <w:p>
      <w:r>
        <w:t>132. In particular, Mr. Louis X..., president of SAS Autocars Mugler, specified that: "the creation of a group was considered in 1999 following the expressed desire of the General Council to limit the number of interlocutors by considering grouping the lines by sector: Haguenau, Wissembourg, Saverne, Sélestat, and Bruche-Piemont. This working hypothesis did not materialize, but it motivated us, as it would have been impossible for us to respond individually to such lots, given the size of our respective structures" (reference 85).</w:t>
      </w:r>
    </w:p>
    <w:p>
      <w:r>
        <w:t>133. However, the statements of the companies as well as the analysis of the calls for tenders for school transport services initiated by the General Council of Bas-Rhin show that during the incriminated period, it never changed its allotment policy (paragraph 41).</w:t>
      </w:r>
    </w:p>
    <w:p>
      <w:r>
        <w:t>134. It follows from the findings (see paragraphs 41 to 43) that the allotment policy of the General Council made school transport contracts accessible to all passenger transport operators, regardless of their size. The members of the group indicated in their statements that they were capable of ensuring the execution of the awarded lines alone, and that this activity did not present any technical difficulty.</w:t>
      </w:r>
    </w:p>
    <w:p>
      <w:r>
        <w:t>135. Finally, the companies argue that the Authority underestimated the competitive intensity of the market and in particular the threat posed by the company Carpostal (reference 3442). They also mention the offensive strategies of national groups such as Keolis, which won contracts in certain departments thanks to prices deemed predatory (reference 3443).</w:t>
      </w:r>
    </w:p>
    <w:p>
      <w:r>
        <w:t>136. Regarding the company Carpostal, it operates the intercity network of Hagenau and Schweighouse-sur-Moder. However, it did not apply for any of the school transport lots put out to tender by the General Council of Bas-Rhin between 2010 and 2012, and did not operate any departmental school transport line at the start of the 2012 school year.</w:t>
      </w:r>
    </w:p>
    <w:p>
      <w:r>
        <w:t>137. Concerning potential "predatory practices" implemented by large national passenger transport groups (reference 3440), their offers were not considered sufficiently competitive during the calls for tenders in 2010, 2011, and 2012, so they did not constitute real competition, as shown in paragraphs 65 to 68.</w:t>
      </w:r>
    </w:p>
    <w:p>
      <w:r>
        <w:t>138. Moreover, in the face of the arrival of new competitors, the interest in forming such a group should have been to propose more competitive offers. However, it is not demonstrated that the Avenir Transport group offered lower prices or better quality services than its members would have done by applying individually. These elements confirm, on the contrary, that the Avenir Transport group brought together local coach operators capable of presenting competitive offers within the scope of the practice.</w:t>
      </w:r>
    </w:p>
    <w:p>
      <w:r>
        <w:t>139. The parties involved argue, regarding the conditions of competition, that services located more than 20/25 km from the logistical bases, given the rolling costs induced by the kilometers and pre-delivery times, disqualify a large number of operators and that this economic reality would explain a "defensive practice" that should not be equated with anti-competitive practice.</w:t>
      </w:r>
    </w:p>
    <w:p>
      <w:r>
        <w:t>140. They claim that it was very difficult to adopt an offensive strategy in the school transport market by seeking to win new lines, as this would require the creation of new logistical bases, which represents a significant cost (references 3459 and 3460). First, they assert that the profitability of the lines is too uncertain since, at the application stage, the company does not know if it will be able to combine a new school line with other similar services during the day. Then, they argue that framework contracts do not allow local operators to obtain a guarantee of minimum remuneration. According to the parties, short-term contracts confer an advantage to the outgoing operator who already has the coach and driver to perform the route. Finally, the contracting authority has the option to refrain from renewing this type of contract each year (within the limit of the contract duration, which is between one and four years).</w:t>
      </w:r>
    </w:p>
    <w:p>
      <w:r>
        <w:t>141. However, these arguments concern, by definition, all the school transport lots that were the subject of calls for tenders initiated by the General Council of Bas-Rhin. Transport companies are all placed in the same situation; this results from the very organization of a public market. In reality, these developments aim to reaffirm that the proximity of a company to the start of a school route generally gives it an advantage for the relevant lot but do not explain how the formation of a group could improve the competitiveness of companies already established locally and which showed no willingness to win new markets.</w:t>
      </w:r>
    </w:p>
    <w:p>
      <w:r>
        <w:t>142. In any case, these elements do not call into question the consistent statements of certain companies, members of the group, which specify that the group has renounced conquering new markets in a logic of "non-aggression" towards other local coach operators.</w:t>
      </w:r>
    </w:p>
    <w:p>
      <w:r>
        <w:t>143. Consequently, none of the arguments put forward by the parties establishes that the creation of the group is based on an economically justified and appropriate response.</w:t>
      </w:r>
    </w:p>
    <w:p>
      <w:r>
        <w:t>4. CONCLUSION ON THE ANTI-COMPETITIVE OBJECT OF THE AVENIR TRANSPORT GROUP</w:t>
      </w:r>
    </w:p>
    <w:p>
      <w:r>
        <w:t>144. The functioning of the agreement is described in the consistent statements of the leaders of the members of the Avenir Transport group. The companies admitted to compete also adhered to a market-sharing rule. The group served as a relay for the choices advocated by the members of the agreement.</w:t>
      </w:r>
    </w:p>
    <w:p>
      <w:r>
        <w:t>145. In summary, the agreement to allocate the different lots offered by the General Council between 2010 and 2012 was established by the formation of the Avenir Transport group. The members of this group accepted this collusive system. None distanced themselves publicly from this system violating competition law.</w:t>
      </w:r>
    </w:p>
    <w:p>
      <w:r>
        <w:t>146. It follows from the above that the anti-competitive object of the Avenir Transport group for the calls for tenders for school transport services launched by the General Council of Bas-Rhin in 2010, 2011, and 2012 is established.</w:t>
      </w:r>
    </w:p>
    <w:p>
      <w:r>
        <w:rPr>
          <w:b/>
        </w:rPr>
        <w:t>[Pages 25–27]</w:t>
      </w:r>
    </w:p>
    <w:p>
      <w:r>
        <w:t xml:space="preserve">D. ON THE CONTINUITY OF THE PRACTICE  </w:t>
        <w:br/>
        <w:t xml:space="preserve">147. The practice implemented by the members of the Avenir Transport groups across all the calls for tenders in 2010, 2011, and 2012 related to the contracts for the execution of school transport services must be considered as continuous. Indeed, the Avenir Transport group, reconstituted year after year, pursued the same anti-competitive objective and applied it systematically during each consultation of the Bas-Rhin General Council for school transport services from 2010 to 2012.  </w:t>
        <w:br/>
        <w:t xml:space="preserve">148. The same companies participated in the group for the years 2010, 2011, and 2012, with the same individuals at their head, implementing the same practice. The geographical scope of the practice is the same at each consultation: it concerned the northern part of the Bas-Rhin department.  </w:t>
        <w:br/>
        <w:t xml:space="preserve">149. The elements of the file and the statements show that such acts, which were regularly renewed over at least three years, were not isolated acts but were part of a policy of allotment that lasted for several years without presenting any significant interruption. These acts, stemming from a persistent common will, cannot be analyzed as distinct infringements but must be considered as a continuous infringement.  </w:t>
        <w:br/>
        <w:t xml:space="preserve">150. This continuous practice began at the time of the establishment of the group in view of the calls for tenders of 2010, namely on March 3, 2010 (reference 322), and continued at least until the last call for tenders of 2012, namely on June 4, 2012. It also produced effects and is likely to continue to produce effects until July 2, 2016, the date of expiration of the last ongoing lots.  </w:t>
        <w:br/>
        <w:t xml:space="preserve">E. THE ATTRIBUTION OF PRACTICES  </w:t>
        <w:br/>
        <w:t xml:space="preserve">1. REMINDER OF PRINCIPLES  </w:t>
        <w:br/>
        <w:t xml:space="preserve">151. As established by consistent case law, when the existence of an infringement is established, it is necessary to determine the natural or legal person who was responsible for the operation of the company in question at the time the infringement was committed, so that they can be held accountable for this infringement. The infringement must thus be unequivocally attributed to a legal entity that may be subject to sanctions.  </w:t>
        <w:br/>
        <w:t xml:space="preserve">152. The notion of a company and the rules of attribution fall under the substantive rules of European Union competition law. Although the interpretation given by the Union's courts does not bind the national competition authority and national courts when applying Articles L. 420-1 and L. 420-2 of the Commercial Code, the Authority adopts this interpretation to ensure the consistency of its decision-making practice regarding attribution (see decisions No. 11-D-02 of January 26, 2011, concerning practices implemented in the sector of restoration of historical monuments, paragraph 597, and No. 11-D-13 of October 5, 2011, concerning practices identified in the sectors of electrification and electrical installation in the Midi-Pyrénées, Languedoc-Roussillon, Auvergne regions and neighboring areas, paragraph 352).  </w:t>
        <w:br/>
        <w:t xml:space="preserve">153. The Union judge clarified that the notion of a company must be understood as designating an economic unit, even if, from a legal point of view, it is composed of several natural or legal persons (judgments of the Court of Justice of September 10, 2009, Akzo Nobel e.a./Commission, C-97/08 P, Rec. 2009 p. I-8237, paragraph 55, of March 29, 2011, ArcelorMittal Luxembourg/Commission and Commission/ArcelorMittal Luxembourg e.a., C-201/09 P and C-216/09 P, Rec. 2011 p. I-2239, paragraph 95, of September 29, 2011, Elf Aquitaine/Commission, C-521/09 P, Rec. 2011 p. I-8947, paragraph 53, and of the Paris Court of Appeal of March 29, 2012, Lacroix Signalisation e.a., No. 2011/01228, p. 18). It is this economic entity that must, when it infringes competition rules, be held accountable for this infringement, in accordance with the principle of personal responsibility on which EU competition law is based.  </w:t>
        <w:br/>
        <w:t xml:space="preserve">154. Thus,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(judgments Akzo Nobel e.a./Commission, cited above, paragraph 58, ArcelorMittal Luxembourg/Commission and Commission/ArcelorMittal Luxembourg e.a., cited above, paragraph 96, Elf Aquitaine/Commission, cited above, paragraph 54, and Lacroix Signalisation e.a., cited above, pp. 18 and 19).  </w:t>
        <w:br/>
        <w:t xml:space="preserve">155. In the specific case where a parent company holds, directly or indirectly through an intermediary company, all or almost all of the capital of its subsidiary that engages in infringing behavior, there is a presumption that this parent company exerts a decisive influence on the behavior of its subsidiary (judgments of the Court of Justice, Akzo Nobel e.a./Commission, cited above, paragraph 60, General Química e.a./Commission, cited above, paragraphs 2 and 42, of September 29, 2011, Arkema/Commission, C-520/09 P, paragraph 42, and of the Paris Court of Appeal, Lacroix Signalisation e.a., cited above, p. 19).  </w:t>
        <w:br/>
        <w:t xml:space="preserve">156. In this case, it is sufficient for the competition authority to provide evidence of this capital holding to attribute the behavior of the subsidiary that engaged in the practices to the parent company (judgments Akzo Nobel e.a./Commission, cited above, paragraph 61, Elf Aquitaine/Commission, cited above, paragraph 57, and Lacroix Signalisation e.a., cited above, p. 19).  </w:t>
        <w:br/>
        <w:t xml:space="preserve">2. APPLICATION TO THE CASE AT HAND  </w:t>
        <w:br/>
        <w:t xml:space="preserve">157. The companies that were members of the Avenir Transport group in 2010, 2011, and 2012 that did not accept the settlement proposed by the Minister in charge of the economy, and which are therefore the subject of the referral, are as follows: Autocars Mugler et Cie SAS, Cars des Rohan SARL, Autocars et Transport Royer SASU, and Staub Voyages SARL.  </w:t>
        <w:br/>
        <w:t xml:space="preserve">158. As demonstrated above, the companies Autocars Mugler et Cie SAS, Cars des Rohan SARL, Autocars et Transport SASU, and Staub Voyages SARL have, as such, joined the group and thus participated in the identified anti-competitive practices. Their responsibility must therefore be retained as authors of the practices.  </w:t>
        <w:br/>
        <w:t xml:space="preserve">159. SAS Autocars Mugler et Cie and SARL Cars des Rohan are, respectively, 99.96% and 100% owned by the holding company Mugler Finance SAS (RCS Saverne 675 680 086), which must therefore be considered jointly liable for the practices implemented by these two subsidiaries (references 1663 and 1666), which it does not contest.  </w:t>
        <w:br/>
        <w:t xml:space="preserve">160. SASU Autocars et Transport Royer is 100% owned by Royer holding SAS (RCS Strasbourg 414 375 436), which must therefore be considered jointly liable for the practices implemented by its subsidiary (reference 1654), which it does not contest.  </w:t>
        <w:br/>
        <w:t xml:space="preserve">161. Consequently, and in light of the principles regarding attribution outlined above, the responsibility of the following individuals must be retained for the pursued practices:  </w:t>
        <w:br/>
        <w:t xml:space="preserve">- to the company Autocars Mugler et Cie for its direct participation throughout the entire duration of the identified practices;  </w:t>
        <w:br/>
        <w:t xml:space="preserve">- to the company Cars des Rohan for its direct participation throughout the entire duration of the identified practices;  </w:t>
        <w:br/>
        <w:t xml:space="preserve">- to the company Mugler Finance as the parent company of Cars des Rohan and Autocars Mugler et Cie throughout the entire duration of the identified practices;  </w:t>
        <w:br/>
        <w:t xml:space="preserve">- to the company Autocars et Transport Royer for its direct participation throughout the entire duration of the identified practices;  </w:t>
        <w:br/>
        <w:t xml:space="preserve">- to the company Royer holding as the parent company of Autocars et Transport Royer throughout the entire duration of the identified practices;  </w:t>
        <w:br/>
        <w:t xml:space="preserve">- to the company Staub Voyages for its direct participation throughout the entire duration of the identified practices.  </w:t>
        <w:br/>
        <w:t xml:space="preserve">III. On the sanctions  </w:t>
        <w:br/>
        <w:t xml:space="preserve">162. The following will be addressed successively:  </w:t>
        <w:br/>
        <w:t xml:space="preserve">- the principles regarding the determination of sanctions (A);  </w:t>
        <w:br/>
        <w:t xml:space="preserve">- the determination of the base amount (B);  </w:t>
        <w:br/>
        <w:t xml:space="preserve">- the consideration of circumstances specific to each company (C);  </w:t>
        <w:br/>
        <w:t xml:space="preserve">- the final adjustments (D).  </w:t>
        <w:br/>
        <w:t xml:space="preserve">A. PRINCIPLES  </w:t>
        <w:br/>
        <w:t xml:space="preserve">163. I of Article L. 464-2 of the Commercial Code empowers the Authority to impose financial penalties on companies and organizations that engage in anti-competitive practices prohibited by Articles L. 420-1 and L. 420-2 of the Commercial Code.  </w:t>
        <w:br/>
        <w:t xml:space="preserve">164. According to the fourth paragraph of I of Article L. 464-2 of the Commercial Code, “if the offender is not a company, the maximum amount of the penalty is 3 million euros. The maximum amount of the penalty for a company is 10% of the highest amount of worldwide turnover excluding taxes during one of the financial years closed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165. Furthermore, the third paragraph of I of Article L. 464-2 of the Commercial Code provides that “financial penalties are proportionate to the seriousness of the facts alleged, to the importance of the damage caused to the economy, to the individual situation of the sanctioned organization or company or the group to which the company belongs, and to any repetition of practices prohibited by (Title VI of Book IV of the Commercial Code). They...</w:t>
      </w:r>
    </w:p>
    <w:p>
      <w:r>
        <w:rPr>
          <w:b/>
        </w:rPr>
        <w:t>[Pages 28–30]</w:t>
      </w:r>
    </w:p>
    <w:p>
      <w:r>
        <w:t>s are determined individually for each sanctioned company or organization and are reasoned for each sanction."</w:t>
      </w:r>
    </w:p>
    <w:p>
      <w:r>
        <w:t>166. Article L. 464-5 of the Commercial Code states that the Authority may, when implementing the simplified procedure provided for in Article L. 463-3 of the Commercial Code, impose the sanctions provided for in paragraph I of Article L. 464-2 of this code. However, the sanction may not exceed 750,000 euros for each of the authors of the prohibited practices.</w:t>
      </w:r>
    </w:p>
    <w:p>
      <w:r>
        <w:t>167. In this case, the Authority will assess these legal criteria according to the practical modalities described in its press release of May 16, 2011, relating to the method of determining financial penalties (hereinafter "the sanctions press release").</w:t>
      </w:r>
    </w:p>
    <w:p>
      <w:r>
        <w:t>168. Each of the companies involved in this case has been given the opportunity to make observations on the main elements of law and fact in the file that may influence the determination of the sanction that may be imposed on them, following the receipt of the simplified notification of grievances describing these various elements.</w:t>
      </w:r>
    </w:p>
    <w:p>
      <w:r>
        <w:t>B. ON THE DETERMINATION OF THE BASE AMOUNT</w:t>
      </w:r>
    </w:p>
    <w:p>
      <w:r>
        <w:t>1. ON THE METHOD USED FOR DETERMINING THE BASE AMOUNT</w:t>
      </w:r>
    </w:p>
    <w:p>
      <w:r>
        <w:t>169. Point 23 of the sanctions press release states that: "To give a numerical translation to its assessment of the seriousness of the facts and the importance of the damage caused to the economy, the Authority retains, as the base amount of the financial penalty, a proportion of the value of sales made by each company or organization involved, of products or services related to the infringement or, where applicable, the infringements in question. The value of these sales constitutes an appropriate and objective reference for determining the base amount of the financial penalty, as it allows for a case-by-case proportionality of the base to the economic magnitude of the infringement or infringements in question, on the one hand, and to the relative weight, in the relevant sector(s) or market(s), of each company or organization that participated, on the other hand. It is therefore retained by the Authority, like other European competition authorities, in preference to the total turnover of each company or organization involved, which may not be related to the magnitude of these infringements and the relative weight of each participant in the relevant sector(s) or market(s). (...)</w:t>
      </w:r>
    </w:p>
    <w:p>
      <w:r>
        <w:t>170. Thus, the Authority retains the value of sales of all categories of products related to the infringement made by each of the companies involved, during its last complete accounting year of participation in this infringement, as the basis for their respective sanctions.</w:t>
      </w:r>
    </w:p>
    <w:p>
      <w:r>
        <w:t>171. However, in this case, the sales values provided by the companies for the years 2010, 2011, and 2012 vary greatly from year to year and cannot constitute a representative data for calculating the amount of the sanction. Furthermore, these amounts largely depend on the distributions made between the companies within the framework of the agreement, and also on the dates of renewal of the lots of which they are holders. These data therefore do not constitute an appropriate indicator of their relative weight in the pursued practices.</w:t>
      </w:r>
    </w:p>
    <w:p>
      <w:r>
        <w:t>172. The sanctions press release (points 67 and 68) provides for a specific method for determining financial penalties in the case of practices implemented during calls for tenders: "The method described in section IV.A.2 above will be adapted in cases of anti-competitive practices concerning one or more specific calls for tenders and not falling under a complex and continuous infringement. Indeed, the value of sales does not constitute an appropriate indicator of the economic magnitude of these practices, which are instantaneous in nature, and of the relative weight of each company or organization participating, particularly when their involvement consists of making cover bids or refraining from bidding. The base amount of the financial penalty will then result from the application of a coefficient, determined according to the seriousness of the facts and the importance of the damage caused to the economy, to the total turnover realized in France by the organization or by the company involved, or by the group to which the company belongs, in principle during the complete accounting year in which the infringement occurred or the last complete accounting year if there are several. This coefficient will take into account the fact that these practices, which aim to deceive the contracting authorities about the very effectiveness of the call for tenders process, rank among the most serious infringements of competition rules by their very nature and are among the most difficult to detect due to their secret nature."</w:t>
      </w:r>
    </w:p>
    <w:p>
      <w:r>
        <w:t>173. The Paris Court of Appeal confirmed the decision-making practice of the Authority in the context of calls for tenders that distorted competition by validating the choice of the method used to determine the financial penalty (Judgments of the Paris Court of Appeal, Lacroix signalisation cited above, page 32 and société Allez et Cie e.a. of March 28, 2013, 2011/20125, page 34; see also decisions No. 10-D-39 of December 22, 2010, relating to practices implemented in the sector of vertical road signage, paragraph 443 and No. 11-D-13 of October 5, 2011, relating to practices identified in the sectors of electrification works and electrical installation in the Midi-Pyrénées, Languedoc-Roussillon, Auvergne regions and neighboring areas, paragraph 406). In order to proportion the sanction to the economic reality of the infringement, the Authority had retained the turnover achieved by companies active in the signage sector during the period in which they colluded as the basis for calculating the amount of the sanctions.</w:t>
      </w:r>
    </w:p>
    <w:p>
      <w:r>
        <w:t>174. In this case, the base amount of the financial penalty will therefore result from the application of a coefficient, determined according to the seriousness of the facts and the importance of the damage caused to the economy, applied to the total turnover realized in France by the companies involved during the last complete accounting year in which the infringement occurred, namely during the year 2011.</w:t>
      </w:r>
    </w:p>
    <w:p>
      <w:r>
        <w:t>175. Other relevant individualization elements relating to the situation and behavior of each of the companies involved will be taken into consideration at a later stage.</w:t>
      </w:r>
    </w:p>
    <w:p>
      <w:r>
        <w:t>2. ON THE SERIOUSNESS OF THE FACTS AND THE IMPORTANCE OF THE DAMAGE CAUSED TO THE ECONOMY</w:t>
      </w:r>
    </w:p>
    <w:p>
      <w:r>
        <w:t>a) On the seriousness of the facts</w:t>
      </w:r>
    </w:p>
    <w:p>
      <w:r>
        <w:t>176. In a judgment of January 5, 2010, société d’Exploitation de l’entreprise Ponsaty SARL (2009/02679), the Paris Court of Appeal recalled that, "agreements between competing companies in the same market made during calls for tenders are among the most serious anti-competitive practices because they jointly harm the interests of consumers or users and taxpayers" (page 10). They are also serious "in that they result in deceiving the contracting authority about the effects of its competitive bidding" (judgment of the Paris Court of Appeal of June 29, 2010, société Colas Rail, 2009/19724, page 15; see also the judgments of October 28, 2010, Maquet SA, page 18, and October 11, 2012, Entreprise H. Chevalier Nord, 2011/03298, page 67).</w:t>
      </w:r>
    </w:p>
    <w:p>
      <w:r>
        <w:t>177. The Paris Court of Appeal also ruled that "it cannot be seriously contested that such practices are particularly serious by nature, since they limit the intensity of the competitive pressure to which companies would have been subjected if they had acted independently, the very foundation of calls for competition residing in the secrecy surrounding the interested companies in developing their bids, each of them having to remain unaware of the quality of their competitors, of their financial capacities to offer the best possible service or supply at the lowest price" (judgment of March 28, 2013, société Allez et Cie e.a. cited above, page 32).</w:t>
      </w:r>
    </w:p>
    <w:p>
      <w:r>
        <w:t>178. Indeed, the very purpose of the call for tenders in a public market is to ensure full and complete competition among the companies likely to respond for the benefit of the public entity. Therefore, the disruption of the normal conduct of call for tenders procedures, by preventing price setting through the free play of the market and deceiving the public entity about the reality and extent of the competition exercised among the bidding companies, disrupts the sector where such practice occurs and causes serious harm to the economic public order.</w:t>
      </w:r>
    </w:p>
    <w:p>
      <w:r>
        <w:t>179. Furthermore, the practice in question has contributed to thwarting a competitive bidding process for the provision of a service whose costs are borne by public finances and which aims to ensure an essential public service.</w:t>
      </w:r>
    </w:p>
    <w:p>
      <w:r>
        <w:t>180. In this regard, in its decision No. 09-D-03 of January 21, 2009, relating to practices implemented in the sector of school and intercity transport by coach in the Pyrénées-Orientales department, the Competition Council indicated that "the agreement harmed public authorities and, according to consistent case law, the deception of the public buyer constitutes a serious infringement of the economic public order" (paragraph 115).</w:t>
      </w:r>
    </w:p>
    <w:p>
      <w:r>
        <w:t>181. This circumstance is likely to further reinforce the seriousness of the practices.</w:t>
      </w:r>
    </w:p>
    <w:p>
      <w:r>
        <w:t>182. Moreover, it is necessary to take into account, in assessing the impact of the practice, the complete duration of the execution of the contract (decision No. 11-D-13 of October 5, 2011, relating to practices identified in the sectors of electrification works and electrical installation in the Midi-Pyrénées, Languedoc-Roussillon, Auvergne regions and neighboring areas, paragraph 370 and decision No. 13-D-09 of April 17, 2013, relating to practices implemented in the market for the reconstruction of the watchtowers of the Perpignan penitentiary center, paragraph 157).</w:t>
      </w:r>
    </w:p>
    <w:p>
      <w:r>
        <w:t>183. In the present case, it is noted that the practices are characterized by the fact that they lasted three years between 2010 and 2012. Furthermore, each company continued to adhere to the group until the end of the execution of each of the contracts obtained by it. The practices are therefore likely to produce their effects up to the contracts still in execution, namely until July 2, 2016.</w:t>
      </w:r>
    </w:p>
    <w:p>
      <w:r>
        <w:t>184. In order to mitigate the seriousness of the infringement, the parties involved claim that the formation of the group would have been inspired, or even suggested, by the Bas-Rhin General Council itself, which would have considered at the end of the 1990s to aggregate transport calls for tenders into larger and more homogeneous lots.</w:t>
      </w:r>
    </w:p>
    <w:p>
      <w:r>
        <w:rPr>
          <w:b/>
        </w:rPr>
        <w:t>[Pages 31–33]</w:t>
      </w:r>
    </w:p>
    <w:p>
      <w:r>
        <w:t>185. However, the elements provided by the parties in support of their claims only concern intercity transport services, and not school transport.</w:t>
      </w:r>
    </w:p>
    <w:p>
      <w:r>
        <w:t>186. In any case, as previously indicated, it emerges from the administrative investigation that the Bas-Rhin General Council, throughout the period of the practices, was concerned with allotting school transport contracts in such a way that they would be accessible to local transporters, so that the argument put forward is unfounded.</w:t>
      </w:r>
    </w:p>
    <w:p>
      <w:r>
        <w:t>187. This argument will therefore be dismissed.</w:t>
      </w:r>
    </w:p>
    <w:p>
      <w:r>
        <w:t>b) On the significance of the damage caused to the economy</w:t>
      </w:r>
    </w:p>
    <w:p>
      <w:r>
        <w:t>Reminder of the principles</w:t>
      </w:r>
    </w:p>
    <w:p>
      <w:r>
        <w:t>188. It is established case law that the significance of the damage caused to the economy is assessed globally for the practices in question, that is to say, in light of the cumulative action of all participants, without the need to identify the share attributable to each of them taken separately (decision of the Competition Authority No. 13-D-09 of April 17, 2013, concerning practices implemented in the market for the reconstruction of watchtowers at the Perpignan penitentiary, judgments of the Court of Cassation of February 18, 2004, CERP et al., No. 02-11754, and of the Paris Court of Appeal of September 17, 2008, agricultural cooperative l’Ardéchoise, No. 2007/10371, p. 6).</w:t>
      </w:r>
    </w:p>
    <w:p>
      <w:r>
        <w:t>189. This legal criterion is not to be confused with the harm that the victims of the practices in question may have suffered, but is assessed based on the general disruption that these practices are likely to cause to the economy (see, for example, judgment of the Paris Court of Appeal of October 8, 2008, SNEF, No. 2007/18040, p. 4).</w:t>
      </w:r>
    </w:p>
    <w:p>
      <w:r>
        <w:t>190. The Authority, which is not required to precisely quantify the damage caused to the economy, must proceed to an assessment of its existence and significance based on as complete an analysis as possible of the elements of the file and by examining the various aspects of the general disruption of the normal functioning of the economy caused by the practices in question (judgment of the Paris Court of Appeal of June 30, 2011, Orange France, No. 2010/12049, p. 5, confirmed on appeal by judgment of the Court of Cassation of May 30, 2012, cited above, and the judgment of January 26, 2012, Beauté Prestige International et al., No. 2012/23945, p. 89). The existence of damage to the economy cannot therefore be presumed.</w:t>
      </w:r>
    </w:p>
    <w:p>
      <w:r>
        <w:t>191. Based on established case law, the Authority takes into account, in assessing the economic impact of the practice in question, the magnitude of the infringement as characterized, among other things, by its geographical coverage or by the cumulative market share of the parties in the relevant sector, its duration, the conjunctural or structural consequences, as well as the relevant economic characteristics of the sector concerned (see, for example, the judgment of the Court of Appeal of June 30, 2011, Orange France cited above, and of October 11, 2012, Entreprise H. Chevalier Nord cited above, p. 70). Both proven and potential effects of the practice may be taken into consideration in this regard (see, in this sense, judgment of the Court of Cassation of June 28, 2005, Novartis Pharma, appeal No. C 04-13.910).</w:t>
      </w:r>
    </w:p>
    <w:p>
      <w:r>
        <w:t>192. In cases of collusion concerning tender markets, the amount of the affected contracts constitutes one of the elements for assessing the significance of the damage caused to the economy, as recalled by the Competition Council in decision No. 09-D-03 of January 21, 2009, concerning practices implemented in the sector of school and intercity transport by coach in the Pyrénées-Orientales department, even if it is not limited to this amount.</w:t>
      </w:r>
    </w:p>
    <w:p>
      <w:r>
        <w:t>193. Finally, the Authority generally takes into account the exemplary value that this type of behavior may constitute for other public markets.</w:t>
      </w:r>
    </w:p>
    <w:p>
      <w:r>
        <w:t>Application to the case at hand</w:t>
      </w:r>
    </w:p>
    <w:p>
      <w:r>
        <w:t>On the magnitude of the infringement</w:t>
      </w:r>
    </w:p>
    <w:p>
      <w:r>
        <w:t>194. The contracts awarded during the calls for tenders from 2010 to 2012 and currently being executed by the members of the Avenir Transport group at the start of the 2012-2013 school year in the northern sector of the department represent approximately 4.2 million euros excluding taxes (table of the General Council, references 1148, 1150, 1152, 3113, 3114, and 3115).</w:t>
      </w:r>
    </w:p>
    <w:p>
      <w:r>
        <w:t>195. This practice involved seven companies whose cumulative market share is 89% in the public school transport sector in the northern part of the Bas-Rhin department, excluding "l’Alsace bossue," for the calls for tenders in 2010, 2011, and 2012. The practices therefore affected almost the entire market in question. The companies outside the collusion, mainly Sotram, Bentz, and a Kunegel-Transdev group that appeared in 2012, represented only 11% of the relevant market, and two of these players did not have logistical bases in this territory, which disadvantaged them in their positioning for the tenders.</w:t>
      </w:r>
    </w:p>
    <w:p>
      <w:r>
        <w:t>196. Furthermore, if the practice is proven up to the date of the notification of the grievances, the damage to the economy extends until the summer of 2016, since some contracts were awarded for four school years. This effect diminishes year by year, between 2013 and 2016, as the shortest contracts are annual (according to the school calendar) and the longest are quadrennial.</w:t>
      </w:r>
    </w:p>
    <w:p>
      <w:r>
        <w:t>197. Finally, the practice is highly stable as it concerned all lots in the northern sector of the department during the period in question. Moreover, it has been demonstrated that the members of the group applied a common discipline.</w:t>
      </w:r>
    </w:p>
    <w:p>
      <w:r>
        <w:t>On the economic characteristics of the relevant sector</w:t>
      </w:r>
    </w:p>
    <w:p>
      <w:r>
        <w:t>198. The school transport sector exhibits low price elasticity of demand since the contracting authority is obliged to offer services. Faced with a collusion representing approximately 90% of the market, the contracting authority also did not have a sufficiently significant competitive fringe to counterbalance the power of the group.</w:t>
      </w:r>
    </w:p>
    <w:p>
      <w:r>
        <w:t>199. Moreover, as highlighted above (paragraphs 21 to 24), most companies outside the group did not have a logistical base in the northern part of the Bas-Rhin. Given this obstacle to their development in the market, it is not surprising that they offered prices significantly higher than those of the Avenir Transport group, as pointed out by the latter. In contrast, for each call for tenders, several member companies of the group were able to offer, given their location, individual bids that, when put in competition, would have been competitive.</w:t>
      </w:r>
    </w:p>
    <w:p>
      <w:r>
        <w:t>On the conjunctural effects of the practice</w:t>
      </w:r>
    </w:p>
    <w:p>
      <w:r>
        <w:t>200. According to the parties (reference 3515), the fact that the contracting authority did not declare the offers of the Avenir Transport group unacceptable would demonstrate that they were not significantly higher than the market price. They argue that, regarding framework contracts, the General Council was free not to renew them at each school year start, their renewal conversely attesting to the satisfactory level of prices. However, the fact that the contracting authority renews a contract within the stipulated limits is not proof of the competitive level of prices, especially since, once the group had dried up competition in the market, the contracting authority had no interest in reorganizing consultations.</w:t>
      </w:r>
    </w:p>
    <w:p>
      <w:r>
        <w:t>201. Both qualitative and quantitative elements allow for an assessment of the magnitude of the conjunctural effects.</w:t>
      </w:r>
    </w:p>
    <w:p>
      <w:r>
        <w:t>202. Regarding qualitative elements, several statements attest to the real effect of the practices on the level of prices and the stability of market shares of the group members. The Director of Mobility at the Bas-Rhin General Council stated: "Regarding the daily packages submitted by the candidates for these school transport contracts, our services have indeed observed, for several years, increasingly frequent and significant overruns of the administrative estimate, which was calculated very pragmatically by our technical teams. These overruns are most often noted in the northern area of the Bas-Rhin" (minutes of February 15, 2013, reference 1505). The statements of two participants in the group also confirm the existence of real effects of the practice. Thus, Mr. Rémy D... stated (reference 243): "The group allows for a harmonized response and best maintains the level of prices and the market shares held by each of its members." Mr. Michel B... also stated: "[This group] is the guarantor of maintaining the level of prices and the market shares held by the various partners" (reference 344).</w:t>
      </w:r>
    </w:p>
    <w:p>
      <w:r>
        <w:t>203. Regarding quantitative elements, three methods of evaluating the price overcharge have been analyzed: (i) a comparison made in the administrative investigation report of the daily packages proposed in the north and south of the Bas-Rhin, an area not affected by the practices; (ii) a comparison, carried out by the departmental services at the request of the investigative services, of the average daily rates between the north and south of the department for four categories of lots, defined based on the length of the routes, the terrain crossed, and the vehicles used; (iii) a comparison between the north and south of the Bas-Rhin of the observed discrepancies between the annual amount retained for each lot and the prior estimate made by the administration.</w:t>
      </w:r>
    </w:p>
    <w:p>
      <w:r>
        <w:t>204. The parties contest the use of the south of the department as a reference market, as the north and south of the department present significant differences in terms of network density and population, network dispersion, vehicle reuse capability, circuit chaining, travel time, and distance (references 3480 and 3481). They also criticize the comparisons made.</w:t>
      </w:r>
    </w:p>
    <w:p>
      <w:r>
        <w:t>205. Regarding the reference market, the anti-competitive practices pursued mainly concern the north of the department, with the exception of "l’Alsace bossue," which is the most rural and hilly part of the department. The exclusion of this territory tends to diminish the geographical differences between the north and south of the department. Furthermore, only the first comparison is based on a simple price comparison between the north and south, without taking into account other factors that could explain the price differences between the north and south of the department.</w:t>
      </w:r>
    </w:p>
    <w:p>
      <w:r>
        <w:t>206. Regarding the first comparison method, in addition to the disadvantage of a simple price comparison without considering other explanatory factors, the prices retained for the south of the department were practiced by a company in difficulty, which may have led to prices that are not representative of the prices that would have been practiced in the...</w:t>
      </w:r>
    </w:p>
    <w:p>
      <w:r>
        <w:rPr>
          <w:b/>
        </w:rPr>
        <w:t>[Pages 34–36]</w:t>
      </w:r>
    </w:p>
    <w:p>
      <w:r>
        <w:t>nord du département en l’absence des pratiques. The results of this comparison cannot therefore be retained.</w:t>
      </w:r>
    </w:p>
    <w:p>
      <w:r>
        <w:t>207. The second method of comparison, by category of lots, allows for taking into account, at least to some extent, the differences that may exist between the north and south of the department. Nevertheless, as the parties have pointed out, the categories appear too broad to control the various factors explaining the price levels, so that the results of this comparison cannot be considered sufficiently reliable either.</w:t>
      </w:r>
    </w:p>
    <w:p>
      <w:r>
        <w:t>208. On the other hand, by focusing on the price differentials compared to the prior estimates of the administration in the north and south of the department, the third method of comparison allows for a more nuanced consideration of the specificities of each lot than the other methods. This approach was notably used in decision no. 11-D-02 concerning practices implemented in the sector of the restoration of historical monuments, validated on this point by the supervisory courts. The parties challenge this comparison on the grounds that the estimates of the price of the lots made prior to the call for tenders by the contracting authority are not reliable, citing three lots for which the estimation error is evident. However, while the margin of error with which each prior estimate is made may influence the results, there is no reason to believe that it differs between the north and south of the department, especially since the estimate is made by the same contracting authority in both regions. Furthermore, the removal of the lots for which the prior estimate by the contracting authority does not seem reliable in view of the very high discrepancies with the amounts retained does not alter the conclusions. Indeed, by removing from the sample all lots for which a discrepancy of more than 80% in absolute value was observed between the retained amount and the prior estimate of the administration, the overprice observed in the North compared to the South remains evident, as shown by the analyses presented below. These results are robust to changes in the threshold from which the price discrepancy is considered aberrant (tests were conducted with thresholds of 60%, 90%, and 100%).</w:t>
      </w:r>
    </w:p>
    <w:p>
      <w:r>
        <w:t>209. The table below shows that, for each year of the period 2010-2012, the prices proposed in the North were on average always higher than the estimates made by the contracting authority, whereas in the South the amounts retained were on average lower than the prior estimate of the contracting authority in 2011 and 2012, except in 2010. On average, over the entire period 2010-2012, prices were on average 13% higher than the estimates of the contracting authority in the North, while they were 4% lower on average in the South, these discrepancies being 4% and -10% respectively if weighted averages (rather than arithmetic) are used.</w:t>
      </w:r>
    </w:p>
    <w:p>
      <w:r>
        <w:t>Table 1: Average price discrepancies compared to prior estimates of the contracting authority in the North and South and estimation of the overprice (a positive discrepancy means that the price is higher than the estimate of the contracting authority)</w:t>
        <w:br/>
        <w:t>Difference (North minus</w:t>
        <w:br/>
        <w:t>Year North South</w:t>
        <w:br/>
        <w:t>South)</w:t>
        <w:br/>
        <w:t>2010 20% 11% 10%</w:t>
        <w:br/>
        <w:t>2011 27% -7% 35%</w:t>
        <w:br/>
        <w:t>2012 4% -10% 14%</w:t>
        <w:br/>
        <w:t>2010-2012 13% -4% 17%</w:t>
        <w:br/>
        <w:t>Source: Minutes of the meetings of the tender committees (references 442 to 1140 and 2983 to 3112) – Calculations made by the Competition Authority – excluding data with discrepancies greater than 80% in absolute value (12 observations out of 108)</w:t>
      </w:r>
    </w:p>
    <w:p>
      <w:r>
        <w:t>210. The finding of overprice in the North is also evident from the comparison of the number of lots for which the price was higher than the estimate of the contracting authority. The table below shows that over the entire period from 2010 to 2012, in the North, 70% (34 out of 50) of the lots had a price higher than the estimate of the contracting authority, compared to only 40% in the South. In 2011, no lot in the North had a price lower than the estimate of the contracting authority, compared to 12 in the South out of the 17 put to tender. In 2012, while the number of lots with a price lower than that estimated by the contracting authority (14 lots) is slightly higher than the number of lots with a price higher than this estimate (12 lots), the proportion of lots with a price lower than the estimate remains higher in the South than in the North.</w:t>
      </w:r>
    </w:p>
    <w:p>
      <w:r>
        <w:t>Table 2: Number of lots where the price is higher than the estimate of the contracting authority (the discrepancy is positive) and where the price is lower than this estimate (negative discrepancy) in the north and south of the department</w:t>
        <w:br/>
        <w:t>Year Discrepancy &gt;0? North South</w:t>
        <w:br/>
        <w:t>2010 &lt;0 2 4</w:t>
        <w:br/>
        <w:t>≥0 14 7</w:t>
        <w:br/>
        <w:t>Total 2010 16 11</w:t>
        <w:br/>
        <w:t>2011 &lt;0 0 12</w:t>
        <w:br/>
        <w:t>≥0 8 5</w:t>
        <w:br/>
        <w:t>Total 2011 8 17</w:t>
        <w:br/>
        <w:t>2012 &lt;0 14 13</w:t>
        <w:br/>
        <w:t>≥0 12 6</w:t>
        <w:br/>
        <w:t>Total 2012 26 19</w:t>
        <w:br/>
        <w:t>2010-2012 50 47</w:t>
        <w:br/>
        <w:t>Source: Minutes of the meetings of the tender committees (references 442 to 1140 and 2983 to 3112) – calculations made by the Competition Authority – excluding aberrant data with discrepancies greater than 80% in absolute value (11 observations out of 108)</w:t>
      </w:r>
    </w:p>
    <w:p>
      <w:r>
        <w:t>211. The combination of the results of this comparison with the qualitative elements mentioned above confirms that the practice had significant real effects on school transport prices.</w:t>
      </w:r>
    </w:p>
    <w:p>
      <w:r>
        <w:t>On the impact of the agreement on the economy in general</w:t>
      </w:r>
    </w:p>
    <w:p>
      <w:r>
        <w:t>212. In this regard, it is worth noting the exemplary value that this type of behavior can constitute for other public markets. In this respect, it can be noted that some arguments presented by the parties involved, which notably refer to "intelligence and social probity," reflect a profound lack of understanding of the essential principles of competition law. The persistence of this type of practice is thus likely to reinforce the "usual" or "normal" nature of agreements in public markets for French companies.</w:t>
      </w:r>
    </w:p>
    <w:p>
      <w:r>
        <w:t>c) Conclusion on the proportion of turnover retained in terms of severity and damage to the economy</w:t>
      </w:r>
    </w:p>
    <w:p>
      <w:r>
        <w:t>213. In light of all the elements that precede, a coefficient of 2% will be applied to the total turnover achieved in France by each of the companies that implemented the practices during the last complete accounting year in which the infringement occurred.</w:t>
      </w:r>
    </w:p>
    <w:p>
      <w:r>
        <w:t>214. Given this coefficient, it is appropriate to retain the following base amount of the financial penalty for each of the companies involved:</w:t>
      </w:r>
    </w:p>
    <w:p>
      <w:r>
        <w:t>% of Turnover</w:t>
        <w:br/>
        <w:t>Turnover</w:t>
        <w:br/>
        <w:t>achieved in Initial Sanction</w:t>
        <w:br/>
        <w:t>Company achieved in France in (in euros)</w:t>
        <w:br/>
        <w:t>France in 2011 (in euros)</w:t>
        <w:br/>
        <w:t>2011</w:t>
        <w:br/>
        <w:t>Autocars Mugler et Cie 4,596,742 2% 91,935</w:t>
        <w:br/>
        <w:t>Autocars et Transport Royer 4,844,283 2% 96,886</w:t>
        <w:br/>
        <w:t>Cars des Rohan 2,057,629 2% 41,153</w:t>
        <w:br/>
        <w:t>Staub Voyages 1,883,255 2% 37,665</w:t>
        <w:br/>
        <w:t>Total 13,381,909 267,638</w:t>
      </w:r>
    </w:p>
    <w:p>
      <w:r>
        <w:t>C. ON THE INDIVIDUALIZATION OF SANCTIONS</w:t>
      </w:r>
    </w:p>
    <w:p>
      <w:r>
        <w:t>215. The Authority has committed to adapting the base amounts retained in light of the legal criterion relating to the individual situation of each of the parties involved, whether they are organizations or companies, which may belong to larger groups.</w:t>
      </w:r>
    </w:p>
    <w:p>
      <w:r>
        <w:t>216. To this end, and depending on the specific elements of each case, it may take into account various mitigating or aggravating circumstances characterizing the behavior of each company in the context of the implementation of the infringements in question, as well as other relevant objective elements relating to its individual situation. This consideration may lead to adjusting the sanction both upwards and downwards.</w:t>
      </w:r>
    </w:p>
    <w:p>
      <w:r>
        <w:rPr>
          <w:b/>
        </w:rPr>
        <w:t>[Pages 37–39]</w:t>
      </w:r>
    </w:p>
    <w:p>
      <w:r>
        <w:t>217. In this case, no element in the file allows us to consider that any of the companies involved played a particular role in the design or implementation of the agreement, whether in an aggravating or mitigating sense.</w:t>
      </w:r>
    </w:p>
    <w:p>
      <w:r>
        <w:t>D. ON THE FINAL ADJUSTMENTS</w:t>
      </w:r>
    </w:p>
    <w:p>
      <w:r>
        <w:t>1. ON THE VERIFICATION OF COMPLIANCE WITH THE LEGAL MAXIMUM</w:t>
      </w:r>
    </w:p>
    <w:p>
      <w:r>
        <w:t>218. Within the framework of the simplified procedure presented in paragraph 7, the sanction may not exceed 750,000 euros for each of the authors of the prohibited practices.</w:t>
      </w:r>
    </w:p>
    <w:p>
      <w:r>
        <w:t>219. Furthermore, as previously indicated, pursuant to Article L. 464-2 of the Commercial Code, the maximum amount of the sanction is, for a company, 10% of the highest amount of worldwide turnover excluding taxes achieved during one of the financial years closed since the financial year preceding the one in which the practices were implemented.</w:t>
      </w:r>
    </w:p>
    <w:p>
      <w:r>
        <w:t>220. The table below identifies the applicable sanction ceilings for the companies addressed by the grievances:</w:t>
      </w:r>
    </w:p>
    <w:p>
      <w:r>
        <w:t>| Worldwide turnover excluding taxes | Company                       | Ceiling (in euros) |</w:t>
        <w:br/>
        <w:t>|------------------------------------|-------------------------------|---------------------|</w:t>
        <w:br/>
        <w:t>| Highest between 2009 and 2014      |                               |                     |</w:t>
        <w:br/>
        <w:t>| Autocars Mugler et Cie             | 6,741,986                     | 674,198             |</w:t>
        <w:br/>
        <w:t>| Cars des Rohan                     | 3,238,170                     | 323,817             |</w:t>
        <w:br/>
        <w:t>| Autocars et Transport Royer        | 5,951,925                     | 595,192             |</w:t>
        <w:br/>
        <w:t>| Staub Voyages                      | 2,469,872                     | 246,987             |</w:t>
      </w:r>
    </w:p>
    <w:p>
      <w:r>
        <w:t>221. None of the amounts indicated in the table in paragraph 214 above exceeds the respective legal ceiling of the companies involved.</w:t>
      </w:r>
    </w:p>
    <w:p>
      <w:r>
        <w:t>2. ON THE FINANCIAL SITUATION OF THE COMPANIES</w:t>
      </w:r>
    </w:p>
    <w:p>
      <w:r>
        <w:t>222. Regarding the elements specific to the situation of each company or organization involved, the Authority has finally committed to assessing the particular financial difficulties that may reduce the contributory capacity that the parties claim to exist, according to the practical modalities indicated in the sanctions press release.</w:t>
      </w:r>
    </w:p>
    <w:p>
      <w:r>
        <w:t>223. In the context of the simplified notification of grievances, sent on June 5, 2015, the investigation services invited all the parties involved to submit any documents justifying potential financial difficulties that could impact their contributory capacity. It is indeed up to the company to justify the existence of such difficulties based on reliable, complete, and objective evidence attesting to their reality and their concrete consequences on its contributory capacity (see, in this sense, the judgment of the Paris Court of Appeal of October 11, 2012, page 73).</w:t>
      </w:r>
    </w:p>
    <w:p>
      <w:r>
        <w:t>224. In this regard, several companies invoked the existence of particular financial difficulties that they believe limit their contributory capacity.</w:t>
      </w:r>
    </w:p>
    <w:p>
      <w:r>
        <w:t>225. Regarding Autocars Mugler et Cie, the examination of the financial and accounting elements it provided in support of its request led the Authority to conclude that they constitute reliable, complete, and objective evidence attesting to the existence of particular and current financial difficulties affecting its ability to pay the sanction that the Authority intends to impose on it, as indicated in the table above. It is therefore appropriate to reduce its sanction from 91,935 euros to 40,000 euros.</w:t>
      </w:r>
    </w:p>
    <w:p>
      <w:r>
        <w:t>226. Regarding Cars des Rohan, the examination of the financial and accounting elements it provided in support of its request led the Authority to conclude that they constitute reliable, complete, and objective evidence attesting to the existence of particular and current financial difficulties affecting its ability to pay the sanction that the Authority intends to impose on it, as indicated in the table above. It is therefore appropriate to reduce its sanction from 41,153 euros to 20,000 euros.</w:t>
      </w:r>
    </w:p>
    <w:p>
      <w:r>
        <w:t>3. ON THE FINAL AMOUNT OF SANCTIONS</w:t>
      </w:r>
    </w:p>
    <w:p>
      <w:r>
        <w:t>227. In light of all the elements described above, it is necessary to impose the following financial sanctions on each of the companies involved:</w:t>
      </w:r>
    </w:p>
    <w:p>
      <w:r>
        <w:t>| Initial Sanction (in euros) | Final Sanction (in euros) | Companies                               |</w:t>
        <w:br/>
        <w:t>|------------------------------|----------------------------|----------------------------------------|</w:t>
        <w:br/>
        <w:t>| 91,935                       | 40,000                     | Autocars Mugler et Cie, jointly with Mugler Finance |</w:t>
        <w:br/>
        <w:t>| 96,886                       | 96,000                     | Autocars et Transport Royer, jointly with Royer Holding |</w:t>
        <w:br/>
        <w:t>| 41,153                       | 20,000                     | Cars des Rohan, jointly with Mugler Finance |</w:t>
        <w:br/>
        <w:t>| 37,665                       | 37,000                     | Staub Voyages                          |</w:t>
        <w:br/>
        <w:t>| Total                        | 267,638                    | 193,000                                |</w:t>
      </w:r>
    </w:p>
    <w:p>
      <w:r>
        <w:t>4. ON THE OBLIGATION OF PUBLICATION</w:t>
      </w:r>
    </w:p>
    <w:p>
      <w:r>
        <w:t>228. In order to draw the attention of school transport providers, public authorities, and clients, it is necessary, given the facts established by this decision and the violations identified, to order, based on I of Article L. 464-2 of the Commercial Code, the publication, at the shared expense of the sanctioned companies and in proportion to their financial sanctions, in the editions of the newspaper "Dernières Nouvelles d’Alsace" and the magazine "Transport Public," of the summary of this decision set out below:</w:t>
      </w:r>
    </w:p>
    <w:p>
      <w:r>
        <w:t>Summary of the decision:</w:t>
        <w:br/>
        <w:t>By decision of January 27, 2016, the Competition Authority imposed a total sanction of 193,000 euros on the companies Autocars Mugler et Cie, Autocars et Transport Royer, Cars des Rohan, and Staub Voyages, members of the Avenir Transport group, for implementing practices prohibited by Article L. 420-1 of the Commercial Code. The decision rendered by the Competition Authority found the existence of an anti-competitive agreement between these companies, members of the Avenir Transport group, between 2010 and 2012. The agreement aimed to allocate public school transport contract lots in the northern part of the Bas-Rhin department among the group members, to stifle competition, and to obstruct price setting through the free play of competition to the detriment of the General Council, a public buyer. It took place from March 3, 2010, to June 4, 2012. It had effects and is likely to produce effects up to the contracts still in execution, until July 2, 2016. The full text of the decision of the Competition Authority is accessible on the website www.autoritedelaconcurrence.fr.</w:t>
      </w:r>
    </w:p>
    <w:p>
      <w:r>
        <w:rPr>
          <w:b/>
        </w:rPr>
        <w:t>[Pages 40–40]</w:t>
      </w:r>
    </w:p>
    <w:p>
      <w:r>
        <w:t>DECISION</w:t>
      </w:r>
    </w:p>
    <w:p>
      <w:r>
        <w:t>Article 1: It is established that the companies SASU Autocars et Transport Royer, SARL Staub Voyages, SAS Royer Holding, SAS Autocars Mugler &amp; Cie, SARL Cars des Rohan, and SAS Mugler Finance have violated the provisions of Article L. 420-1 of the Commercial Code.</w:t>
      </w:r>
    </w:p>
    <w:p>
      <w:r>
        <w:t>Article 2: The following financial penalties are imposed:</w:t>
        <w:br/>
        <w:t>• on the company Autocars Mugler &amp; Cie, jointly with the company Mugler Finance, a penalty of 40,000 euros;</w:t>
        <w:br/>
        <w:t>• on the company Cars des Rohan, jointly with the company Mugler Finance, a penalty of 20,000 euros;</w:t>
        <w:br/>
        <w:t>• on the company Autocars et Transport Royer, jointly with the company Royer Holding, a penalty of 96,000 euros;</w:t>
        <w:br/>
        <w:t>• on the company Staub Voyages, a penalty of 37,000 euros.</w:t>
      </w:r>
    </w:p>
    <w:p>
      <w:r>
        <w:t>Article 3: The companies referred to in Articles 1 and 2 shall publish the text appearing in paragraph 228 of this decision, respecting the formatting, in the editions of the newspaper "Dernières Nouvelles d’Alsace" and the magazine "Transport Public." These publications shall appear in a box in black characters on a white background with a height of at least three millimeters under the following title, in bold characters of the same size: "Decision of the Competition Authority No. 16-D-02 of January 27, 2016, regarding practices implemented in the school transport sector by coach in Bas-Rhin." They may be followed by a mention that the decision has been appealed to the Court of Appeal of Paris if such appeals are filed. The concerned legal entities shall send, by registered mail, to the procedure office, a copy of these publications, upon their publication and no later than March 29, 2016.</w:t>
      </w:r>
    </w:p>
    <w:p>
      <w:r>
        <w:t>Deliberated on the oral report of Ms. Clémentine Jomier, rapporteur, and the intervention of Mr. Umberto Berkani, deputy general rapporteur, by Ms. Claire Favre, vice-president, chairing the session, Ms. Séverine Larère, Messrs. Noël Diricq and Olivier d’Ormesson, members.</w:t>
      </w:r>
    </w:p>
    <w:p>
      <w:r>
        <w:t>The session secretary, The vice-president,</w:t>
        <w:br/>
        <w:t>Claire Villeval Claire Favre</w:t>
      </w:r>
    </w:p>
    <w:p>
      <w: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