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https://www.autoritedelaconcurrence.fr/fr/decision/relative-des-pratiques-mises-en-oeuvre-dans-le-secteur-du-travail-temporaire</w:t>
      </w:r>
    </w:p>
    <w:p>
      <w:r>
        <w:t>Pages translated : 64</w:t>
      </w:r>
    </w:p>
    <w:p/>
    <w:p>
      <w:r>
        <w:rPr>
          <w:b/>
        </w:rPr>
        <w:t>[Pages 1–3]</w:t>
      </w:r>
    </w:p>
    <w:p>
      <w:r>
        <w:t xml:space="preserve">FRENCH REPUBLIC  </w:t>
        <w:br/>
        <w:t xml:space="preserve">Decision No. 09-D-05 of February 2, 2009  </w:t>
        <w:br/>
        <w:t>regarding practices implemented in the temporary work sector</w:t>
      </w:r>
    </w:p>
    <w:p>
      <w:r>
        <w:t xml:space="preserve">The Competition Council (permanent commission),  </w:t>
        <w:br/>
        <w:t xml:space="preserve">Having regard to the letter registered on December 13, 2005, under number 05/0101 F, by which the Minister of Economy, Finance and Industry referred to the Competition Council practices implemented by the Adecco, Manpower, and Vedior groups in the temporary work sector;  </w:t>
        <w:br/>
        <w:t xml:space="preserve">Having regard to Article 81 of the Treaty establishing the European Community;  </w:t>
        <w:br/>
        <w:t xml:space="preserve">Having regard to Book IV of the Commercial Code relating to the freedom of prices and competition;  </w:t>
        <w:br/>
        <w:t xml:space="preserve">Having regard to the decisions protecting business secrets No. 07-DSA-29, No. 07-DSA-30, and No. 07-DSA-31 of January 31, 2007, No. 07-DSA-82 of March 28, 2007, No. 07-DSA-98 of April 11, 2007, No. 07-DSA-113 of May 29, 2007, No. 07-DSA-124 of June 5, 2007, No. 07-DSA-130 of June 8, 2007, as well as, on the one hand, the declassification decisions No. 07-DEC-03 of March 13, 2007, rectified by decision No. 07-DEC-33 of November 6, 2007, No. 07-DEC-21 of April 17, 2007, No. 07-DEC-23 of June 4, 2007, No. 07-DSADEC-21 of October 11, 2007, No. 08-DSADEC-18 of March 26, 2008, No. 08-DSADEC-21 of April 14, 2008, No. 08-DSADEC-24 of April 28, 2008, No. 08-DEC-08 of May 29, 2008, No. 08-DSADEC-67 of September 2, 2008, No. 08-DSADEC-68 of September 2, 2008, No. 08-DSADEC-69 of September 8, 2008, and No. 07-DECR-03 of March 7, 2007, No. 07-DECR-04 of March 8, 2007, No. 07-DECR-19 of April 16, 2007, No. 07-DECR-24 of May 16, 2007, No. 07-DECR-30 of September 7, 2007, No. 08-DECR-20 of May 29, 2008 authorizing the use of classified documents in the confidential annex, and on the other hand, the decisions No. 08-REFDEC-01 of July 4, 2008 and No. 08-REFDEC-02 of July 24, 2008 rejecting requests for declassification of documents classified in the confidential annex;  </w:t>
        <w:br/>
        <w:t xml:space="preserve">Having regard to the minutes of February 1 and 7, 2008, by which the companies Adecco France (formerly known as Adecco Temporary Work) and Adia for the first, Groupe Vedior France and VediorBis for the second, declared that they did not contest the grievances that had been notified to them and requested the benefit of the provisions of III of Article L. 464-2 of the Commercial Code;  </w:t>
        <w:br/>
        <w:t xml:space="preserve">Having regard to the observations presented by the companies Adecco France, Adia, Groupe Vedior France, VediorBis, Manpower France Holding, Manpower France, and by the Government Commissioner;  </w:t>
        <w:br/>
        <w:t>Having regard to the other documents in the file;</w:t>
      </w:r>
    </w:p>
    <w:p>
      <w:r>
        <w:t xml:space="preserve">The rapporteurs, the deputy general rapporteur, the Government Commissioner, and the representatives of the companies Adecco France, Adia, Groupe Vedior France, VediorBis, Manpower France Holding, and Manpower France, heard during the session of October 1, 2008;  </w:t>
        <w:br/>
        <w:t>Adopts the following decision:</w:t>
      </w:r>
    </w:p>
    <w:p>
      <w:r>
        <w:t xml:space="preserve">I. Findings  </w:t>
        <w:br/>
        <w:t xml:space="preserve">1. The referral to the Competition Council originates from the transmission to the French authorities, on July 30, 2003, by the European Commission, of a complaint filed with it by a former executive of a subsidiary of the Vedior group in Luxembourg, denouncing anti-competitive practices that would have been committed by the companies Adecco Temporary Work, Manpower France, and VediorBis. These practices would have been revealed to the complainant when the managers of the Vedior group in France allegedly asked him to limit his commercial actions, deemed too aggressive, from Luxembourg to France. In the following decision, to refer to the three companies concerned, it will simply be referred to, unless necessary, as Adecco, Manpower, and VediorBis.  </w:t>
        <w:br/>
        <w:t>2. The investigation services of the Minister of Economy, Finance and Industry conducted visits and seizures on November 30, 2004, at the premises of the targeted companies. The elements collected led the Minister to refer to the Competition Council on December 13, 2005.</w:t>
      </w:r>
    </w:p>
    <w:p>
      <w:r>
        <w:t xml:space="preserve">A. THE TEMPORARY WORK SECTOR IN FRANCE  </w:t>
        <w:br/>
        <w:t xml:space="preserve">3. Temporary or interim work allows employers to use, for temporary missions whose nature and conditions are exhaustively stated in the Labor Code, workers whom they do not employ directly, but who are employed by specialized companies known as "temporary work companies." The provision of temporary work thus constitutes a tripartite relationship involving the user company (hereinafter referred to as EU) which expresses a temporary need for personnel, the temporary work company (hereinafter referred to as ETT) which recruits a temporary worker by paying him to perform a temporary mission in the user company, and the temporary worker himself.  </w:t>
        <w:br/>
        <w:t>4. Each mission is subject to a double contract: a work contract known as a mission contract between the ETT and the temporary worker and a commercial contract known as a provision contract between the ETT and the EU. The latter specifies the characteristics of the mission: reason, duration, qualification, nature of the position, workplace, risks associated with the position, protective equipment, remuneration, supplementary retirement fund, provident organization. The remuneration of the temporary employee cannot be less than that which a similarly qualified employee would receive upon hiring, after a trial period, for the position to be filled, increased by any bonuses. In addition, there is a completion indemnity (IFM) equal to 10% of the total gross remuneration due during the duration of his contract and a paid leave indemnity (ICP) equal to 10% of the total remuneration including the IFM. The ETT charges the EU for the labor they assign by applying a multiplier coefficient to the gross salary of the temporary worker. This multiplier coefficient represents the cost of labor, all charges included, increased by the margin specific to the ETT. For "large accounts," between 2001 and 2004, this coefficient was around 1.90. However, the ETT distinguishes the coefficient of</w:t>
      </w:r>
    </w:p>
    <w:p>
      <w:r>
        <w:rPr>
          <w:b/>
        </w:rPr>
        <w:t>[Pages 4–6]</w:t>
      </w:r>
    </w:p>
    <w:p>
      <w:r>
        <w:t>temporary worker. This multiplier coefficient represents the cost of labor, all charges included, increased by the margin specific to the temporary employment agency (ETT). For "large accounts," between 2001 and 2004, this coefficient was around 1.90. However, ETTs distinguish the "recruitment/delegation" coefficient from that of "simple management": the former applies when it is the ETT that recruits the temporary worker; the latter - lower - applies when the temporary worker has already been selected by the user company (around 2.00 compared to 1.90, for example). The recruitment/delegation coefficient is often transformed into a management coefficient after a few months of assignment.</w:t>
      </w:r>
    </w:p>
    <w:p>
      <w:r>
        <w:t>5. There are two main types of user companies: local companies, which fall under the "diffuse" category, to use the profession's expression, and larger companies that constitute "large accounts" and whose temporary staffing needs require frequent recourse to several ETTs.</w:t>
      </w:r>
    </w:p>
    <w:p>
      <w:r>
        <w:t>6. VediorBis, for example, defines a large account as follows: "... large accounts are companies or multi-site groups requiring centralized monitoring and coordination and having a temporary staffing potential exceeding 2.5 million euros (unless otherwise specified) ... A national agreement (AN) is signed with a majority of large accounts. It includes technical and commercial clauses aimed at framing future orders. It should be noted that VediorBis had 490 ANs in 2006, which group approximately 4,544 companies ... and encompass around 12,400 sites ... Among the large accounts, several subcategories are distinguished: strategic large accounts, national large accounts, and regional large accounts ..." Adecco and Manpower reported a similar approach.</w:t>
      </w:r>
    </w:p>
    <w:p>
      <w:r>
        <w:t>7. Increasingly, large accounts are centralizing their "purchases" of temporary work to reduce costs. The negotiation of contracts with ETTs is generally managed by the "purchasing" departments of these large groups, which implement genuine tendering procedures, the terms of which are defined by extremely precise and demanding specifications, with price being the preferred selection criterion.</w:t>
      </w:r>
    </w:p>
    <w:p>
      <w:r>
        <w:t>8. In 2005, temporary employment represented in France 585,687 full-time equivalent jobs (ETP), or 2.1% of the active population (27.8 million people) and 3.3% of wage-earning employment (17.8 million people). From 2000 to 2007, it evolved as follows:</w:t>
      </w:r>
    </w:p>
    <w:p>
      <w:r>
        <w:t>9. On a global scale, the turnover of temporary employment represented approximately 185 billion euros in 2005. Europe was the most active market, with 83 billion euros, or 46% (including 19 billion euros for France, or 10%), ahead of the United States (70 billion euros and 38%) and Japan (20 billion euros and 11%). The economic specificities of countries and their labor regulations have led to varying levels of reliance on temporary work, as shown by the share of temporary work in the following European countries:</w:t>
      </w:r>
    </w:p>
    <w:p>
      <w:r>
        <w:t>Temporary/</w:t>
        <w:br/>
        <w:t>Population</w:t>
        <w:br/>
        <w:t>Country Active population Temporary employment</w:t>
        <w:br/>
        <w:t>%</w:t>
        <w:br/>
        <w:t>United Kingdom 30,000,000 1,200,000 4.0%</w:t>
        <w:br/>
        <w:t>Netherlands 6,200,000 185,000 3.0%</w:t>
        <w:br/>
        <w:t>France 27,600,000 585,687 2.1%</w:t>
        <w:br/>
        <w:t>Belgium 4,100,000 81,105 2.0%</w:t>
        <w:br/>
        <w:t>Luxembourg 410,000 6,598 1.6%</w:t>
        <w:br/>
        <w:t>Germany 38,800,000 410,000 1.1%</w:t>
        <w:br/>
        <w:t>Portugal 5,200,000 45,000 0.9%</w:t>
        <w:br/>
        <w:t>Sweden 4,400,000 37,000 0.8%</w:t>
        <w:br/>
        <w:t>Spain 18,000,000 150,000 0.8%</w:t>
        <w:br/>
        <w:t>Italy 24,500,000 154,410 0.6%</w:t>
      </w:r>
    </w:p>
    <w:p>
      <w:r>
        <w:t>10. The three global leaders in 2005, Adecco Group (headquartered in Switzerland), Manpower Group (headquartered in the United States), and Vedior Group (headquartered in the Netherlands), account for 70% of the activity in France, followed by players such as Crit Interim, Synergie, Randstad (now merged with Vedior), Creyf’s Interim (USG People, the fifth largest European group), Kelly Interim Services (EU, the fifth largest global group), and Hays Temporary Work. The rest of the market is fragmented among very specialized companies or those with a strong local presence. France thus has about a thousand different ETTs, with more than 6,000 agencies.</w:t>
      </w:r>
    </w:p>
    <w:p>
      <w:r>
        <w:t>11. Temporary workers are generally registered, without any exclusivity, with several agencies located in their employment basin. They move from one ETT to another, particularly when the user company they are assigned to decides to stop working with the ETT that assigned them.</w:t>
      </w:r>
    </w:p>
    <w:p>
      <w:r>
        <w:t>12. Skilled jobs are now predominant in temporary work. In 2005 compared to 1999, the distribution of temporary workers by socio-professional category is as follows:</w:t>
        <w:br/>
        <w:t>• 41.8% unskilled workers compared to 47.7%,</w:t>
        <w:br/>
        <w:t>• 37.9% skilled workers compared to 33.2%,</w:t>
        <w:br/>
        <w:t>• 12.6% employees compared to 13.8%,</w:t>
        <w:br/>
        <w:t>• 6.7% intermediate professions compared to 4.7%,</w:t>
        <w:br/>
        <w:t>• 1.7% executives compared to 0.9%.</w:t>
      </w:r>
    </w:p>
    <w:p>
      <w:r>
        <w:t>13. The industry remains the main user of temporary workers, although its share has decreased by six points between 1999 and 2005 (45.8% compared to 51.9%), while the tertiary sector (32.9% compared to 29.4%) and construction (20.6% compared to 18.2%) have both increased during the same period.</w:t>
      </w:r>
    </w:p>
    <w:p>
      <w:r>
        <w:t>14. The three major ETTs face a rather unconcentrated demand since the top twenty clients represent only between 17.2% and 25.3% of their turnover. In this regard, the CEO of Adecco specified that his company works with more than 50,000 clients every day. Nevertheless, the share of large accounts is significant as it covers between 50% and 60% of their outlets. A large account may only use one or two ETTs among the three major ones, and client mobility is not negligible, with a share of turnover between 6.9% and 15% generated from newly billed clients in 2006 who had not been billed in the previous fiscal year.</w:t>
      </w:r>
    </w:p>
    <w:p>
      <w:r>
        <w:t>15. The companies involved have also provided the following clarifications regarding their activity.</w:t>
      </w:r>
    </w:p>
    <w:p>
      <w:r>
        <w:t>16. The CEO of Groupe Vedior France stated: "Temporary labor is rather localized by employment basin, although greater mobility may exist for certain scarce and high-level qualifications, particularly in construction. From one assignment to another, the worker is free from any commitment to an ETT, even if significant efforts are made by the agencies to retain them (human connections, training, building a career plan with an unqualified employee). Due to the specificities of temporary work, we have general sales conditions (payment terms, penalties, collection) without integrating rates towards the outside. There is an internal pricing grid to ensure consistency in our price proposals ...".</w:t>
      </w:r>
    </w:p>
    <w:p>
      <w:r>
        <w:t>17. The sales director of Manpower specified: "... Manpower generates a very significant turnover, namely 4.4 billion euros. Like any ETT, the bulk of this turnover consists of salaries and related charges for the temporary worker."</w:t>
      </w:r>
    </w:p>
    <w:p>
      <w:r>
        <w:rPr>
          <w:b/>
        </w:rPr>
        <w:t>[Pages 7–9]</w:t>
      </w:r>
    </w:p>
    <w:p>
      <w:r>
        <w:t>main d'œuvre temporary. The true value of our activity generated by our own agents amounts to only about 13% of our total turnover. We do not have a predetermined rate for our particularly diverse clientele, both in terms of activity and the skills sought. On the other hand, for internal use, our 1,043 agencies have a pricing grid (...) to be able to adapt to the specific local supply and demand conditions ...".</w:t>
      </w:r>
    </w:p>
    <w:p>
      <w:r>
        <w:t>18. Finally, the CEO of Adecco stated: "the temporary labor market in France is very open as there are almost no barriers to entry other than the mandatory bank guarantee of around 8% of turnover to cover a potential failure of the temporary employment agency regarding the payment of temporary workers; for Adecco, the payment is monthly but with weekly advances and an average payment delay of 75 days. Furthermore, it is an extremely competitive market as there are 6,500 agencies and more than a thousand temporary employment agencies, and temporary workers are completely free to work with whomever they want. Clients, especially large accounts, do not grant any exclusivity to their temporary staffing provider. In fact, it is the buyers who impose prices in most cases. In this regard, the direct cost of delegated labor is completely transparent to our clientele, which itself employs staff, as it consists of the direct wages and social charges. For Adecco, our gross margin rate has thus decreased from 20% in the early 1990s to 12% today. Our turnover is thus made up of 88% of the wages and social charges of our temporary workers assigned to our clients. As of today, May 14, 2007, the Adecco group delegates 190,000 temporary workers daily in France to 50,000 clients. At Adecco, while the share of turnover from large accounts is more than half of total turnover, these same large accounts represent only 35% of gross margin because they particularly leverage competition. The proportion of large account establishments represents only 35% of billed sites compared to 65% for diffuse sites. It is impossible to establish a national benchmark for our delegation prices given the extent and diversity of qualifications, labor markets, and our clients ...".</w:t>
      </w:r>
    </w:p>
    <w:p>
      <w:r>
        <w:t>19. The double-digit growth of the sector, which led to a 2.1-fold increase in temporary work activity from 1996 to 2000 (from 8.7 to 18.6 billion euros), was interrupted between 2001 and 2005, during which there was even a regression of activity to 17.7 billion euros in 2002 and 2003.</w:t>
      </w:r>
    </w:p>
    <w:p>
      <w:r>
        <w:t>20. The Adecco, Manpower, and Vedior groups together covered 69.7% of temporary work activity in France in 2005 (31% for Adecco, 22.9% for Manpower, and 15.7% for Vedior). From 1999 to 2005, they increased their market share by 4.3 points at the expense of other temporary employment agencies, which fell from 34.6% to 30.3%. The Herfindahl-Hirschman index related to the market shares of these three groups is 1,732, which is a figure close to 1,800, an index usually considered indicative of a highly concentrated market. According to these groups, their market position and growth are explained by the development of the number of their agencies across the national territory. In relation to large accounts, which are often characterized by the presence of multiple sites, the network effect of local agencies of the three main players seems to constitute an advantage over smaller operators, if not a barrier to entry. In fact, large accounts are supplied 90% by the Adecco, Manpower, and Vedior groups.</w:t>
      </w:r>
    </w:p>
    <w:p>
      <w:r>
        <w:t>21. A study by the Rexecode firm for the temporary employment companies' union (SETT) reports that INSEE calculated for 2000 that temporary employment agencies generated a gross operating surplus (EBE) of 883 million euros, or 4.7% of the aggregated turnover of 18,644 million euros, with a result of 311 million euros, or 1.7% of turnover. In this context, the aggregated amount of exemptions from charges on low wages paid to temporary employment agency employers, which was estimated by INSEE for the same year at 700 million euros, constitutes a very important issue since its amount is equivalent to 79% of the EBE and 225% of the profit.</w:t>
      </w:r>
    </w:p>
    <w:p>
      <w:r>
        <w:t>22. However, the so-called "Fillon" law, enacted on January 17, 2003, established as of July 1, 2003 a new system for exemptions from charges on low wages, replacing the previous measures provided notably by the so-called "Juppé" and "Aubry II" systems. In this context, according to the aforementioned study, the implementation of the Fillon law was expected to have a negative impact on the exemptions from charges paid to temporary employment agencies, of 107 million euros in 2003 and 15 million in 2004, before having a positive impact of 77 million in 2005. In 2003, all else being equal, the average profitability of temporary employment agencies could thus be affected by 12.1% (107/883).</w:t>
      </w:r>
    </w:p>
    <w:p>
      <w:r>
        <w:t>B. THE COMPANIES INVOLVED AND THE GROUPS TO WHICH THEY BELONG</w:t>
      </w:r>
    </w:p>
    <w:p>
      <w:r>
        <w:t>Adecco Temporary Work and Adia, companies of the Adecco group</w:t>
      </w:r>
    </w:p>
    <w:p>
      <w:r>
        <w:t>23. The Adecco group was formed in 1996 from the merger of the Swiss-origin group Adia and the French-origin group Ecco TT. It is the world's leading operator in the sector. The parent holding company of the group, Adecco SA, located in Chasserex (Switzerland), is listed on the SWX Swiss Exchange as well as on the Paris Stock Exchange. In 2007, the consolidated global turnover of Adecco SA amounted to 21.09 billion euros, generating an operating result of 1.054 billion euros and a profit of 735 million euros, or 4.9% and 3.4% of turnover, respectively.</w:t>
      </w:r>
    </w:p>
    <w:p>
      <w:r>
        <w:t>24. In France, the Adecco group is primarily represented by its two wholly-owned subsidiaries, Adecco France (formerly known as Adecco Temporary Work, hereinafter "Adecco") and Adia, but also by Quick Medical Service, also wholly owned, specialized in the medical sector. The headquarters of the three subsidiaries is in Villeurbanne (69). Adecco specified: "... at the beginning of 1997, during the global merger between Adia and Ecco Temporary Work, there was continuity, in France only, of the Adia and Ecco TT activities, under the name Adecco. The company Adecco is therefore the new name of the company Ecco TT (...) within the framework of a group policy ... the commercial management of Adecco works in collaboration with the commercial management of Adia to define and implement group agreements (...)". However, Adecco specifies that when the two companies present a joint offer, it is formalized in the contract with the client as follows: "... xxx has been expressly informed, which he acknowledges, that the companies Adecco and Adia are part of the same group and that these two companies have come together at the client's request to present a joint offer ...".</w:t>
      </w:r>
    </w:p>
    <w:p>
      <w:r>
        <w:t>25. In 2007, Adecco achieved a total turnover of 4.9 billion euros, obtained 99.6% in France, and generated an operating result of 252.2 million euros and a profit of 280.5 million euros, or 5.1% and 5.7% of turnover, respectively. Adecco has approximately 1,000 agencies that serve 37,000 client companies daily by assigning 140,000 temporary workers (website data).</w:t>
      </w:r>
    </w:p>
    <w:p>
      <w:r>
        <w:t>26. In 2007, Adia achieved a total turnover of 1.56 billion euros, obtained 99.4% in France, and generated an operating result of 68.1 million euros and a profit of 38.8 million euros, or 4.3% and 2.4% of turnover, respectively. Adia has approximately 460 agencies, which assign 50,000 temporary workers each day (website data).</w:t>
      </w:r>
    </w:p>
    <w:p>
      <w:r>
        <w:t>27. Adecco and Adia are commonly referred to in the profession as "the reds" due to the dominant color of their signage.</w:t>
      </w:r>
    </w:p>
    <w:p>
      <w:r>
        <w:t>Manpower France, a company of the Manpower group</w:t>
      </w:r>
    </w:p>
    <w:p>
      <w:r>
        <w:t>28. The Manpower group is based in Milwaukee, USA. Listed on the New York Stock Exchange, it was until recently the second largest group in the field of temporary work. In 2007, its consolidated global turnover amounted to 20.5 billion dollars, generating an operating result of 825.4 million dollars and a profit of 484.7 million dollars, or 4% and 2.3% of turnover, respectively.</w:t>
      </w:r>
    </w:p>
    <w:p>
      <w:r>
        <w:t>29. The Manpower group is represented in France by the temporary work companies and brands, Manpower France and the specialist Supplay, whose headquarters is in Reims (51). Manpower France achieved a turnover of 4.69 billion euros in 2007, obtained 100% in France, and generated an operating result of 284.8 million euros and a profit of 145.6 million euros, or 6% and 3.1% of turnover, respectively. Manpower has 1,030 agencies to serve 80,000 clients (website data).</w:t>
      </w:r>
    </w:p>
    <w:p>
      <w:r>
        <w:t>30. Manpower France specified that, through a partial asset contribution made on April 30, 2004, the former company Manpower France SAS (RCS Paris B 562 087 791) contributed its temporary work activity to the company Manpower Entreprise (RCS Paris B 429 955 297), which until then had no activity (legal shell without turnover). Following this contribution, the former company Manpower France SAS (RCS Paris B 562 087 791) changed its corporate name to Manpower France Holding SAS. At the same time, the company Manpower Entreprise (RCS Paris B 429 955 297) changed its corporate name to Manpower France SAS. The two companies Manpower France SAS mentioned are hereinafter referred to by the generic name Manpower, unless otherwise necessary.</w:t>
      </w:r>
    </w:p>
    <w:p>
      <w:r>
        <w:t>31. Manpower agents have long been called "the blues" due to the former blue and white colors of their signage.</w:t>
      </w:r>
    </w:p>
    <w:p>
      <w:r>
        <w:t>VediorBis and Groupe Vedior France, companies of the Vedior group</w:t>
      </w:r>
    </w:p>
    <w:p>
      <w:r>
        <w:t>32. The Dutch-origin Vedior group, listed in Amsterdam (Euronext), had reached the third rank globally in temporary work after its merger in 1999 with Select Appointments, of British origin. An amicable merger-absorption procedure took place in the spring of 2008 at the initiative of the other Dutch temporary work group, Randstad, to now constitute the second operator at the global level. In 2007, the consolidated global turnover of the group amounted to 8.43 billion euros and generated an operating result up 35.3% to 398 million euros, or 4.7% of turnover.</w:t>
      </w:r>
    </w:p>
    <w:p>
      <w:r>
        <w:t>33. In 2006, the consolidated turnover of Vedior in France, consisting of the temporary work companies VediorBis, generalist, and the specialists Expectra, l'Appel Médical, IBM, and Atoll, amounted to 3.14 billion euros and generated an operating result up</w:t>
      </w:r>
    </w:p>
    <w:p>
      <w:r>
        <w:rPr>
          <w:b/>
        </w:rPr>
        <w:t>[Pages 10–12]</w:t>
      </w:r>
    </w:p>
    <w:p>
      <w:r>
        <w:t>14.2% to 109.7 million euros, or 3.5% of the turnover. The holding company, Groupe Vedior France, achieved a turnover of 89.2 million euros in 2007 and generated a profit of 30.6 million euros. Active since March 31, 2001, VediorBis achieved a turnover of 2.775 billion euros in 2007, obtained 100% in France, an increase of 7.5%, and generated an operating result of 157.4 million euros and a profit of 48.5 million euros, which are respectively 5.6% and 1.3% of the turnover. Vedior in France has 900 agencies, including 700 for VediorBis, to serve 60,000 clients (website data).</w:t>
      </w:r>
    </w:p>
    <w:p>
      <w:r>
        <w:t>C. THE FACTS ESTABLISHED</w:t>
      </w:r>
    </w:p>
    <w:p>
      <w:r>
        <w:t>34. The following material elements are notably included in the file. To the extent that, as will be specified later, Adecco, Adia, Groupe Vedior France, and VediorBis do not contest the grievances that have been notified to them, they essentially reproduce elements concerning Manpower, whether they originate from VediorBis, Adecco, or Manpower itself.</w:t>
      </w:r>
    </w:p>
    <w:p>
      <w:r>
        <w:t>1. DOCUMENTS FROM VEDIORBIS</w:t>
      </w:r>
    </w:p>
    <w:p>
      <w:r>
        <w:t>35. An internal email from VediorBis dated July 4, 2003, regarding certain clients, from Mr. Jean-François Y..., Sales Director of the logistics and commerce branch, to Mr. Olivier Z..., Deputy General Manager, contains the following mentions (references 3477 to 3479):</w:t>
        <w:br/>
        <w:t>“... Mory: 2003 proposal without rebate due to coefficients that could not be increased at the beginning of the year and the very low profitability on this account... The HR department is very difficult to confront, which is why we decided to stop the payment of the RFA [end-of-year rebate] of 1.2% that was negotiated in 2002 to provoke this renegotiation of the agreement: no reaction from our contact person: our colleagues have followed this approach for the same reasons. We must obtain in return for any rebate, the increase of our coefficients which are currently too low: this is our objective for September 2003...</w:t>
        <w:br/>
        <w:t>(...)</w:t>
        <w:br/>
        <w:t>La Poste: Man... must approach the purchasing department in July to mention that the prices set at the beginning of the year included the RBS [reductions on low wages] and the fact that the RBS gain decreases by 2% should allow for a price increase on this file in September (anniversary date of re-evaluation). Our coefficients assumed that the RBS was returned to us because La Poste, being a public industrial and commercial establishment, had not been entitled to the RBS until now. Everything can change with Fillon and we must reintegrate the decrease in revenue into our prices.</w:t>
        <w:br/>
        <w:t>(...) A common position on the subject is crucial especially since the announced potential is not at the rendezvous, the purchasing department does not manage the market shares of the 2003 references...</w:t>
        <w:br/>
        <w:t>(...)</w:t>
        <w:br/>
        <w:t>FM Logistics: on this agreement, we had a formula based on 100% of the Aubry-Juppé differential, the idea is to confirm a decrease in the rebate rate to the client who did not accept a price increase in 2002: our competitors have no loss on this file so could propose the same rebate rate as in 2002. We must propose a price increase and a decrease in the rebate rate because the MB [gross margin] was (...) in 2002... We must be united on this renegotiation at the start of the school year...</w:t>
        <w:br/>
        <w:t>(...)</w:t>
        <w:br/>
        <w:t>Gefco: no loss of rebate, so risk of a proposal equivalent to 2002 also on this file... No particular concerns on the principle of decreasing rebates but again the discourse must be harmonized.”</w:t>
      </w:r>
    </w:p>
    <w:p>
      <w:r>
        <w:t>36. An internal "point" at VediorBis on October 3, 2003, still from the logistics and commerce branch (references 3542 to 3545) contains, in addition to numerous pieces of information regarding Manpower's policy towards several clients in this sector:</w:t>
        <w:br/>
        <w:t>“... Sodexho...: I have no information from our competitors who are not very reliable on this file...”</w:t>
      </w:r>
    </w:p>
    <w:p>
      <w:r>
        <w:t>37. An internal email from VediorBis dated August 8, 2003, regarding the client Areva, from Ms. Delphine A..., Sales Director of the "experts and professionals in the industry" branch, to Mr. Olivier Z..., indicates (reference 8413):</w:t>
        <w:br/>
        <w:t>“... Areva potential 23 M€</w:t>
        <w:br/>
        <w:t>Manpower market share 30 to 35%</w:t>
        <w:br/>
        <w:t>Adecco market share 30 to 35%</w:t>
        <w:br/>
        <w:t>VediorBis market share 25%</w:t>
        <w:br/>
        <w:t>Other temp agencies 5 to 15%...</w:t>
        <w:br/>
        <w:t>They want to retain only one temp agency at the national level, at most two.</w:t>
        <w:br/>
        <w:t>There is a significant risk that Adecco or Manpower will agree to very low prices to avoid being excluded...</w:t>
        <w:br/>
        <w:t>I spoke with the blues [Manpower], we will meet again on September 1.</w:t>
        <w:br/>
        <w:t>I have an appointment on September 8 with the client to present my offer.”</w:t>
      </w:r>
    </w:p>
    <w:p>
      <w:r>
        <w:t>38. A report from Mr. Karim B..., Financial Director of VediorBis, from a meeting he had with his counterpart at Adecco, Mr. Pascal C..., on September 16, 2003, indicates (reference 3546):</w:t>
        <w:br/>
        <w:t>“... 2 Fillon Law</w:t>
        <w:br/>
        <w:t>Favorable reductions for the month of July because the new regulation favors low wages and not working hours as in Aubry, so the longer the month, the better the results, and vice versa. The month of August, on the other hand, was disappointing on this point, but predictable.</w:t>
        <w:br/>
        <w:t>MP [Manpower] is still on weekly pay but seems to be moving towards monthly pay and agrees to share our simulation work because he believes that a rapid rebate to clients can be detrimental to the temp market.</w:t>
        <w:br/>
        <w:t>3 Alstom</w:t>
        <w:br/>
        <w:t>The DF of MP and he discussed the subject in anticipation of the meeting with VB [VediorBis]. The position they adopt is the same as ours, namely a status quo at the current outstanding level:</w:t>
        <w:br/>
        <w:t>AD 10 M€,</w:t>
        <w:br/>
        <w:t>MP 4 M€,</w:t>
        <w:br/>
        <w:t>Reminder VB 5.6 M€ (announced 4 M€)...”</w:t>
      </w:r>
    </w:p>
    <w:p>
      <w:r>
        <w:t>39. A note seized at VediorBis, presumably written in September 2003, providing information on Manpower's policy towards several clients, indicates in particular (reference 3549):</w:t>
        <w:br/>
        <w:t>“... CNP: Manpower and VB approach to pass RFA [end-of-year rebate] from 5% to 2.5% at the end of ongoing negotiations.</w:t>
        <w:br/>
        <w:t>(...) EDF: Manpower is in a meeting in S+1 [next week], would go back because would not have sufficient elements to justify a 0.8% increase would start on a 0.2//0.5%. Depending on the result, we will follow the same approach. Meeting scheduled for October...”</w:t>
      </w:r>
    </w:p>
    <w:p>
      <w:r>
        <w:t>2. DOCUMENTS FROM ADECCO</w:t>
      </w:r>
    </w:p>
    <w:p>
      <w:r>
        <w:t>40. An internal email at Adecco, dated March 18, 2004, from Ms. Géraldine D... to Mr. Gilles E..., General Director, who had requested a report from the various regional departments on relations with Manpower and VediorBis, indicates in particular (reference 496):</w:t>
        <w:br/>
        <w:t>“... three reports contradicting the feelings of VB and MPW:</w:t>
        <w:br/>
        <w:t>No negotiation where I had to lower without consultation...</w:t>
        <w:br/>
        <w:t>(...)</w:t>
        <w:br/>
        <w:t>Essilor</w:t>
        <w:br/>
        <w:t>Potential: 16 M€</w:t>
        <w:br/>
        <w:t>Present Adecco (46% of the market) Vbis (42%) and MPW (13% of the market).</w:t>
        <w:br/>
        <w:t>For the past 4 years, our coefficients (which started from "high" certainly) have been continuously decreasing as they are renegotiated every year: we have never been able to make an increase... and salaries are not very favorable to the exos, MB rate = 9.5%.</w:t>
        <w:br/>
        <w:t>We have always been more expensive than the competition and around 50% market share...</w:t>
        <w:br/>
        <w:t>Manpower has every year supported the desire to limit the decrease (Elvire F...).</w:t>
        <w:br/>
        <w:t>Vbis no: they have always had a more aggressive policy (Martial G...) which has paid off since they have risen to 42% market share, notably thanks to the provinces.</w:t>
        <w:br/>
        <w:t>This year therefore Vbis has:</w:t>
        <w:br/>
        <w:t>- lowered its rebate threshold,</w:t>
        <w:br/>
        <w:t>- lowered their unqualified coefficient IDF [Ile-de-France] from 1.99 to 1.95 (we were at 1.97 and ultimately consented to 1.96),</w:t>
        <w:br/>
        <w:t>- lowered their qualified coefficient IDF from 2.02 to 1.98 (we are at 2.05: qualifications delegated to headquarters, complex, almost 0 exos: TMB [gross margin rate] lower than unqualified!!!).</w:t>
        <w:br/>
        <w:t>I am sure of the 2004 coefficients not of the 2003 because we had stopped talking to each other.</w:t>
        <w:br/>
        <w:t>(...)</w:t>
        <w:br/>
        <w:t>A solidarity between Vbis and MPW on the 2004 Servair negotiation: Vbis had exited and could not re-enter but did not break the prices, MPW and we resisted as best we could.</w:t>
        <w:br/>
        <w:t>In short, there is no general rule... it depends on the negotiator... When the negotiator is an operational person the tendency is "+ downward", when he is DCN [national sales director] the CAP "MB" [gross margin] and the Fillon impact is clearly displayed!!!</w:t>
        <w:br/>
        <w:t>It may be the same with us...???”</w:t>
      </w:r>
    </w:p>
    <w:p>
      <w:r>
        <w:rPr>
          <w:b/>
        </w:rPr>
        <w:t>[Pages 13–15]</w:t>
      </w:r>
    </w:p>
    <w:p>
      <w:r>
        <w:t>41. Another internal email at Adecco, from the same day as the previous one, responding to the same request from the general manager and sent by Ms. Maryse H..., indicates (reference 503):</w:t>
        <w:br/>
        <w:t>“DR Rhône: awaiting information.</w:t>
        <w:br/>
        <w:t>DR Provence-Alpes: Manpo: no difficulty, Olivier [Olivier I..., regional management of Adecco Provence-Alpes] met with Mr. J... [head of major accounts Manpower] at the beginning of the week.</w:t>
        <w:br/>
        <w:t>VB no contact, no difficulty (to be confirmed).</w:t>
        <w:br/>
        <w:t>(…)</w:t>
        <w:br/>
        <w:t>DR Dali [Drôme Ardèche Loire Isère]: Manpo: good contact, common negotiations (Schneider, Easidys, Casino…) VB: no exchange, no trust.</w:t>
        <w:br/>
        <w:t>DR Côte d’Azur: no difficulty…”</w:t>
      </w:r>
    </w:p>
    <w:p>
      <w:r>
        <w:t>42. A third internal email at Adecco, of the same nature as the previous ones and from the same day, sent by Ms. Nathalie K..., contains the following information (reference 497):</w:t>
        <w:br/>
        <w:t>“Biomérieux: VB has lowered prices to capture the market, Mpwer called Adecco to find out who had lowered prices.</w:t>
        <w:br/>
        <w:t>(…)</w:t>
        <w:br/>
        <w:t>Routing and Marketing: Adecco and Mpwer providers; to avoid a third provider, by mutual agreement Adecco + Mpw lowered prices.</w:t>
        <w:br/>
        <w:t>(…)</w:t>
        <w:br/>
        <w:t>Geographical areas:</w:t>
        <w:br/>
        <w:t>(…)</w:t>
        <w:br/>
        <w:t>Caluire: good maintenance of MPW prices, Adecco tends to be a bit lower but with associated costs and packages.</w:t>
        <w:br/>
        <w:t>East Lyon: good overall understanding with Mpw (often phone relations) / no relations with VB.”</w:t>
      </w:r>
    </w:p>
    <w:p>
      <w:r>
        <w:t>43. A handwritten note from the general manager of Adecco, regarding a tender from Alcan-Pechiney in May 2004, indicates (reference 576):</w:t>
        <w:br/>
        <w:t>“We are on the eve of Ascension Thursday. We made a first proposal. We are asked to adjust our prices. We are okay to coordinate our prices with the others. We talk to each other "but I can't hear you if you don't adjust with Adia" (2nd pass) (cid:198) I try to reach JES [Jean-Etienne L..., head of major accounts Adia] to confirm his prices. I contact him the following Monday. On Monday morning we meet.</w:t>
        <w:br/>
        <w:t>Regarding the Adia proposal, I adjust the proposal</w:t>
        <w:br/>
        <w:t>Notably K1 = 1.885 Adecco</w:t>
        <w:br/>
        <w:t>1.88 Adia</w:t>
        <w:br/>
        <w:t>- Vedior has already submitted its proposal.</w:t>
        <w:br/>
        <w:t>- Adecco prices go out early in the afternoon.</w:t>
        <w:br/>
        <w:t>On Monday evening, everyone is there, we compare our prices: I find myself 1% off/Vedior</w:t>
        <w:br/>
        <w:t>Vedior: 1.875</w:t>
        <w:br/>
        <w:t>Adia: 1.88</w:t>
        <w:br/>
        <w:t>MPW: 1.88</w:t>
        <w:br/>
        <w:t>Adecco: 1.885</w:t>
        <w:br/>
        <w:t>The meeting takes place.”</w:t>
      </w:r>
    </w:p>
    <w:p>
      <w:r>
        <w:t>44. This tender was managed for Alcan by Ms. Vanessa M... from the purchasing department, who indicated (minutes of September 20, 2007, references 11231 and following):</w:t>
        <w:br/>
        <w:t>“… The specifications of the group Pechiney Alcan tender for the period 2004-2005 allow for measuring the specific nature of the demand from Alcan France SAS towards temporary work providers.</w:t>
        <w:br/>
        <w:t>This tender concerned the entire scope of the Pechiney Alcan group in mainland France, covering about a hundred sites. The contract was for a period of 18 months from July 1, 2004, to December 31, 2005.</w:t>
        <w:br/>
        <w:t>This contract was subject to a new competitive bidding process for the following period 2006-2007. In this regard, during this new tender, the two companies of the same Adecco group, Adecco and Adia, presented themselves explicitly together.</w:t>
        <w:br/>
        <w:t>The total purchases of temporary work by the Alcan group concerned by this tender for the calendar years 2004 and 2005 amount to about fifty million euros per year.</w:t>
        <w:br/>
        <w:t>The base coefficient referred to as category A in the contract covers about 90% of our needs for temporary labor during the relevant period.</w:t>
        <w:br/>
        <w:t>The tender was launched on April 30, 2004; the first contract was signed on July 8, 2004, and others were signed in January 2005 for legal reasons. In any case, the pricing grid took effect from July 1, 2004.</w:t>
        <w:br/>
        <w:t>From the first submission of the 2004 offer, it was explicitly agreed that the two companies of the same Adecco group, Adecco and Adia, presented themselves autonomously and independently.</w:t>
        <w:br/>
        <w:t>This tender included five coefficients. I calculated the arithmetic average of these five coefficients even though the category A coefficient was a predominant judgment criterion.</w:t>
        <w:br/>
        <w:t>The ten selected companies submitted a first bid by courier. I then reviewed the submissions and held bilateral meetings with each of the bidders. For each of them, I informed them of the effort to be made in percentage terms to meet the objective set by the purchasing department of the Alcan group. I met with them over a week and gave them another week to confirm or refine their pricing proposal.</w:t>
        <w:br/>
        <w:t>I also confirm the statement in my letter of June 26, 2007, that Alcan France SAS does not disclose and has not disclosed, in this case, any information about the individual offers of other suppliers during the course of the 2004-2005 tender. In this regard, no joint meeting between Alcan and its providers is conceivable in the context of negotiating our tender.</w:t>
        <w:br/>
        <w:t>As far as I am concerned, I did not solicit Adecco to align with the coefficients of Adia, nor with those of the other two main competitors, VediorBis and Manpower.</w:t>
        <w:br/>
        <w:t>The base coefficients category A of the companies Adecco, Adia, Manpower, and VediorBis were as follows during the first offer:</w:t>
        <w:br/>
        <w:t>- Adecco: 1.89</w:t>
        <w:br/>
        <w:t>- Adia: 1.86</w:t>
        <w:br/>
        <w:t>- Manpower: 1.89</w:t>
        <w:br/>
        <w:t>- VediorBis: 1.87.</w:t>
      </w:r>
    </w:p>
    <w:p>
      <w:r>
        <w:t>For the second and final submission:</w:t>
        <w:br/>
        <w:t>- Adecco: 1.875</w:t>
        <w:br/>
        <w:t>- Adia: 1.88</w:t>
        <w:br/>
        <w:t>- Manpower: 1.88</w:t>
        <w:br/>
        <w:t>- VediorBis: 1.875.</w:t>
        <w:br/>
        <w:t>Among my ten bidders, I retained six suppliers including the four mentioned above. My proposals were validated by the HRDs [human resources directors] of the sites. I then launched the contract project for their legal finalization…”</w:t>
      </w:r>
    </w:p>
    <w:p>
      <w:r>
        <w:t>45. A series of internal emails at Adecco forwarded on September 27, 2004, to Mr. Gilles E..., general manager, regarding the “commercial policy of Manpower” contains the following elements (references 8296 to 8297):</w:t>
        <w:br/>
        <w:t>“Concrete cases… to sow in MPW's garden.</w:t>
        <w:br/>
        <w:t>(…)</w:t>
        <w:br/>
        <w:t>Just for your information, I believe that Manpower accuses us of undercutting prices, here are factual elements (…).</w:t>
        <w:br/>
        <w:t>(…)</w:t>
        <w:br/>
        <w:t>I am reaching out to you to point out three cases where the Manpower agency in Montargis has "played" at undercutting prices in Montargis.”</w:t>
      </w:r>
    </w:p>
    <w:p>
      <w:r>
        <w:t>3. DOCUMENTS FROM MANPOWER</w:t>
      </w:r>
    </w:p>
    <w:p>
      <w:r>
        <w:t>46. A handwritten note seized in the office of the commercial director of Manpower, Mr. Bernard N... (reference 1820), includes, among other things, after the indication “Adecco - Increase May 1/VB increase of 1% the distribution 25% success,” the names and mobile phone numbers of five commercial directors of the main branches of VediorBis, after the name of their deputy general manager. This note refers to May 1, 2004.</w:t>
      </w:r>
    </w:p>
    <w:p>
      <w:r>
        <w:t>47. An internal email at Manpower dated June 18, 2004, from Mr. Patrick O..., director of the “construction” markets to Mr. Jean-Pierre P..., its president, regarding a negotiation with Eiffage construction indicates (reference 1811):</w:t>
        <w:br/>
        <w:t>“Pot. 100 M€ [potential 100 million euros]</w:t>
        <w:br/>
        <w:t>Current turnover Manpower excluding agreement: 20 M€</w:t>
        <w:br/>
        <w:t>Objective: to become the leading national supplier for 40 to 50 M€</w:t>
        <w:br/>
        <w:t>The tender we responded to about a week ago included specifications that the new purchasing director in place requested we sign as is, without any changes to any clause.</w:t>
        <w:br/>
        <w:t>Apart from the prices we submitted (very low contrary to the claims of the purchasing director), and the level of coefficients practiced until now for an activity of 20 M€, the level of discount proposed places us at the forefront of the main competition in this file. In these specifications, certain clauses such as penalties for delays or very binding service commitments were unacceptable to all of us.</w:t>
        <w:br/>
        <w:t>Adecco, Vedior, and ourselves received the same letter. Starting Monday, June 21, we will consult to agree on a common position regarding these clauses. We have all also refused to provide the organizational chart of the companies, etc.</w:t>
      </w:r>
    </w:p>
    <w:p>
      <w:r>
        <w:rPr>
          <w:b/>
        </w:rPr>
        <w:t>[Pages 16–18]</w:t>
      </w:r>
    </w:p>
    <w:p>
      <w:r>
        <w:t>to serve very binding conditions were unacceptable to all of us. Adecco, Vedior, and ourselves received the same letter. Starting Monday, June 21, we will consult to agree on a common position regarding these clauses. We have all also refused to provide the organizational chart of the companies, etc.</w:t>
      </w:r>
    </w:p>
    <w:p>
      <w:r>
        <w:t>I emphasize that the coefficients and commercial conditions are not at issue in this letter… Our objective remains intact, and complete solidarity on these mentioned clauses, at least between Adecco, Vedior, and Manpower, at the management level is essential. However, it is clear that we will not achieve leadership if our prices are identical. Currently, Adecco + Adia generate €30 million, VediorBis €14 million…</w:t>
      </w:r>
    </w:p>
    <w:p>
      <w:r>
        <w:t xml:space="preserve">48. An excerpt from a notebook of Mr. Jean-Pierre Q..., director of the "industry" markets at Manpower, recounts a meeting on September 7, 2004, with his sales director, Mr. Bernard N... (reference 1066): </w:t>
        <w:br/>
        <w:t>“… PPR [Pinault Printemps Redoute] file on coeff. 1.89 telemarketers (outbound calls) and 1.81 teleoperators (inbound calls). Galeries Lafayette file, meeting on 14-09 with Patrick R... [commercial executive Manpower Île-de-France], strong reactions from VB [VediorBis], which threatens PPR proposal if…”</w:t>
      </w:r>
    </w:p>
    <w:p>
      <w:r>
        <w:t xml:space="preserve">49. An internal email to Manpower dated November 29, 2004, from Mr. Francis S..., of the regional management in Lille, to Mr. Jean-Pierre P..., president, and Mr. Bernard N..., general director, states (reference 1819): </w:t>
        <w:br/>
        <w:t>“… from Francis to Jean-Pierre (for info) Bernard (for contact with the reds!) Be careful that this type of "false competition" between the two reds allows one of them to take and then associate?? [Their association has shown at Bombardier and Teleperformance that it worked! Latest info from Adecco: it’s Adia that submitted the RFA proposal (I thought they had an agreement!?)]. Starting from 1.800 in K (price coefficient): - from 700 to 1,500 K€ (thousands of euros): 0.5% or 1.791, - above 1,500 K€: 0.75% or 1.787. As for Adecco, they maintained their position of 1.800 in K net of all rebates and RFA, as we did. We also maintain our position.”</w:t>
      </w:r>
    </w:p>
    <w:p>
      <w:r>
        <w:t>D. THE NOTIFIED GRIEVANCES</w:t>
      </w:r>
    </w:p>
    <w:p>
      <w:r>
        <w:t>50. In light of the preceding elements, the following grievances were notified on November 9, 2007: “The companies Adecco Travail Temporaire (RCS 998 823 504), the former Manpower France SAS (RCS 562 087 791), now named Manpower France Holding SAS, for the period prior to April 30, 2004, and for the period from April 30, 2004, to the new company Manpower France SAS (RCS 429 955 297) previously named Manpower Entreprise, together with the companies Groupe Vedior France SAS (ex-Bis since 2003 RCS 702 028 234) and VediorBis SAS (RCS 433 999 356) are accused of having committed, between March 2003 at least and November 2004, in the national temporary labor market, a concerted practice of a complex and continuous nature, which had the anti-competitive object and effect of avoiding competition on prices by exchanging information among themselves regarding the level of selling prices or year-end discounts or rebates on social contributions. These practices having the anti-competitive object and/or effect of avoiding competition on prices in the national temporary labor market are contrary to the provisions of Article L. 420-1, notably 2° of the Commercial Code, prohibiting anti-competitive agreements as well as to the provisions of Article 81, paragraph 1, notably under a), of the Treaty establishing the European Community.”</w:t>
      </w:r>
    </w:p>
    <w:p>
      <w:r>
        <w:t>“It is alleged against the four companies Adia (RCS 306 243 288), Adecco Travail Temporaire (RCS 998 823 504), the new company Manpower France SAS (RCS 429 955 297) previously named Manpower Entreprise, and the company VediorBis SAS (RCS 433 999 356) that they committed, in May 2004, in the specific market of the tender from the client Alcan France SAS for 2004-2005, a concerted practice that had the anti-competitive object and effect of avoiding competition on prices by exchanging information on the selling prices of their base coefficients during the price negotiation phase with the client, a practice contrary to the provisions of Article L. 420-1, notably 2° of the Commercial Code, prohibiting anti-competitive agreements.”</w:t>
      </w:r>
    </w:p>
    <w:p>
      <w:r>
        <w:t>51. The companies Adecco and Adia, on the one hand, and Groupe Vedior France and VediorBis, on the other hand, which were recipients of the notification of grievances, requested the benefit of the provisions of III of Article L. 464-2 of the Commercial Code, which states: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They signed, respectively on February 1 and February 7, 2008, a record by which they renounced contesting the grievances that had been notified to them.</w:t>
      </w:r>
    </w:p>
    <w:p>
      <w:r>
        <w:t>II. DISCUSSION</w:t>
      </w:r>
    </w:p>
    <w:p>
      <w:r>
        <w:t>A. ON THE PROCEDURE</w:t>
      </w:r>
    </w:p>
    <w:p>
      <w:r>
        <w:t xml:space="preserve">52. Manpower argues: </w:t>
        <w:br/>
        <w:t xml:space="preserve">• that it did not have sufficient time to ensure its defense; </w:t>
        <w:br/>
        <w:t xml:space="preserve">• that the statement of the grievance was too imprecise for it to exercise its rights of defense; </w:t>
        <w:br/>
        <w:t xml:space="preserve">• that the investigation was neither impartial nor sufficiently adversarial; </w:t>
        <w:br/>
        <w:t>• that it was deprived of the opportunity to benefit, following fair discussions, from the non-contestation procedure for grievances that it intended to use.</w:t>
      </w:r>
    </w:p>
    <w:p>
      <w:r>
        <w:t>1. REGARDING THE TIMEFRAME TO RESPOND TO THE GRIEVANCES</w:t>
      </w:r>
    </w:p>
    <w:p>
      <w:r>
        <w:t>53. Manpower indicates that it had to conduct complex research both to find documents from the incriminated period and to discuss the rapporteur's analysis, as the latter did not take into account the specifics of the sector. Its research efforts would have also been slowed down due to an in-depth discussion with the investigation services regarding a possible non-contestation procedure for the grievances.</w:t>
      </w:r>
    </w:p>
    <w:p>
      <w:r>
        <w:t>54. However, pursuant to the provisions of Article L. 463-2, paragraph 4, of the Commercial Code, the president of the Competition Council granted all parties two successive extensions of fifteen days for the time allotted to respond to the grievances, considering the specifics of the case. The total time that Manpower had to respond to the grievances was therefore three months, the maximum allowed under the aforementioned paragraph. No provision allows for an additional extension for companies wishing to resort to the procedure provided for in III of Article L. 464-2 of the Commercial Code.</w:t>
      </w:r>
    </w:p>
    <w:p>
      <w:r>
        <w:t>55. The age of the facts cannot, moreover, be put forward to justify the necessity of lengthy and complex research, since the companies involved were subject to visits and seizures in November 2004 and the elements of the file concern a period extending from March 2003 to November 2004. Following these operations, Manpower was fully aware that it could be notified of grievances and could take all necessary measures to gather elements from this recent period, suitable to ensure its defense at the stage of the notification of grievances, and then of the report.</w:t>
      </w:r>
    </w:p>
    <w:p>
      <w:r>
        <w:t>2. REGARDING THE STATEMENT OF THE GRIEVANCE</w:t>
      </w:r>
    </w:p>
    <w:p>
      <w:r>
        <w:t>56. According to Manpower, the statement of the first grievance would have been too imprecise for it to understand exactly what was being reproached to it. It would be inconsistent, in light of the case law of Community courts, to refer to a concerted practice that would be complex and continuous. In this regard, it would result notably from the judgment of the Court of Justice of the European Communities of July 8, 1999, ANIC/Commission (C-49192 P, Rec. p. I-4125, points 82 and 114) that a complex infringement could only concern an infringement materialized both by "agreements" and by "concerted practices" as distinctly referred to in Article 81 EC. The continuous nature of the infringement could only be retained if the different manifestations of the coordination pursued a single and clearly determined objective by an "agreement." Furthermore, the concerned market would be poorly defined in the grievance, as the "national temporary labor market" referred to could only concern relationships with major accounts while the motivation of the grievances would also refer to practices concerning the "diffuse" clientele.</w:t>
      </w:r>
    </w:p>
    <w:p>
      <w:r>
        <w:t xml:space="preserve">57. However, regarding the qualification of the infringement, it should be recalled that in the judgment of July 14, 1972, Imperial Chemical Industries/Commission (48/49, Rec. p. 619), the Court of Justice specified, regarding the notion of concerted practice: </w:t>
        <w:br/>
        <w:t>“64. (…) if Article [81 EC] distinguishes the notion of "concerted practice" from that of "agreements between companies" or "decisions of associations of companies," it is with the aim of apprehending under the prohibitions of this article a form of coordination between companies which, without having been pushed to the realization of a proper convention, knowingly substitutes a practical cooperation between them for the risks of competition;</w:t>
      </w:r>
    </w:p>
    <w:p>
      <w:r>
        <w:rPr>
          <w:b/>
        </w:rPr>
        <w:t>[Pages 19–21]</w:t>
      </w:r>
    </w:p>
    <w:p>
      <w:r>
        <w:t xml:space="preserve">65. (…) by its very nature, the concerted practice does not therefore encompass all the elements of an agreement, but may notably result from a coordination that manifests itself through the behavior of the participants;  </w:t>
        <w:br/>
        <w:t xml:space="preserve">(…)  </w:t>
        <w:br/>
        <w:t xml:space="preserve">68 (…) the question of whether there is concertation in this case can therefore only be correctly assessed if the indices invoked (...) are considered not in isolation, but as a whole, taking into account the characteristics of the market for the products in question; …”  </w:t>
        <w:br/>
        <w:t xml:space="preserve">58. Furthermore, contrary to what Manpower argues, it does not follow from any ruling of the Community courts that a complex and continuous infringement could only be established in cases where there are both formal agreements and concerted practices. This situation is merely one of those that may lead to the consideration that one is dealing with a complex infringement and, where applicable, continuous, notions that, moreover, do not appear in the text of the EC Treaty or in derived Community law, nor in the commercial code. The reference to the complex nature of an infringement is intended solely to show that, for the same anti-competitive purpose, the participants have implemented several coordinating actions that can be understood as a single infringement. The reference to the continuous nature of an infringement aims, for its part, to show that it has persisted for a certain time without interruption, which may be necessary both to assess the seriousness of the behavior and its effects and to examine whether the behavior in question is wholly or partly covered by the statute of limitations.  </w:t>
        <w:br/>
        <w:t xml:space="preserve">59. The Court of First Instance of the European Communities recently defined the notion of complex and continuous practice in its judgment BASF of December 12, 2007: “The qualification of certain unlawful acts constituting a single infringement or a plurality of infringements affects, in principle, the sanction that may be imposed, since the finding of a plurality of infringements may lead to the imposition of several distinct fines (…). The notion of a single infringement may relate to the legal qualification of anti-competitive behavior consisting of agreements, concerted practices, and decisions of associations of undertakings (…). It has been held that a case of violation of Article 81(1) EC could result from a series of acts or a continuous behavior that fell within an "overall plan" due to their identical object distorting competition within the common market” (CFI, December 12, 2007, BASF/UCB, Joined Cases T-101/05 and T-111/05, paragraphs 158 to 161). To fall under such a practice, the different elements of the infringement must present a sufficient link of complementarity “in the sense that each of them [is] intended to address one or more consequences of the normal functioning of competition, and [contribute], through interaction, to the realization of all the anti-competitive effects intended by their authors, within the framework of a global plan aimed at a single objective” (paragraph 179).  </w:t>
        <w:br/>
        <w:t xml:space="preserve">60. Regarding the same notion, the Court of First Instance specified: “In the context of a complex infringement, which involved several producers over several years pursuing a common objective of market regulation, one cannot require the Commission to precisely qualify the infringement, for each undertaking and at each given moment, as an agreement or concerted practice, since, in any event, both forms of infringement are covered by Article [81 EC].” (see in particular the judgment of March 20, 2002, HFB e.a./Commission, T-9/99, Rec. p. II - 1487, paragraph 186).  </w:t>
        <w:br/>
        <w:t xml:space="preserve">61. Similarly, the Court of Justice ruled: “A violation of Article 81(1) EC may result not only from a single act but also from a series of acts or from a continuous behavior. This interpretation cannot be contested on the grounds that one or more elements of this series of acts or this continuous behavior could also constitute in themselves and taken in isolation a violation of that provision. When the different actions fall within an "overall plan," due to their identical object distorting competition within the common market, the Commission is entitled to attribute responsibility for these actions based on participation in the infringement considered as a whole.” (judgment of September 21, 2006, NFVGEB/Commission, C-105/94 P, Rec. p. I - 8725).  </w:t>
        <w:br/>
        <w:t xml:space="preserve">62. Regarding the mention, in the statement of the complaint, of the “national market for temporary work,” it is established case law that the complaints stated must be interpreted by reference to the prior developments of the rapporteur (see in particular the judgment of the Paris Court of Appeal of February 18, 1997, ODA and CMS). It is clear from the body of the notification of complaints that it targeted not only practices concerning major accounts whose sites are spread across the entire national territory but also practices concerning the clientele of the “diffuse,” also spread across the entire national territory (see for example points 144, 147 which concern indistinctly both types of clientele). In these conditions, the reference to the “national market” clearly designates the geographical scope in which the pursued practices took place and not a particular “relevant market” for a certain clientele. It should be recalled in this regard that, concerning collusive practices,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 (see for example the decisions of the Council No. 07-D-41 of November 28, 2007, regarding practices observed during tenders for anatomical-cytopathological examinations and No. 05-D-27 of June 15, 2005, regarding practices noted in the white tuna sector or the judgment of the Court of First Instance of May 14, 1998, Enso Español/Commission, T - 348194, Rec. p. II - 1875, paragraph 322).  </w:t>
        <w:br/>
        <w:t xml:space="preserve">63. In light of the above, there was no ambiguity regarding the scope of the first complaint addressed to Manpower, which was reproached for its participation in a concerted practice that persisted, in various aspects, during the indicated period, with the same objective of avoiding competition on the prices of temporary work services in France.  </w:t>
        <w:br/>
        <w:t xml:space="preserve">3. REGARDING THE IMPARTIALITY OF THE INQUIRY AND ACCESS TO THE FILE  </w:t>
        <w:br/>
        <w:t xml:space="preserve">64. Manpower argues that the rapporteur may have drawn incriminating elements from documents extracted from the electronic mailboxes and computerized files seized from the workstations of Adecco and VediorBis managers during the inspection and seizure operations, insofar as these documents, although having been subject to “classification” under the protection of trade secrets, were subsequently “declassified” for the needs of the procedure. In contrast, exculpatory elements extracted from the same sources are, according to Manpower, likely to have remained “classified,” without the rapporteur taking the initiative to have them declassified and without her being able to take such an initiative due to her lack of knowledge of them. In this regard, Manpower criticizes the method of “classifying” the entire electronic mailbox of an employee on the grounds that it contains certain messages containing trade secrets. Manpower essentially explains that it would be more appropriate to classify only the messages that actually contain trade secrets, by providing the parties with a summary or a non-confidential version of these messages, and to leave the rest normally accessible.  </w:t>
        <w:br/>
        <w:t xml:space="preserve">65. However, it should be noted that Article L. 463-4 of the Commercial Code, which governs the protection of trade secrets in the context of proceedings before the Competition Council, together with Article L. 463-1 which states that “the inquiry and the procedure (…) are fully adversarial subject to the provisions of Article L. 463-4,” aims to reconcile the protection of trade secrets and the rights of the defense as much as possible. The principle retained is essentially that the protection of trade secrets must be ensured as long as it does not compromise the rights of the defense. Now, while an “incriminating” document must be accessible to the party to which it is opposed because, in this case, the right of the accused party to defend itself takes precedence over the protection of trade secrets claimed by the other parties, granting an accused party access to all documents for which another party has requested protection on the grounds that the former might find exculpatory elements would lead to no longer granting true protection to trade secrets, in contradiction with the letter and spirit of Article L. 463-4 of the Commercial Code. The rights of the defense, concerning the search for exculpatory elements, are reasonably assured by the possibility that the party wishing to put forward such elements has always had to draw them from its own “documentation” or from information not covered by the protection of trade secrets.  </w:t>
        <w:br/>
        <w:t xml:space="preserve">66. This balance point is enshrined in case law. In the judgment of January 24, 2006, Order of Lawyers at the Bar of Marseille, No. 05/14831 (rendered on appeal against decision No. 05-D-37 of July 5, 2005), the Paris Court of Appeal thus held that the principle of adversarial proceedings is respected as long as the documents on which the rapporteur bases his analysis are accessible to the parties to which they are opposed (see also the decision of the Competition Council No. 06-D-36 of December 6, 2006, regarding practices implemented by the civil society of means Imagerie médicale du Nivolet, paragraphs 50 and following). In the same vein, the judgment of the Paris Court of Appeal of January 30, 2007, “Le Foll TP e.a.,” No. 06/00566 (rendered on appeal against decision No. 05-D-69 of December 15, 2005), which was confirmed by the Court of Cassation in these terms:  </w:t>
        <w:br/>
        <w:t xml:space="preserve">“(...) the judgment notes that the complaints retained by the rapporteur are based on documents for which an inventory has been drawn up, which have been cited, included in the file, made available for consultation, and submitted to the contradiction of the parties, who, after the notification of the complaints, had the opportunity to present the means and produce the documents they deemed useful for the defense of their interests; that, in light of these findings and statements from which it deduces that the communication of documents emanating from the criminal procedure, obtained in accordance with the provisions of Article L. 463-5 of the Commercial Code, was not carried out in violation of the principle of equality of arms, the Court of Appeal did not disregard the invoked provisions.”  </w:t>
        <w:br/>
        <w:t xml:space="preserve">67. In this case, it was invoked that the rapporteur of the Council had drawn only incriminating elements from the criminal file of an investigating judge.  </w:t>
        <w:br/>
        <w:t>68. Regarding the specific case of electronic mailboxes, the Court of Cassation considers that, in view of the procedures for investigating infringements of competition rules, a mailbox constitutes a unique piece of evidence, even if it is only partially useful to the file (see Cass. Crim of December 12, 2007, No. 06-81907, Sita Centre Ouest). It is therefore legitimate to treat it as such under the protection of trade secrets in</w:t>
      </w:r>
    </w:p>
    <w:p>
      <w:r>
        <w:rPr>
          <w:b/>
        </w:rPr>
        <w:t>[Pages 22–24]</w:t>
      </w:r>
    </w:p>
    <w:p>
      <w:r>
        <w:t>be classified overall if a request is made in this sense, even if it is subsequently partially declassified, like any other document, for the needs of the procedure or the exercise of the rights of an accused party.</w:t>
      </w:r>
    </w:p>
    <w:p>
      <w:r>
        <w:t>69. Requiring access, as requested by Manpower, to all emails and attachments from the email account of a manager or sales executive of a competing company, which has been classified in its entirety under the protection of business secrets, effectively deprives this competitor of the protection provided by Article L. 463-4 of the Commercial Code, whereas, as indicated in paragraph 65, exculpatory elements can be drawn from other sources. Moreover, even regarding "paper" documents that have been individually classified under the protection of business secrets, the mere fact that their declassification is requested by a party does not lead to their automatic declassification; the president of the Competition Council or his delegated vice-president must assess, in the event of opposition from the party that obtained their classification, whether the declassification is necessary for the exercise of the applicant's rights, as provided for in Articles L. 463-4 and R. 463-15 of the Commercial Code. Therefore, even if the thousands of emails and attachments contained in email accounts were individualized for processing under the rules on the protection of business secrets, their declassification as elements that could be invoked in exculpation would not be automatic either. In any case, it must be noted that in this instance, Manpower did not even request the declassification of the emails in question.</w:t>
      </w:r>
    </w:p>
    <w:p>
      <w:r>
        <w:t>70. Finally, it should be clarified that the principle according to which the rapporteur must investigate both for and against means that the rapporteur must examine the file entrusted to him impartially in order to either formulate grievances or propose a dismissal, unless other procedural options are appropriate. In this regard, when he finds in the file, which includes not only the initial referral but also the investigative acts he may have carried out following this referral, evidence that he believes may demonstrate an anti-competitive practice, it is his role, unless a "commitments" procedure as provided for in I of Article L. 464-2 is envisaged, to formulate grievances. Contrary to what Manpower seems to suggest, it is not up to him but to the accused company to assert, in the legitimate exercise of its defense rights, that these grievances are unfounded. In cases where the procedure provides for the establishment of a report, the principle of investigation for and against must lead the rapporteur to reproduce the substance of the parties' observations in his report and to take a position on them, whether regarding the qualification of the practices or the criteria for any potential sanction, in order to enlighten the panel that will rule on these disputes.</w:t>
      </w:r>
    </w:p>
    <w:p>
      <w:r>
        <w:t>71. In this case, the rapporteur fully complied with this principle. In his report, he confirmed, for example, that certain indicators were, in his view, less compelling than others (see points 75 or 80) or that certain circumstances could mitigate the severity of the behaviors in question (see points 279 or 286), and presented different hypotheses for assessing the extent of the damage to the economy (see points 331, 339, 341 or 353 and following).</w:t>
      </w:r>
    </w:p>
    <w:p>
      <w:r>
        <w:t>72. To this extent, a second reproach made by Manpower regarding the manner in which the rapporteur conducted his investigation, namely that he systematically retained a unfavorable interpretation of the documents in the file and not other possible interpretations, cannot be accepted either. Manpower had the opportunity to contest the rapporteur's interpretations and to provide alternative explanations. It is up to the Council, within the framework of this decision, to determine which of these different interpretations it considers should be retained.</w:t>
      </w:r>
    </w:p>
    <w:p>
      <w:r>
        <w:t>73. Thirdly, Manpower reproaches the rapporteur for having interviewed a witness whose testimony, according to her, could only be unfavorable to the accused parties. Ms. M..., from the purchasing department of Alcan, responsible for the tender mentioned in paragraphs 43 and following of this decision, could, according to Manpower, only deny having transmitted information about the offers made by the various bidders, for fear of being reproached for such behavior.</w:t>
      </w:r>
    </w:p>
    <w:p>
      <w:r>
        <w:t>74. However, it follows from consistent case law that the rapporteur has discretion regarding the conduct of his investigations and is free to decide which hearings he considers useful for the investigation (see the ruling of the Court of Cassation of June 15, 1999, Lilly France). It is then up to the Council to rule, if necessary, on the value of a testimony retained by the rapporteur.</w:t>
      </w:r>
    </w:p>
    <w:p>
      <w:r>
        <w:t>75. Fourthly, Manpower argues that the rapporteur led certain parties to self-incriminate through the nature of his questions, a process which, according to established case law, is contrary to the rights of the defense (Manpower cites the ruling of the Court of Justice of the European Communities of October 18, 1989, Orkem/Commission, 374/87, Rec. p. 3283, the ruling of the Court of Cassation of June 3, 2008, Sony and Philips, nos G07-17147 and M07-17196, and the ruling of the Paris Court of Appeal of May 21, 1990, France loisirs, rendered on the appeal against decision no. 89-D-41).</w:t>
      </w:r>
    </w:p>
    <w:p>
      <w:r>
        <w:t>76. However, according to the cited case law, while the services of a competition authority cannot impose the obligation to provide answers by which the concerned company would be led to admit the infringement, they can require it to provide information on the facts or documents of which they are aware, as long as they do not exceed the limit mentioned previously.</w:t>
      </w:r>
    </w:p>
    <w:p>
      <w:r>
        <w:t>77. In this case, the fact that the rapporteur asked one of Manpower's managers for explanations regarding the words "major agreements" appearing, crossed out, on a sheet of paper seized from the company is criticized. Similarly, the fact that the rapporteur asked VediorBis for explanations regarding a note in which points of agreement, a common business approach, and the prospect of reaching an agreement were mentioned is also criticized. Nevertheless, such requests for explanations, legitimate from a rapporteur wishing to progress in the investigation of the file, do not call on companies to self-incriminate, unlike the questions that have been deemed contrary to the respect of the rights of the defense in the relevant rulings invoked by Manpower, which directly invited companies to state whether they had participated in anti-competitive agreements.</w:t>
      </w:r>
    </w:p>
    <w:p>
      <w:r>
        <w:t>78. Finally, Manpower criticizes, as infringing on the principle of contradiction and the rights of the defense, the fact that it was unable to access certain data concerning the activities of VediorBis, covered by a decision protecting business secrets, on which the rapporteur relied not only to assess the extent of the damage to the economy that may have been caused by VediorBis's behavior but also to assess by extrapolation the damage that may have resulted from Manpower's behavior. Manpower believes that it should have been able to verify the relevance of the assessment made based on VediorBis's data and reproaches the rapporteur for not having arranged for the declassification of this data for its benefit. Having itself requested such declassification, it emphasizes that by decision of July 4, 2008, no. 08-REFDEC-01, the vice-president of the Competition Council denied it. This argument will be addressed in the part of the decision dedicated to the extent of the damage to the economy.</w:t>
      </w:r>
    </w:p>
    <w:p>
      <w:r>
        <w:t>It follows from all of the above that the arguments put forward by Manpower regarding the non-respect of the principles of impartiality and contradiction must be dismissed.</w:t>
      </w:r>
    </w:p>
    <w:p>
      <w:r>
        <w:t>4. REGARDING THE LOYALTY OF DISCUSSIONS IN VIEW OF A POSSIBLE NON-CONTESTATION OF THE GRIEVANCES</w:t>
      </w:r>
    </w:p>
    <w:p>
      <w:r>
        <w:t>79. In the session, Manpower essentially argued that it considered renouncing contesting the grievances that were notified to it but that the discussions with the deputy general rapporteur, which it initiated in order to benefit from such a procedure, did not take place in a fair manner. He would have, between two meetings, changed his position regarding the magnitude of a sanction ceiling that he could have proposed to the Council, which would have led Manpower to have to abruptly revise its defense strategy, at the risk of penalizing it.</w:t>
      </w:r>
    </w:p>
    <w:p>
      <w:r>
        <w:t>80. To the extent that this argument does not overlap with the one related to the time frame for responding to the grievances (see paragraphs 53 and following above), it should be emphasized that the discussions prior to a possible non-contestation of the grievances as provided for in III of Article L. 464-2 of the Commercial Code necessarily present, until they are concluded, a certain degree of uncertainty, since it is based on the elements provided by the concerned party or parties that the general rapporteur can propose to the Council a more or less significant reduction of the sanction. Such discussions require consideration of information, not all of which is generally available from the outset, and it is natural for positions to clarify based on the exchanged information, especially in cases where, as in this instance, the party requested that the investigative services indicate what could be the magnitude of the highest sanction that could be imposed on it. In any case, as with any negotiation, positions are free until an agreement is signed, in the form of a joint statement of non-contestation of grievances signed by the concerned company and the general rapporteur, and caution requires considering from the outset the possibility of a non-conclusion.</w:t>
      </w:r>
    </w:p>
    <w:p>
      <w:r>
        <w:t>81. In this case, the elements put forward by Manpower are therefore insufficient to characterize a disloyal behavior of the investigative services that could have compromised its rights.</w:t>
      </w:r>
    </w:p>
    <w:p>
      <w:r>
        <w:t>B. ON THE MERITS</w:t>
      </w:r>
    </w:p>
    <w:p>
      <w:r>
        <w:t>1. ON THE APPLICATION OF COMMUNITY COMPETITION LAW</w:t>
      </w:r>
    </w:p>
    <w:p>
      <w:r>
        <w:t>82. According to the European Commission's guidelines regarding the notion of affecting trade as set out in Articles 81 and 82 of the Treaty (OJ C 101 of April 27, 2004), "Articles 81 and 82 of the Treaty apply to horizontal and vertical agreements and to abusive practices of companies that are likely to affect trade between Member States." For this effect to be taken into account, it must be capable of being significant.</w:t>
      </w:r>
    </w:p>
    <w:p>
      <w:r>
        <w:t>83. The question of the effect on intra-Community trade is a distinct and preliminary question to that of analyzing the restriction of competition. It is independent of the definition of the relevant geographic markets because trade between Member States can</w:t>
      </w:r>
    </w:p>
    <w:p>
      <w:r>
        <w:rPr>
          <w:b/>
        </w:rPr>
        <w:t>[Pages 25–27]</w:t>
      </w:r>
    </w:p>
    <w:p>
      <w:r>
        <w:t>be affected even in cases where the market is national or subnational. It is the agreement in question or the general strategy under review that must be capable of affecting trade between Member States, regardless of whether the different parts of the agreement are capable of doing so individually.</w:t>
      </w:r>
    </w:p>
    <w:p>
      <w:r>
        <w:t>84. Regarding agreements covering a single Member State, the guidelines specify that "horizontal agreements covering the entirety of a Member State are normally capable of affecting trade between Member States. Moreover, Community courts often consider that an agreement extending to the entire territory of a Member State has, by its very nature, the effect of reinforcing national barriers, thereby hindering the economic integration intended by the treaty. The capacity of these agreements to partition the internal market is due to the fact that, normally, companies participating in agreements in a single Member State must protect themselves against competitors from other Member States (...). In principle, these agreements can also, by their very nature, significantly affect trade between Member States, given the market coverage required to ensure the effectiveness of these agreements." The Competition Council considered in its decision No. 05-D-38 of July 5, 2005, that: "national cartels are by definition capable of affecting intra-Community trade as long as the cartel covers the entire national territory and is implemented by companies of international scope."</w:t>
      </w:r>
    </w:p>
    <w:p>
      <w:r>
        <w:t>85. It follows from the description of the temporary work sector made in paragraphs 3 and following that "large accounts" most often address operators of national dimension. The circumstances that led Mr. X... to refer the matter to the European Commission also show that at least in border regions, they may resort to temporary employment agencies established in other Member States of the Community, aiming, if necessary, to benefit from better pricing conditions that may arise from differences between the social legislation of these States and that of France and the implementation of the rules on the free provision of services stipulated in the EC Treaty.</w:t>
      </w:r>
    </w:p>
    <w:p>
      <w:r>
        <w:t>86. In this case, the practice in question is indeed of national scope: it has, by its very nature, the effect of reinforcing national barriers, thereby hindering the economic integration intended by the treaty (see in particular the judgment of October 17, 1972, Cementhandelaren, 8/72, Rec. P. 977, point 29 and the judgment of July 11, 1985, Remia e.a./Commission, 42/84, Rec. P. 2545, point 22). Given the position of the companies involved, this effect on intra-Community trade is significant (see in this sense points 52 and 53 of the European Commission's communication on guidelines relating to the notion of affecting trade as set out in Articles 81 and 82, indicating that above a cumulative market share of 5% or a cumulative turnover of more than 40 million euros, there is a presumption of significant effect on intra-Community trade). The parties involved have not presented any elements to overturn this presumption. Article 81 EC can therefore apply, in parallel, to Article L. 420-1 of the Commercial Code.</w:t>
      </w:r>
    </w:p>
    <w:p>
      <w:r>
        <w:t>2. ON THE MERITS OF THE NOTIFIED GRIEVANCES</w:t>
      </w:r>
    </w:p>
    <w:p>
      <w:r>
        <w:t>87. As already indicated, the companies Adia, Adecco, Groupe Vedior France, and VediorBis do not contest the grievance(s) that have been notified to them. They do not challenge either the materiality of the facts, their legal qualification under Community and national law, or their attribution. Therefore, the question of Manpower's participation in the alleged anti-competitive practices must be discussed, examining together the two grievances notified to the extent that the second of them has only been individualized to isolate the liability incurred by the company Adia, which is only implicated for the practice related to the Alcan tender.</w:t>
      </w:r>
    </w:p>
    <w:p>
      <w:r>
        <w:t>88. It follows from consistent decision-making practice and case law that "the proof of anti-competitive practices can result either from self-sufficient evidence or from a bundle of indicators constituted by the convergence of various elements collected during the investigation that may be drawn from one or more documents or statements and which, taken in isolation, may not have probative value." The indicators retained must constitute a bundle bringing together "serious, precise, and consistent" elements.</w:t>
      </w:r>
    </w:p>
    <w:p>
      <w:r>
        <w:t>89. Furthermore, a document regularly seized, regardless of where it was seized, is enforceable against the company that drafted it, the one that received it, and those mentioned therein and can be used as evidence of a concerted action or exchange of information between companies, if necessary by comparing it with other consistent indicators (Paris Court of Appeal, December 18, 2001, SA Bajus Transport; Court of Cassation, January 12, 1993, Sogea company).</w:t>
      </w:r>
    </w:p>
    <w:p>
      <w:r>
        <w:t>90. To contest having participated in the concerted practice referred to in the first grievance, Manpower argues, regarding numerous documents retained as probative by the investigation, that they are insufficient to demonstrate its involvement in an anti-competitive practice. More generally, it puts forward various elements aimed at illustrating that competition was maintained between itself and the other temporary employment agencies during the incriminated period.</w:t>
      </w:r>
    </w:p>
    <w:p>
      <w:r>
        <w:t>91. In response to this argumentation, which contests the probative value of each piece of evidence gathered in the file one by one, it will be replied that, even if a piece of the file may be insufficient taken in isolation to demonstrate the existence of an anti-competitive practice or the participation of a company in this practice, its interpretation in light of other pieces and the comparison of different pieces can lead to gathering the bundle of serious, precise, and consistent indicators necessary to demonstrate the infringement. Moreover, while it is true that in this case some pieces described in the notification of grievances appear insufficient to implicate Manpower in the denounced practice, notably because they may be subject to an interpretation not involving anti-competitive behaviors, others, whose examination follows, deserve to be analyzed one by one, confronting the conclusions reached by the investigation with the defense arguments put forward by Manpower.</w:t>
      </w:r>
    </w:p>
    <w:p>
      <w:r>
        <w:t>La Poste, Mory, FM Logistics, Sodexho</w:t>
      </w:r>
    </w:p>
    <w:p>
      <w:r>
        <w:t>92. The document cited in paragraph 35, internal to VediorBis, from early July 2003, shows that this company is informed that Manpower is to approach the client La Poste shortly (within the month) to explain that a reduction in the exemptions on low wages will lead to a price increase in September. The context of this message, which concerns relations with large companies engaged in transport and logistics (Geodis, La Poste, SNCF, FM Logistics), does not lend credibility to Manpower's objection that the abbreviation "Man ...", appearing in said message, may refer to another temporary employment company, Mantrans. The latter is indeed a medium-sized company, whose turnover in the years in question was around 20 million euros: it cannot be reasonably argued that it had the possibility to engage with La Poste's purchasing department to explain that the coefficients of temporary employment agencies must increase and that VediorBis was concerned about a common position with such a modest provider. On the contrary, the message shows that VediorBis is concerned about a common position with Manpower so that the client La Poste remains a fairly shared client, as long as its purchasing department does not "manage" market shares. Moreover, a subsequent document in the file (internal report from the logistics and commercial branch of VediorBis dated October 3, 2003, reference 1541) indicates "Manpower approached the purchasing department during the summer to propose a price increase on the pretext that the Fillon exemptions do not concern La Poste (...)". The mentions regarding Mory ("our colleagues have followed this same approach [to stop the end-of-year discount] for the same reasons") show both a coordination of commercial behaviors and the existence of exchanges of information between temporary employment agencies necessary for this: it was certainly not in Mory's interest to inform the temporary employment agencies of which it was a client that one or the other had stopped the payment of the end-of-year discount. In this regard, the explanation provided by Manpower, according to which Mory would have warned VediorBis as a deterrent to show that the approach was futile, is directly contradicted by the text of the message in question which indicates that there was no reaction from Mory's interlocutor.</w:t>
      </w:r>
    </w:p>
    <w:p>
      <w:r>
        <w:t>The mentions regarding FM Logistics ("we must be united on this renegotiation at the start of the school year"), Gefco ("again the discourse must be harmonized") and conversely that regarding Sodexho appearing in the document cited in paragraph 36 ("I do not have information from our competitors that are not very reliable on this file") demonstrate the frequent search and habit of coordination between VediorBis and its competitors regarding such or such large account. The message cited in paragraph 35 shows that this consultation could involve, among other things, how to pass on variations in social charge exemptions to prices, as well as another pricing element, the end-of-year discount.</w:t>
      </w:r>
    </w:p>
    <w:p>
      <w:r>
        <w:t>Areva</w:t>
      </w:r>
    </w:p>
    <w:p>
      <w:r>
        <w:t>93. The document cited in paragraph 37, also internal to VediorBis, contains the indication of market shares of Manpower, Adecco, and VediorBis with respect to Areva and shows that, in light of Areva's announced desire to reduce the number of its suppliers, VediorBis contacted Manpower ("the blues"). Even if it is not excluded that the market shares were estimated by VediorBis or provided by the client, the contact made with Manpower and the announcement of a new telephone appointment with it shortly before a meeting with the client show the habit, between VediorBis and Manpower, of discussing the offers made to a specific client. It does not matter in this regard whether the conversation concerned Areva's desire to reduce the number of its suppliers or the method used by Areva to launch its call for tenders, as Manpower claims, even though the document in question, which is a report to a hierarchical superior, which can be assumed to be exhaustive, only addresses the first question.</w:t>
      </w:r>
    </w:p>
    <w:p>
      <w:r>
        <w:t>The exemptions of the Fillon law, Alstom</w:t>
      </w:r>
    </w:p>
    <w:p>
      <w:r>
        <w:t>94. The document cited in paragraph 38, an internal report to VediorBis of discussions between the financial director of VediorBis and that of Adecco, shows that Manpower agrees to pool certain work to avoid a rapid pass-through to clients of advantages arising from a variation in social charge exemptions. The account of the discussion regarding Alstom shows that the three major temporary employment agencies coordinated regarding the credit to be granted to this client. Even if, as Manpower points out, such coordination took place in a context of uncertainties about the activity and financial health of the client, this coordination, outside any collective procedure, concerned an important element of competition: the authorized credit directly influences the share of...</w:t>
      </w:r>
    </w:p>
    <w:p>
      <w:r>
        <w:rPr>
          <w:b/>
        </w:rPr>
        <w:t>[Pages 28–30]</w:t>
      </w:r>
    </w:p>
    <w:p>
      <w:r>
        <w:t>market share of the supplier and the assessment of client risk is also an element of competition between operators.</w:t>
      </w:r>
    </w:p>
    <w:p>
      <w:r>
        <w:t>The CNP, EDF</w:t>
      </w:r>
    </w:p>
    <w:p>
      <w:r>
        <w:t>95. The document cited in paragraph 39, internal to VediorBis, shows that in the autumn of 2003, it had a common approach with Manpower to reduce the year-end discount granted to the CNP. It is indeed hard to imagine that the latter would inform VediorBis that Manpower has such claims while the "negotiation" is ongoing. Similarly, regarding the client EDF, VediorBis knows that Manpower has an appointment the following week and intends to propose an increase of 0.2 to 0.5% instead of the initially considered 0.8%. VediorBis indicates that it adjusts its own increase strategy according to the outcome. Again, it is implausible that such information comes from EDF itself. The coordination in question, involving Manpower, directly concerns pricing elements.</w:t>
      </w:r>
    </w:p>
    <w:p>
      <w:r>
        <w:t>The "feeling," Essilor, Servair</w:t>
      </w:r>
    </w:p>
    <w:p>
      <w:r>
        <w:t>96. The document cited in paragraph 40, from March 2004, internal to Adecco, which reports on relations with Manpower and VediorBis, first indicates that VediorBis and Manpower expressed a "feeling." However, it is difficult to imagine that this feeling, which corresponds to the dissatisfaction of seeing Adecco being too aggressive, could have been expressed to clients who would have relayed it to Adecco. It was therefore clearly expressed to Adecco's managers by those from VediorBis and Manpower. In this regard, in "response," the sales manager of Adecco indicates, concerning the client Essilor, that Manpower has each year supported the desire to limit the decrease and mentions the name of the sales manager of Manpower. At the very least, this is an indication of an exchange of information regarding the pricing strategy followed. Regarding the client Servair, the message then mentions a solidarity between VediorBis and Manpower, the former having clearly agreed not to "undercut prices," thus renouncing to regain a share with this client. Given these elements, the phrase "no negotiation where I had to lower without consultation," appearing at the beginning of the message in question, clearly refers to consultations with VediorBis and Manpower and not to the fact, as claimed by Manpower, that Adecco would have "struggled" with clients when they requested price reductions.</w:t>
      </w:r>
    </w:p>
    <w:p>
      <w:r>
        <w:t>Feedback from Adecco's regional management</w:t>
      </w:r>
    </w:p>
    <w:p>
      <w:r>
        <w:t>97. The document cited in paragraph 41, from the same day as the previous one, confirms the consultations between Adecco managers and, in particular, those of Manpower.</w:t>
      </w:r>
    </w:p>
    <w:p>
      <w:r>
        <w:t>Routing and marketing</w:t>
      </w:r>
    </w:p>
    <w:p>
      <w:r>
        <w:t>98. The document cited in paragraph 42 is of the same order. It explicitly states a defensive agreement between Adecco and Manpower to jointly counter a competitor regarding the client Routing and Marketing.</w:t>
      </w:r>
    </w:p>
    <w:p>
      <w:r>
        <w:t>Alcan</w:t>
      </w:r>
    </w:p>
    <w:p>
      <w:r>
        <w:t>99. The document cited in paragraph 43, from May 2004, demonstrates coordination on prices between Adecco, Adia, VediorBis, and Manpower in the context of responding to a tender issued by Alcan. It is a handwritten note from the CEO of Adecco. It thus establishes the involvement of high-level managers. The indication "On Monday evening, everyone is there, we compare our prices," followed by the mention of the coefficients of Vedior, Adia, Manpower, and Adecco respectively, leaves no doubt about the agreement of the four temporary employment agencies. In this regard, contrary to what Manpower states, the expression "everyone is there" is not compatible with a solely bilateral meeting between Adecco and Adia, especially since this had already taken place on Monday morning. The indications at the beginning of the note "we are okay to coordinate our prices with the others. We talk, but I can't hear you if you don't coordinate with Adia (2nd round) → I'm trying to get JES [Jean-Etienne L..., head of major accounts at Adia] to confirm his prices (...)" allow us to understand that Manpower and VediorBis agree to consult with Adecco, but on the condition that Adia, Adecco's sister subsidiary and ostensibly independent candidate for the tender, plays the same game. The indications provided by Ms. Vanessa M..., from Alcan's purchasing department, reproduced in paragraph 44, are fully consistent with this sequence of events. It shows that, initially, Adia proposed a better coefficient than the other three temporary employment agencies for the main category of personnel requested by Alcan (1.86 compared to 1.87 to 1.89). Ms. M... asked the temporary employment agencies to make an effort, and following the consultation, Adia raised its price. Adecco and Manpower slightly lowered theirs, while VediorBis raised it somewhat. After the Monday evening meeting, Adecco, realizing that it was 1% off from VediorBis, adjusted its price to that of the latter, presumably to avoid penalizing the group while Adia was also above VediorBis. Ultimately, the four operators made a proposal that was within 0.25% of each other. The absence of doubt regarding the interpretation of the note from Adecco's CEO, confirmed by the additional factual elements provided by Ms. M..., makes the assertions put forward by Manpower regarding its testimony, according to which this Alcan employee would have hidden having transmitted the level of their competitors' offers to the various bidders, out of fear of being accused of facilitating an anti-competitive agreement, highly implausible.</w:t>
      </w:r>
    </w:p>
    <w:p>
      <w:r>
        <w:t>Manpower's pricing policy as seen by Adecco</w:t>
      </w:r>
    </w:p>
    <w:p>
      <w:r>
        <w:t>100. The internal emails at Adecco, from September 2004, mentioned in paragraph 45, indicate the existence of ongoing contacts with Manpower and an agreement not to "undercut prices" (otherwise, it is unclear why Adecco would bother to respond to Manpower). These elements reveal that a certain competition between the operators is maintained, but it contravenes a previously decided course of action.</w:t>
      </w:r>
    </w:p>
    <w:p>
      <w:r>
        <w:t>Mobile phone numbers</w:t>
      </w:r>
    </w:p>
    <w:p>
      <w:r>
        <w:t>101. The document mentioned in paragraph 46, extracted from the notes of Manpower's sales director in the spring of 2004, shows that he has the mobile phone numbers of most of VediorBis's branch managers. In the absence of any explanation from Manpower in this regard, which essentially states that it is not prohibited to have the contact details of competitors, this document should be considered as an indication, albeit insufficient on its own, but revealing when compared with other documents in the file, of detailed and frequent consultations between Manpower and VediorBis. Not only does Manpower's sales director have mobile phone numbers, which indicates a request, accepted by VediorBis, to be able to quickly and directly contact the relevant counterparts without filtering, but he also has the contact details of operational branch managers who are unlikely to be interlocutors for discussing general industry issues.</w:t>
      </w:r>
    </w:p>
    <w:p>
      <w:r>
        <w:t>Eiffage</w:t>
      </w:r>
    </w:p>
    <w:p>
      <w:r>
        <w:t>102. The document cited in paragraph 47, from June 2004, internal to Manpower, explicitly states a consultation with Adecco and VediorBis to jointly address the demands of the client Eiffage, particularly concerning a penalty regime for delays. The clauses of commercial contracts are part of the competitive elements in a market, and a consultation on such an aspect is therefore anti-competitive, as it partially undermines competition on prices.</w:t>
      </w:r>
    </w:p>
    <w:p>
      <w:r>
        <w:t>PPR and Galeries Lafayette</w:t>
      </w:r>
    </w:p>
    <w:p>
      <w:r>
        <w:t>103. The document cited in paragraph 48, reporting a meeting of Manpower's sales managers in September 2004, clearly shows that Manpower and VediorBis normally have "protected" clients (Galeries Lafayette for VediorBis and Pinault Printemps Redoute for Manpower), or at least "protected" market shares with certain clients, and that the violation of protected spaces provokes strong reactions and threats of retaliation.</w:t>
      </w:r>
    </w:p>
    <w:p>
      <w:r>
        <w:t>104. Finally, the document cited in paragraph 49, internal to Manpower, also shows that while the operator maintains some competition with the Adecco group, it exchanges confidential information with it ("latest info from Adecco"), concerning both Adecco's offers and those of Adia.</w:t>
      </w:r>
    </w:p>
    <w:p>
      <w:r>
        <w:t>105. The documents analyzed above, taken as a whole, constitute a set of serious, precise, and consistent indications of Manpower's participation in a concerted practice with Adecco and VediorBis aimed at avoiding price competition concerning major account clients, through anti-competitive information exchanges or more or less advanced discussions on the elements of commercial negotiation with their "major account" clients. The fact, invoked by Manpower, that this concerted practice was not always perfectly implemented does not call into question its existence. The circumstance, also raised, that competition was maintained on certain aspects of the commercial policy or that certain clients were genuinely contested by the temporary employment agencies is also not sufficient to overturn the demonstration, supported by the documents cited and analyzed above, of the alleged infringement.</w:t>
      </w:r>
    </w:p>
    <w:p>
      <w:r>
        <w:t>106. On the other hand, the elements in the file are too imprecise or isolated to establish that the practice described above extended beyond major accounts to involve, as alleged in the statement of objections, the "diffuse" clientele. Similarly, they do not demonstrate the involvement of the company Groupe Védior France, the holding company of the group, in the design or implementation of the identified anti-competitive practice.</w:t>
      </w:r>
    </w:p>
    <w:p>
      <w:r>
        <w:t>107. It follows from all of the above that the grievances notified to the recipient companies, with the exception of the company Groupe Védior France, are established for having participated, in the sole market of major accounts, in a concerted practice aimed at avoiding competition on prices, through anti-competitive information exchanges or more or less advanced discussions on the elements of commercial negotiation with their "major account" clients.</w:t>
      </w:r>
    </w:p>
    <w:p>
      <w:r>
        <w:t>C. ON THE FOLLOW-UP TO BE GIVEN</w:t>
      </w:r>
    </w:p>
    <w:p>
      <w:r>
        <w:t>108. Article L. 464-2 of the Commercial Code provides in particular:</w:t>
      </w:r>
    </w:p>
    <w:p>
      <w:r>
        <w:rPr>
          <w:b/>
        </w:rPr>
        <w:t>[Pages 31–33]</w:t>
      </w:r>
    </w:p>
    <w:p>
      <w:r>
        <w:t>« [the Competition Council] may impose a monetary penalty (...). Monetary penalties are proportionate to the seriousness of the alleged facts, the extent of the damage caused to the economy, the situation of the sanctioned organization or company or the group to which the company belongs, and any possible repetition of practices prohibited by this title. They are determined individually for each sanctioned company or organization and are justified for each penalty. (...) The maximum amount of the penalty is, for a company, 10% of the highest amount of the worldwide turnover excluding taxes achieved during one of the financial years closed since the financial year preceding the one in which the practices were implemented. If the accounts of the concerned company have been consolidated or combined under the applicable regulations for its legal form, the turnover taken into account is that appearing in the consolidated or combined accounts of the consolidating or combining company. The Competition Council may order the publication, dissemination, or display of its decision or an excerpt thereof according to the modalities it specifies.</w:t>
      </w:r>
    </w:p>
    <w:p>
      <w:r>
        <w:t>109. In this case, it must also be taken into account that Adecco, Adia, and VediorBis did not contest the allegations within the framework of the implementation of the provisions of III of Article L. 464-2 of the Commercial Code, as indicated in paragraph 51. The legal ceiling for the penalty is, for these companies, reduced by half.</w:t>
      </w:r>
    </w:p>
    <w:p>
      <w:r>
        <w:t xml:space="preserve">110. The following will be examined successively to assess the amount of the penalty: </w:t>
        <w:br/>
        <w:t xml:space="preserve">- the seriousness of the established practices, </w:t>
        <w:br/>
        <w:t xml:space="preserve">- the extent of the damage to the economy they caused, </w:t>
        <w:br/>
        <w:t xml:space="preserve">- any repetition of previous offenses, </w:t>
        <w:br/>
        <w:t>- the individual situation of the companies involved.</w:t>
      </w:r>
    </w:p>
    <w:p>
      <w:r>
        <w:t>1. ON THE SERIOUSNESS OF THE ESTABLISHED PRACTICES</w:t>
      </w:r>
    </w:p>
    <w:p>
      <w:r>
        <w:t>111. The established practices took multiple forms and were reflected, as indicated above in paragraph 105, by discussions and more or less advanced coordination depending on the cases, concerning various parameters of the commercial relationship between EU and ETT in order to avoid price competition regarding the clientele of major accounts. In some cases, it could go as far as direct agreements on price in the context of responses to calls for tenders, as illustrated by the facts related to the Alcan tender. These price agreements during calls for competition are among the most serious anti-competitive practices. However, coordination on elements also contributing to price formation, such as year-end discounts or conditions for passing on to clients reductions in social charges decided by the Government, also constitutes a serious practice. In particular, the lower pass-through to EU of the reductions in charges that resulted from the consultation not only increased the cost of using temporary labor for EU but also led to a confiscation by the involved ETT of part of the public budgetary effort undertaken to reduce unemployment. The examination of the file also showed that the ETT participating in the practice tried to maintain their respective market shares with certain major clients by coordinating (La Poste, Alstom, Galeries Lafayette, Pinault Printemps Redoute), or even to maintain their overall positions at the regional or national level (documents cited in paragraphs 40, 41, and 42). Such consultations are also among the practices whose seriousness is regularly emphasized by the Competition Council.</w:t>
      </w:r>
    </w:p>
    <w:p>
      <w:r>
        <w:t>112. Certainly, taken in isolation, some contacts between the operators targeted by the first allegation had a lesser degree of seriousness, such as those that allowed them to exchange general information about their activity or their policy towards a particular client. However, these are exchanges of information that normally fall under business secrets, which are part of a context of general coordination to limit price competition, and not exchanges of information disconnected from any other anti-competitive practice, as VediorBis may have implied.</w:t>
      </w:r>
    </w:p>
    <w:p>
      <w:r>
        <w:t>113. Considered as a whole, the practice in question, by its nature, thus presents a certain degree of seriousness. Regarding its duration, it is demonstrated from March 2003 to November 2004, the date on which the search and seizure operations were carried out, i.e., for twenty-one months, which is not a very long duration for this kind of practice.</w:t>
      </w:r>
    </w:p>
    <w:p>
      <w:r>
        <w:t>114. The companies put forward various arguments to mitigate the seriousness of their actions. They argue that the denounced practice was poorly organized, that it was implemented largely randomly and without specific objectives, and that the coordination only concerned certain parameters of the commercial relationships with clients, thus leaving competition open on many aspects and with regard to a very large number of clients. Manpower, as well as Adecco and Adia, emphasize that the practice had no exclusionary effect on non-involved ETT and provide examples of some of them whose activity significantly developed during the concerned period. Adecco and Adia further argue that the three major temporary work groups, even taken together, do not have strong market power, as most major accounts themselves have significant negotiating power. Moreover, both other ETT and certain service providers in areas such as engineering, IT, or accounting would exert fierce competition. Adecco and Adia also argue that the complexity of the developments in the social employment aid policy required large ETT to have contacts among themselves and that this circumstance should be considered as a mitigating circumstance.</w:t>
      </w:r>
    </w:p>
    <w:p>
      <w:r>
        <w:t>115. The Council admits that some of the circumstances put forward may have led to the practice having less significant anti-competitive effects than in other cases. Nevertheless, in light of the assessment of the incriminated behaviors as exposed in paragraphs 111 to 113, these circumstances can hardly mitigate their seriousness. If the concerted practice had led to a more complete and systematic coordination of the ETT involved, we would have been faced with a true cartel, the most serious form of anti-competitive collusion. Furthermore, regarding a given practice, as the Competition Council has already emphasized, "the maintenance of a certain competition in the market, when proven, is not an element that justifies a mitigation of the seriousness [of the practice]" (see decision No. 07-D-21 of June 26, 2007, regarding practices implemented in the sector of rental and maintenance of linen, paragraph 94). Similarly, the existence of market power that could be exercised by clients cannot justify a collusive practice nor mitigate its seriousness. The Council has already ruled on this point in decision No. 02-D-57 of September 19, 2002, regarding a collusion in the ball bearings sector. It stated: "even if proven, the purchasing power of distributors cannot justify manufacturers coordinating to align their price increases." This assessment was not challenged by the Paris Court of Appeal in its ruling of June 17, 2003, rendered on the appeal against this decision. Moreover, the fact that some other operators may have developed during the concerned period is hardly relevant in this case since the three temporary work groups involved represent about 90% of the provision of the concerned services to the "major accounts" clientele. Furthermore, as exposed in paragraph 20, the share of independent ETT from the three groups has, from 1999 to 2005 and across all activities, decreased by 4.3%. Finally, while the complexity of the developments in government social policy may occasionally require clarifications on the interpretation of new provisions, it cannot in any case justify coordination on the consequences to be drawn in terms of price, as in this case.</w:t>
      </w:r>
    </w:p>
    <w:p>
      <w:r>
        <w:t>116. Regarding this last aspect, undermining public policies is serious. Numerous reports, such as the one written by Mr. Edmond Malinvaud in 1998, have emphasized the importance of reductions in social charges on low wages to reduce the cost of labor in France. As indicated by P. Cahuc and A. Zylberberg: "In 2004, France allocated 17 billion euros, or nearly 1.2% of its GDP, to measures for reducing social contributions on low and medium wages. This is the most significant item of all employment policies. France was the first country to initiate such measures in 1993, followed shortly by Belgium and the Netherlands. The ambition of these measures is to lower the cost of labor so that companies increase their hiring." In this regard, disrupting the incentive effects of employment policies can lead, beyond the direct impact on the labor market, to a negative budgetary impact: indeed, the decrease (or lesser increase) in employment reduces the social contributions collected and increases the replacement incomes that must be paid to those who are not working. Any practice likely to diminish the effects of reductions in charges and to increase the cost of labor for EU is thus counterproductive in a context of combating unemployment and prioritizing economic growth.</w:t>
      </w:r>
    </w:p>
    <w:p>
      <w:r>
        <w:t>117. At this stage, it should be specified that the different companies that participated in the practice subject to the first allegation must be considered as having behaved with comparable seriousness. These companies all belong to large international groups, and no element in the file shows that any of them was forced to follow this practice, or conversely, that it was more specifically the instigator or guardian of it. Similarly, the elements of the file do not show that any of the companies involved only participated marginally. As for Adia, the only recipient in an "autonomous" capacity of the second allegation, it is only concerned here by a specific practice, but it is a particularly serious practice of deception of a client regarding the reality of competition, by participating in a direct agreement on price.</w:t>
      </w:r>
    </w:p>
    <w:p>
      <w:r>
        <w:t>118. In terms of assessing the seriousness of the behaviors in question, it is also necessary to examine a particular circumstance related to VediorBis, which could be aggravating. The investigation indeed argued that the Vedior group had retaliated against Mr. X..., its former employee who reported to the European Commission the practices that led to this case. In substance, Mr. X..., who had already lost his job within the Vedior group due to the impossibility of developing cross-border activity from Luxembourg, which he had initially been in charge of, would subsequently have lost a new job within an entity of the audit group Deloitte, also based in Luxembourg, under pressure from Vedior, whose accounts Deloitte audited.</w:t>
      </w:r>
    </w:p>
    <w:p>
      <w:r>
        <w:rPr>
          <w:b/>
        </w:rPr>
        <w:t>[Pages 34–36]</w:t>
      </w:r>
    </w:p>
    <w:p>
      <w:r>
        <w:t>regard, Mr. X... provided the Competition Council with internal documents from Deloitte, obtained through legal proceedings in the Netherlands, which could support this thesis.</w:t>
      </w:r>
    </w:p>
    <w:p>
      <w:r>
        <w:t>119. The Competition Council considers that the existence of reprisals exercised by a company or at the instigation of a company against a person, possibly one of its employees or former employees, who has reported anti-competitive behavior to a competition authority can, in theory, constitute an aggravating factor, which should be taken into account for any potential sanction imposed on that company, regardless of the legal actions that the person subject to these reprisals may initiate themselves. Such reprisals aim, beyond the aspect of vengeance they may involve, to hinder the action of public authorities in the search for infringing behaviors by deterring individuals who might do so from reporting such behaviors, which are often very detrimental to the public interest.</w:t>
      </w:r>
    </w:p>
    <w:p>
      <w:r>
        <w:t>120. However, in this case, without needing to rule on the probative nature of the documents provided by Mr. X... to demonstrate that he was the subject of reprisals from the Vedior group due to his reporting to the European Commission of the facts that initiated this case, it must be noted that these documents are insufficient to specifically implicate the two companies of the group to which grievances have been notified in the context of this procedure, namely Groupe Vedior France and VediorBis. Under these conditions, there is no need to consider any particular aggravating circumstance for these two companies.</w:t>
      </w:r>
    </w:p>
    <w:p>
      <w:r>
        <w:t>2. ON THE IMPORTANCE OF DAMAGE TO THE ECONOMY</w:t>
      </w:r>
    </w:p>
    <w:p>
      <w:r>
        <w:t>121. The concerted practice referred to in the first grievance had as its essential objective to avoid competition through pricing. While it had the actual effect, at the very least, of reducing price competition among the three main temporary work operators in France, it resulted in three types of direct harmful consequences for the economy: a transfer of profit from user companies to temporary work companies, a reduced reliance on temporary work due to the increase in its cost for user companies, and finally, a loss of income for temporary workers who were not employed.</w:t>
      </w:r>
    </w:p>
    <w:p>
      <w:r>
        <w:t>122. As one of the criteria for the sanction that can be imposed on the perpetrator of an anti-competitive practice, the damage to the economy resulting from this practice does not need to be quantified precisely. Indeed, Article L. 464-2 of the Commercial Code only refers to "the importance" of the damage to the economy. Furthermore, this damage cannot be limited to the only direct and monetary consequences previously mentioned.</w:t>
      </w:r>
    </w:p>
    <w:p>
      <w:r>
        <w:t>123. In this regard, in a ruling dated January 10, 1995, Société SOGEA, the Court of Cassation approved the Paris Court of Appeal for having recalled that "the damage to the economy is presumed by law as soon as the existence of an agreement is established." In a ruling dated January 24, 1995, it further approved the Court of Appeal for having found that during the period from 1988 to 1991, long-standing practices had prevented the normal functioning of price competition for the relocations of sailors from the national navy. It considered that the Court of Appeal therefore did not need to investigate what the influence of these practices had been on the price of relocations.</w:t>
      </w:r>
    </w:p>
    <w:p>
      <w:r>
        <w:t>124. The Paris Court of Appeal, for its part, recalled, in a ruling dated January 13, 1998 (Fougerolle Ballot), that "the damage caused to the economy is independent of the damage suffered by the project owner due to the collusion between several bidding companies and is assessed based on the direct hindrance to the free play of competition."</w:t>
      </w:r>
    </w:p>
    <w:p>
      <w:r>
        <w:t>125. In a ruling dated December 12, 2000 (Sogea Sud Est), the Court of Appeal further noted that "these anti-competitive practices that characterize damage to the economy are reprehensible solely by their existence, as they constitute a deception regarding the reality of competition which they distort, notwithstanding the circumstance that the exchange of information between companies on prices was followed by an award lower than the estimates of the project manager (...)."</w:t>
      </w:r>
    </w:p>
    <w:p>
      <w:r>
        <w:t>126. Finally, in a ruling dated October 8, 2008 (SNEF), it emphasized that "the damage to the economy referred to by the above provisions of Article L. 462-4 of the Commercial Code is not limited to the harm potentially suffered by the project owner and is assessed based on the general disruption caused to the normal functioning of markets by the practices in question (...)." In this ruling, the Court of Appeal approved the Competition Council for having imposed a monetary sanction on a company that had conspired with another to respond to a call for tenders, which was significantly higher than the amount of the contract, even though the latter had been awarded to a third company that had proposed a lower price than that offered by the concerned company.</w:t>
      </w:r>
    </w:p>
    <w:p>
      <w:r>
        <w:t>127. However, it may be useful, particularly for the parties involved, to propose an order of magnitude of the direct consequences mentioned in paragraph 121. In this regard, the parties have put forward different estimates based on different hypotheses, which have been discussed by the Council's investigation services.</w:t>
      </w:r>
    </w:p>
    <w:p>
      <w:r>
        <w:t>128. These discussions led to considerations regarding the elements to be taken into account to evaluate, primarily, the overprice paid by user companies, that is to say, the gap between the price actually charged and the price that would have prevailed in the absence of the concerted practice. Such an evaluation could, in principle, be made by comparing the prices charged during the period in which the incriminated practices were implemented and during which they still had effects, with the prices that would have been charged in the absence of these practices. However, this reference situation, referred to as "counterfactual" by economists, is hypothetical, and it is therefore necessary to assess to what extent observed situations can represent it.</w:t>
      </w:r>
    </w:p>
    <w:p>
      <w:r>
        <w:t>Regarding the method of comparison with a reference situation, Adecco on one hand and Groupe Vedior France on the other hand, provided economic studies conducted respectively by the firms LECG and RBB Economics. These studies are based on detailed data from the activities of the concerned operators. They were supplemented in response to the report and during the discussions in session.</w:t>
      </w:r>
    </w:p>
    <w:p>
      <w:r>
        <w:t>129. In both studies, factors that may have influenced the sales coefficients independently of the concerted practice are considered through the introduction of cost indicators into the regressions. This allows not to attribute to the practice the effects of elements independent of it. Then, the estimates focus on intra-individual price variations (and intra-qualification in the case of the RBB study), that is to say, on price variations after taking into account the individual characteristics of clients (and the professional qualifications of temporary positions in the case of the RBB study). The evolution of the composition of the clientele of each temporary employment agency (and the qualifications used in the case of RBB) is thus neutralized in the assessment of the average price differences observed between the actual situation and that which represents the counterfactual.</w:t>
      </w:r>
    </w:p>
    <w:p>
      <w:r>
        <w:t>130. The LECG firm retained as reference periods the years 2001-2002, on one hand, and the years 2005-2007, on the other hand, which thus frame the years 2003 and 2004 during which the concerted practice is demonstrated. In response to the report, it also presented a hypothesis taking as reference period only the years 2001 and 2007, further removed from the identified practice. Its estimates only concerned the activity related to the major accounts of temporary work companies.</w:t>
      </w:r>
    </w:p>
    <w:p>
      <w:r>
        <w:t>131. For its part, the RBB firm alternately retained as reference periods the years 2005-2007 or the sole year 2007 concerning major accounts, but also included as a reference the activity concerning "diffuse" clients over the period 2003-2007. The joint use of these two references to represent the same counterfactual is referred to as the "double difference method."</w:t>
      </w:r>
    </w:p>
    <w:p>
      <w:r>
        <w:t xml:space="preserve">132. Given these elements, Adecco on one hand, and Groupe Vedior France and VediorBis on the other hand, estimated the overprices and the superprofits concerning their respective "major accounts" activities.  </w:t>
        <w:br/>
        <w:t xml:space="preserve">Adecco:  </w:t>
        <w:br/>
        <w:t xml:space="preserve">Table I: Estimates made with the data provided by Adecco  </w:t>
        <w:br/>
        <w:t xml:space="preserve">(major accounts only)  </w:t>
        <w:br/>
        <w:t xml:space="preserve">Scenario 1: the years 2001-2002 and 2005-2007 serve as reference  </w:t>
        <w:br/>
        <w:t xml:space="preserve">2003 2004 2005 2006 Total  </w:t>
        <w:br/>
        <w:t xml:space="preserve">Overprice (in %) 0.4 0.4 0 0  </w:t>
        <w:br/>
        <w:t xml:space="preserve">Superprofit (in M€) 8 8.7 0 0 16.7  </w:t>
        <w:br/>
        <w:t xml:space="preserve">Scenario 2: the years 2001 and 2007 serve as reference  </w:t>
        <w:br/>
        <w:t xml:space="preserve">2003 2004 2005 2006 Total  </w:t>
        <w:br/>
        <w:t xml:space="preserve">Overprice (in %) 0.6 0.4 0.2 0  </w:t>
        <w:br/>
        <w:t>Superprofit (in M€) 13 8.7 4.5 0 26.2</w:t>
      </w:r>
    </w:p>
    <w:p>
      <w:r>
        <w:rPr>
          <w:b/>
        </w:rPr>
        <w:t>[Pages 37–39]</w:t>
      </w:r>
    </w:p>
    <w:p>
      <w:r>
        <w:t>VediorBis:</w:t>
        <w:br/>
        <w:t>Table II: Estimated surcharges and superprofits based on VediorBis data</w:t>
        <w:br/>
        <w:t>Scenario 1: The years 2005-2007 and the segment of "diffus" serve as reference</w:t>
        <w:br/>
        <w:t>2003 2004 2005 2006 Total</w:t>
        <w:br/>
        <w:t>Surcharge and superprofit No No</w:t>
        <w:br/>
        <w:t>0 0 0</w:t>
        <w:br/>
        <w:t>significant significant</w:t>
        <w:br/>
        <w:t>Scenario 2: The year 2007 and the segment of "diffus" serve as reference</w:t>
        <w:br/>
        <w:t>2003 2004 2005 2006 Total</w:t>
        <w:br/>
        <w:t>Surcharge (in %) 0.185 0.185 0.185 0.185</w:t>
        <w:br/>
        <w:t>Superprofit (in M€) 2 2.3 2.6 2.7 9.6</w:t>
      </w:r>
    </w:p>
    <w:p>
      <w:r>
        <w:t>133. However, some of the assumptions made are questionable. On the one hand, the reference to the activity concerning the clientele classified as "diffus" must be set aside. The double difference method is based on the assumption that the markets being compared react similarly to changes in the environment (for example, shocks affecting demand or costs). This is why practitioners who use this method, particularly to estimate the economic impact of anticompetitive situations, recommend comparing markets with similar characteristics. They expressly advise against comparing markets where the number of players and the functioning of competition are very different. This caveat fully applies to the segments of "diffus" clients and major accounts: the parties themselves rightly emphasize the major structural differences between these two segments, regarding the number of players present, the type of competition (local and national), pricing mechanisms, etc. All these differences, which result in significant disparities in margins, sales coefficients, billed hours, contract duration, prohibit the application of the double difference method to the segments of major account clients and "diffus" clients.</w:t>
      </w:r>
    </w:p>
    <w:p>
      <w:r>
        <w:t>134. On the other hand, the years 2005 and 2006 were clearly disrupted by an inertia effect of the concerted practice, making them unsuitable for inclusion in a reference period. Contracts concluded with major accounts while the demonstrated anticompetitive practice was ongoing (March 2003 – November 2004) continued to be executed in 2005 and 2006. Contracts with Alcan, for example, which were negotiated during the agreement referred to in the second grievance, had a duration of eighteen months starting on July 1, 2004. In the session, in response to a question from the president, the representative of Manpower indicated that in 2005, 39% of the contracts in force with major accounts had been concluded during the period of the incriminated facts, and that in 2006, this share was still 13%. The representative of Adecco stated that the "major account" contracts of his company average two years and that only 15 to 20% are subject to early renegotiation. The representative of VediorBis indicated, for an average contract duration, an early renegotiation share of about 30%.</w:t>
      </w:r>
    </w:p>
    <w:p>
      <w:r>
        <w:t>135. The reference to the years 2001 and 2002, proposed by Adecco, which is the only one with data relating to that period, is debatable. Indeed, no factual element in the file allows excluding that similar practices were not in place before 2003. The years prior to this date could therefore distort the analysis. The same argument applies, in principle, to the years following 2004, except that an external event occurred at the end of November 2004 that could have put an end to the practice: the investigations by the investigative services. Ongoing contracts may nevertheless have continued to be affected, but, as mentioned above, their duration rarely exceeds two years. It follows that, among all possible representations of the counterfactual, the year 2007 seems the most appropriate. This is why the Council's investigative services estimated the effects of the practice using the same methodologies as those employed by Adecco and VediorBis, based on the data provided by these companies, but taking as a reference situation the activity concerning major accounts during the year 2007 alone. The results of the estimates are reported in the following tables:</w:t>
      </w:r>
    </w:p>
    <w:p>
      <w:r>
        <w:t>Adecco</w:t>
        <w:br/>
        <w:t>Scenario 3: The year 2007 serves as reference</w:t>
        <w:br/>
        <w:t>2003 2004 2005 2006 Total</w:t>
        <w:br/>
        <w:t>Surcharge (in %) 1.4 1.1 0.8 Not significant</w:t>
        <w:br/>
        <w:t>Superprofit (in M€) 28.6 24.6 19 Not significant 72</w:t>
      </w:r>
    </w:p>
    <w:p>
      <w:r>
        <w:t>Vedior</w:t>
        <w:br/>
        <w:t>Scenario 3: The year 2007 serves as reference</w:t>
        <w:br/>
        <w:t>2003 2004 2005 2006 Total</w:t>
        <w:br/>
        <w:t>Surcharge (in %) 0.866 0.663 0.251 0.155</w:t>
        <w:br/>
        <w:t>Superprofit (in M€) 10 8.3 3.5 2.3 24.1</w:t>
      </w:r>
    </w:p>
    <w:p>
      <w:r>
        <w:t>136. Without taking a position on the different hypotheses (while excluding those that refer to the years 2005 and 2006 for the reasons previously stated), it can be noted that the estimates concerning Adecco's superprofit range from approximately 26 million euros (scenario 2, LECG) to 72 million euros (scenario 3, investigative services) and that those concerning VediorBis's superprofit range from approximately 10 million euros (scenario 2, RBB which includes the "diffus" clientele in the reference situation, which is questionable) to approximately 24 million euros (scenario 3, investigative services which, compared to scenario 2 of RBB, excludes the "diffus" clientele from the reference situation).</w:t>
      </w:r>
    </w:p>
    <w:p>
      <w:r>
        <w:t>137. These analyses demonstrate that the practice had significant effects, even if their precise estimation remains subject to discussion.</w:t>
      </w:r>
    </w:p>
    <w:p>
      <w:r>
        <w:t>138. The data provided by Manpower did not allow for comparable estimates, as they do not identify the two main cost items, which are wages and employer contributions. An extrapolation to Manpower of the results obtained from the data of its competitors would require assuming that the effects of the agreement on the sales coefficients of the three major temporary employment agencies are comparable. Such an extrapolation would have very limited value. In this regard, it should be noted, as the Vice-President of the Council did in decision No. 08-REDEC-01, in which she refused to downgrade the confidential data of Adecco and VediorBis in favor of the other parties, that Manpower could contest such an extrapolation, either by producing an economic study based on sufficiently precise data concerning it, or by developing a general argument showing that such an extrapolation is not possible. Therefore, Manpower is not justified in claiming that its rights of defense were violated due to its inability to access the confidential data concerning its competitors.</w:t>
      </w:r>
    </w:p>
    <w:p>
      <w:r>
        <w:t>139. That being said, the simulations previously retained nevertheless show that the concerted practice had effects that are by no means negligible. Furthermore, the importance of the cost factor of temporary workers for the choice of one or more temporary employment operators by a "major account" is essential, as the services offered are largely standardized, as demonstrated by the very fine coordination on the coefficients required by the agreement on the Alcan tender. Therefore, it would be implausible that only Adecco and VediorBis made a superprofit by participating in the concerted practice: if these two temporary employment agencies had been the only ones to increase their coefficients, the third, Manpower, would indeed have gained significant market shares at their expense, which is not the case.</w:t>
      </w:r>
    </w:p>
    <w:p>
      <w:r>
        <w:t>140. This is why it is useful, in order not to overlook Manpower's contribution to the effects of the incriminated practice, to carry out a global assessment of the superprofit taking into account the business practices of the operators and proposing an order of magnitude of the effect of a minimal increase in the selling price.</w:t>
      </w:r>
    </w:p>
    <w:p>
      <w:r>
        <w:t>141. The elements of the file, particularly those relating to the Alcan tender, show that coefficients are generally adjusted, during negotiations, to two decimal places, that is to say to the hundredth (for example, 1.90 or 1.91). Exceptionally, the adjustment can be made to the half-hundredth as shown by the Alcan tender (VediorBis changed its proposal from 1.87 to 1.875).</w:t>
      </w:r>
    </w:p>
    <w:p>
      <w:r>
        <w:t>142. An increase in the coefficient from 1.90 to 1.91, for example, represents an increase in price of about 0.5%. Assuming that the concerted practice had, on average for major accounts, only such a low impact, and only considering the three implicated temporary employment agencies, the annual business volume concerned amounts to approximately 180,000 full-time equivalent jobs and 5 billion euros in 2003 and 2004 (figures derived from the overall activity of the concerned temporary employment agencies, retaining the share of major accounts indicated by the interested parties as being 52 or 53% for Manpower, 55% for Adecco, and 60% for VediorBis). In this hypothesis, the total superprofits of the three companies would reach 25 million euros per year, or 44 million euros for the period covered by the grievances (21 months), not taking into account the effects induced by the duration of the contracts in 2005 and 2006 mentioned in paragraph 134.</w:t>
      </w:r>
    </w:p>
    <w:p>
      <w:r>
        <w:t>143. The increase in the cost of temporary work caused by the practice may have reduced the use of this form of work by user companies, and consequently reduced the economic surplus shared by the two categories of concerned companies – user companies and temporary employment companies. The studies produced in the file agree that the decrease in the overall surplus of these two categories of actors can be neglected.</w:t>
      </w:r>
    </w:p>
    <w:p>
      <w:r>
        <w:rPr>
          <w:b/>
        </w:rPr>
        <w:t>[Pages 40–42]</w:t>
      </w:r>
    </w:p>
    <w:p>
      <w:r>
        <w:t>144. However, the decrease in the use of temporary work affects another category of actors, the temporary workers themselves, some of whom may not have been employed for this reason. The loss of income for temporary workers who have not been employed could be significant. It depends on the elasticity of the demand for labor by companies in relation to its cost. According to economic literature, this elasticity is between 0.3 and 0.8 for permanent work, but it varies according to qualifications and would be close to 1 for low qualifications. The Council is not aware of specific studies on temporary work. Nevertheless, a cautious assessment can be made with an elasticity of 0.5, considering that temporary jobs correspond mainly to low or medium qualification positions. An increase of 0.5% in the price of temporary work, as considered in paragraph 142, reduces in this case the volume of temporary work activity by 0.25%, which corresponds, based on the previously mentioned figure of 180,000 full-time equivalents/jobs, to 450 jobs for one year. Since the concerted practice is demonstrated over 21 months, this concerns just under 790 full-time equivalent jobs adjusted over the period covered by the grievances. Valued at the level of the minimum wage (1,215 euros gross monthly as of July 1, 2003), which is a conservative estimate, these jobs represent approximately 20 million euros in wages, which is in this case the same amount of lost income for temporary workers.</w:t>
      </w:r>
    </w:p>
    <w:p>
      <w:r>
        <w:t>145. Certainly, as Adecco pointed out, an increase in the cost of temporary work does not necessarily lead to a full pass-through of the effects of the reduced use of this form of work on all workers who have resorted to temporary work. If applicable, other forms of work may then become more attractive, benefiting certain workers. Nevertheless, temporary work has specific characteristics that differentiate it from other forms of flexible work: specific regulation, specific legal risks, training services provided by temporary employment agencies that make temporary workers immediately employable by the EU, and the duration of temporary assignments being significantly shorter than that of fixed-term contracts. The European Commission, which has examined several concentration operations in this sector, has always considered that the relevant market was that of temporary work, even if it did not exclude that "a certain degree of substitutability" may exist towards other forms of flexible work. However, the substitutability towards other forms of flexible work, if it exists, has certainly not been sufficient to allow user companies to escape the increase in the cost of temporary work induced by the practice, nor to compensate for the negative effect on employment of the reduced use of this form of work.</w:t>
      </w:r>
    </w:p>
    <w:p>
      <w:r>
        <w:t>146. It follows from the above that the various studies submitted to the Council on the direct consequences of the concerted practice referred to in the first grievance lead to an estimate of the excess profit common to the three operators of several tens of millions of euros and an estimate of the lost income for temporary workers of one or two tens of millions of euros. These figures do not take into account the decrease in social contribution revenues collected by the State caused by the reduced use of temporary work. These elements should be considered to approach the significance of the damage to the economy by linking them with the other elements mentioned in paragraphs 123 to 126, whose impact, although difficult to quantify, is nonetheless significant. It should be noted that there is no need to "allocate" these orders of magnitude among the three concerned temporary employment agencies, as they result from a common practice that could not have been implemented without the participation of each. Their individual situation will be taken into account in the continuation of this decision.</w:t>
      </w:r>
    </w:p>
    <w:p>
      <w:r>
        <w:t>147. Regarding the specific agreement related to the Alcan tender, which is the subject of the second grievance, it should also be emphasized, without prejudice to the considerations recalled in paragraphs 123 to 126, that this tender concerned services valued by the contracting authority at approximately 50 million euros per year, totaling 75 million euros considering the duration of the eighteen-month contracts.</w:t>
      </w:r>
    </w:p>
    <w:p>
      <w:r>
        <w:t>3. ON THE SITUATION OF RECIDIVISM</w:t>
      </w:r>
    </w:p>
    <w:p>
      <w:r>
        <w:t>148. In its decision No. 07-D-33 of October 15, 2007, the Council indicated that "the recurrence of practices has long been considered by the Competition Council as an aggravating circumstance justifying an increase in the sanction, particularly with regard to the deterrent objective pursued by its sanction policy." Article L. 464-2 of the Commercial Code, as amended by the NRE law of 2001, makes this an explicit criterion for determining the amount of sanctions. The sui generis regime of recidivism under French competition law requires that four conditions be met to assess its existence. It must be:</w:t>
      </w:r>
    </w:p>
    <w:p>
      <w:r>
        <w:t>• First, that a previous infringement of competition law has been established before the commission of the new practices;</w:t>
        <w:br/>
        <w:t>• Second, that the latter are identical or similar, in their object or effect, to those that were the subject of the previous finding of infringement;</w:t>
        <w:br/>
        <w:t>• Third, that the latter has become definitive by the date on which the competition authority rules on the new practices;</w:t>
        <w:br/>
        <w:t>• Fourth, that the time elapsed between the previous finding of infringement and the commission of the new practices is taken into account to call for a response proportionate to the company's propensity to disregard competition rules.</w:t>
      </w:r>
    </w:p>
    <w:p>
      <w:r>
        <w:t>149. In this case, the companies in question were accused of the recurrence of a previous infringement of competition law, established by decision No. 97-D-52 of June 25, 1997, of the Competition Council. In this case, the Council found that there was an agreement infringing Article 7 of the ordinance of December 1, 1986, now Article L. 420-1 of the Commercial Code, between the departmental federations of building and public works of Isère and Savoie and fifteen temporary employment agencies including Ecco TT, Adia France SA, Manpower France, and Bis France, concerning agreements whose one objective was to contain the increase in wages of temporary workers in order to control the labor costs borne by construction companies at the time of the development works for the Olympic sites for the Albertville Olympic Games. The Council's decision was confirmed by a ruling of the Paris Court of Appeal dated September 8, 1998, which was subject to an appeal rejected by the Court of Cassation by a ruling of February 13, 2001.</w:t>
      </w:r>
    </w:p>
    <w:p>
      <w:r>
        <w:t>150. Adecco, Adia, Manpower France Holding, Manpower France, and VediorBis ensure the continuity of the companies mentioned above.</w:t>
      </w:r>
    </w:p>
    <w:p>
      <w:r>
        <w:t>151. The finding of infringement resulting from decision No. 97-D-52 had already occurred (1997) when the practices examined in the present case took place (2003-2004) and, as indicated in paragraph 149, this decision is definitive to this day. Furthermore, the practices condemned in 1997 and those found in the present decision are similar in their object. The Council indeed found, in decision No. 97-D-52, that the companies involved had "participated in a concerted action aimed at and that could have had the effect of obstructing the setting of prices by the free play of the market." In the aforementioned ruling of February 13, 2001, the Court of Cassation emphasized that the Court of Appeal had found that the protocols adhered to by the temporary employment agencies aimed to limit competition among them. This is also the object of the practices examined in the present case. Regarding the time elapsed between the finding of previous infringements and the facts examined in the present case, it is just under six years (June 1997 - March 2003). The fact that the practice that led to decision No. 97-D-52 was of lesser scope than the practice leading to the present decision cannot, contrary to what the companies argue, work in their favor, as they were fully aware of the risks they were taking by once again disregarding competition rules, especially in a national framework rather than a local one. In this instance, the Council believes that the situation of recidivism justifies a 25% increase in the sanction that would normally have been imposed in its absence.</w:t>
      </w:r>
    </w:p>
    <w:p>
      <w:r>
        <w:t>4. ON THE UNCONTESTED GRIEVANCES AND THE COMMITMENTS MADE</w:t>
      </w:r>
    </w:p>
    <w:p>
      <w:r>
        <w:t>a) Regarding Adecco and Adia</w:t>
      </w:r>
    </w:p>
    <w:p>
      <w:r>
        <w:t>152. As indicated in paragraph 51, Adecco and Adia chose not to contest the grievances, as provided for in III of Article L. 464-2 of the Commercial Code. In accordance with this provision, they proposed the following commitments, recorded by the minutes of February 1, 2008, established by the deputy rapporteur:</w:t>
      </w:r>
    </w:p>
    <w:p>
      <w:r>
        <w:t>"These commitments will be implemented by the two companies Adecco France and Adia and by the entities of the Adecco group active, in the French territory, in the temporary work sector (hereinafter each taken individually as the "Company" and collectively as the "Companies"). Regarding the latter, they are:</w:t>
      </w:r>
    </w:p>
    <w:p>
      <w:r>
        <w:t>"Adecco Quick Medical Services" "QMS";</w:t>
        <w:br/>
        <w:t>"Adecco à Domicile";</w:t>
        <w:br/>
        <w:t>The subsidiaries of Adecco in the overseas departments, namely:</w:t>
        <w:br/>
        <w:t>"ADECCO Départements Français d’Amérique" (DFA)</w:t>
        <w:br/>
        <w:t>"ADECCO Réunion BTP-Industrie"</w:t>
        <w:br/>
        <w:t>"ADECCO Réunion Tertiaire."</w:t>
      </w:r>
    </w:p>
    <w:p>
      <w:r>
        <w:rPr>
          <w:b/>
        </w:rPr>
        <w:t>[Pages 43–45]</w:t>
      </w:r>
    </w:p>
    <w:p>
      <w:r>
        <w:t>The subsidiaries of Adecco active in temporary work to contribute to the social integration of people in difficulty, namely:</w:t>
        <w:br/>
        <w:t>"Chorus Normandie"</w:t>
        <w:br/>
        <w:t>"Emploi 02"</w:t>
        <w:br/>
        <w:t>"Emploi 93"</w:t>
        <w:br/>
        <w:t>"Objectif Emploi".</w:t>
        <w:br/>
        <w:t>Given the specificity and very small size of some of these subsidiaries, they may not be de facto concerned by commitments 2 or 3 below.</w:t>
      </w:r>
    </w:p>
    <w:p>
      <w:r>
        <w:t>1 Awareness, training, and professional alert system</w:t>
        <w:br/>
        <w:t>1.1 Awareness and training program for the relevant staff</w:t>
        <w:br/>
        <w:t>The awareness program as well as the training of the staff of each of the Companies on competition rules will be reinforced by the establishment of welcome booklets, mandatory training sessions, as well as service notes issued annually. Training sessions, in the form of mandatory modules, will be provided to all relevant staff, namely the following categories of personnel:</w:t>
        <w:br/>
        <w:t>Senior management: members of the CODIR and Directors, which represents about 40 people in 2008 for the Companies;</w:t>
        <w:br/>
        <w:t>National commercial management: about 105 people in 2008 for the Companies;</w:t>
        <w:br/>
        <w:t>Regional management and sector management: about 170 people in 2008 for the Companies.</w:t>
        <w:br/>
        <w:t xml:space="preserve">Each of the Companies will ensure annual training sessions for the new staff mentioned above and, during annual commercial meetings bringing together sales representatives or agency heads, the principles of competition law will be reiterated. </w:t>
        <w:br/>
        <w:t>Furthermore, the relevant personnel mentioned above will sign a "personal commitment." This letter will be signed following the aforementioned training.</w:t>
        <w:br/>
        <w:t>Finally, each of the Companies will keep up to date, for consultation purposes, registers containing details of the training provided and the signed individual commitment letters. These registers will be kept for five years.</w:t>
      </w:r>
    </w:p>
    <w:p>
      <w:r>
        <w:t>1.2 Professional alert system</w:t>
        <w:br/>
        <w:t>Regarding the French territory, the Company commits to extend the professional alert system in place within all entities constituting the Adecco group to violations of competition law. This expanded system will include the possibility for the Company's employees to issue alerts about practices that may violate competition law.</w:t>
        <w:br/>
        <w:t>The HR service note 2006-215 concerning the professional alert system […] describes this system, originally designed at the Adecco group level in compliance with American financial regulations (Sarbanes-Oxley Act of 2002). The Adecco group's professional alert system is implemented with the assistance of the American company EthicsPoint, an independent company specialized in information and alert systems against fraud and illegal actions within companies.</w:t>
        <w:br/>
        <w:t>Thanks to the professional alert system, Adecco group employees can now directly contact, confidentially, even anonymously, the company EthicsPoint by phone or through a dedicated internet portal (www.aceconduct.com) to issue alerts about any incident or fact relating to certain financial violations (hereinafter an "alert"), available 24 hours a day, 7 days a week, 365 days a year. In the case of France, alerts received by EthicsPoint are forwarded to the head of social relations or, in their absence, to the human resources director of the Company. In accordance with the terms of the Compliance Issue Reporting and Response Policy of the Adecco group, investigations into alerts are handled professionally, objectively, and independently. They may lead to corrective measures and sanctions against the individuals concerned (which may, if applicable, include dismissal for serious misconduct).</w:t>
        <w:br/>
        <w:t>In order to include competition law rules within the existing professional alert system, the Company commits to amend, within six months from the date of the decision of the Competition Council to be made, and to promptly transmit for information to the General Rapporteur of the Competition Council, the following documents:</w:t>
        <w:br/>
        <w:t>1°) The HR service note 2006-215 concerning the professional alert system […]. In particular, the paragraph on the purpose and scope of the alert system must be amended as follows:</w:t>
        <w:br/>
        <w:t>"The professional alert is the ability given to the company's employees to alert it about facts relating to serious risks for the company in the areas of accounting, financial auditing, banking, anti-corruption and anti-money laundering, and enforcement of competition law rules" (version marked compared to the current wording).</w:t>
        <w:br/>
        <w:t>2°) The HR service note 2007-264 concerning the rules related to anti-competitive practices […]. In particular, this service note must specify that the professional alert system also covers practices that may violate competition law and indicate the practical modalities for triggering this professional alert system.</w:t>
        <w:br/>
        <w:t>3°) The Code of Professional Ethics, in its applicable version on French territory. In particular, the Code of Professional Ethics must also specify that the professional alert system covers practices that may violate competition law and indicate the practical modalities for triggering this professional alert system.</w:t>
        <w:br/>
        <w:t>This commitment is submitted to the Competition Council subject to, and in accordance with the legislation in force, on the one hand, the agreement of the CNIL for the extension of the existing system to the application of competition law rules and, on the other hand, the consultation of employee representative bodies. The Company commits to carry out the necessary formalities in this regard within six months from the date of the decision of the Competition Council to be made.</w:t>
        <w:br/>
        <w:t>The Company also commits to sign, within six months from the date of the decision of the Competition Council to be made, an amendment to the contract with EthicsPoint (or any other external provider fulfilling equivalent missions to those of EthicsPoint with which the Company would have contracted in replacement of EthicsPoint or as needed) in order to specify the extension of the existing professional alert system to practices that may violate competition law concerning the French territory.</w:t>
        <w:br/>
        <w:t>The Company reports to the General Rapporteur of the Competition Council on the proper execution of this commitment within one week from its full implementation. In the event that, for reasons beyond the Company's control, this commitment cannot be fully executed within the set deadlines, the Company commits to implement as soon as possible any system with equivalent effect to that described in this commitment after consulting the General Rapporteur of the Competition Council.</w:t>
      </w:r>
    </w:p>
    <w:p>
      <w:r>
        <w:t>2 Supervision of responses to tender procedures</w:t>
        <w:br/>
        <w:t>2.1 Obligations of the Company</w:t>
        <w:br/>
        <w:t>2.1.1 Document retention</w:t>
        <w:br/>
        <w:t>The Company retains all documents related to each of the national or international tender procedures handled by the national commercial management for a period of five years from the end of the relevant tender procedure (i.e., signature of the contract, letter of rejection of the last proposal made by the Company or any other mechanism by which the organizing company of the tender procedure expresses its decision to accept or reject the last proposal made by the Company).</w:t>
        <w:br/>
        <w:t>The aforementioned documents subject to retention obligations include, without this list being exhaustive, the following documents:</w:t>
        <w:br/>
        <w:t>- all correspondence (by mail, email, or fax) exchanged internally within the Company;</w:t>
        <w:br/>
        <w:t>- all correspondence (by mail, email, or fax) exchanged between the Company and the organizing company of the tender procedure;</w:t>
        <w:br/>
        <w:t>- minutes of internal meetings or meetings with the organizing company of the tender procedure;</w:t>
        <w:br/>
        <w:t>- contracts, including all subsequent amendments, concluded between the Company and the organizing company of the tender procedure.</w:t>
        <w:br/>
        <w:t>The Company maintains an up-to-date register of the archiving of documents subject to retention obligations.</w:t>
      </w:r>
    </w:p>
    <w:p>
      <w:r>
        <w:t>2.1.2 Lists of tender procedures</w:t>
        <w:br/>
        <w:t>The Company establishes on a quarterly basis a list of all national or international tender procedures handled by the national commercial management. The Company provides this list to the Consultant defined in Section 2.2.1 below no later than the 15th of the month following the end of the previous quarter.</w:t>
      </w:r>
    </w:p>
    <w:p>
      <w:r>
        <w:t>2.1.3 Assistance of the Consultant</w:t>
        <w:br/>
        <w:t>The Company provides the Consultant defined in Section 2.2.1 below with all administrative and management assistance that he reasonably deems necessary for the execution of his missions.</w:t>
      </w:r>
    </w:p>
    <w:p>
      <w:r>
        <w:t>2.2 Designation of the Consultant</w:t>
        <w:br/>
        <w:t>2.2.1 Definition</w:t>
        <w:br/>
        <w:t>The Company commits to designate within the framework of a mandate contract (hereinafter the "Mandate Contract") signed within two months from the date of notification of the decision of the Competition Council to be made, a natural or legal person as an external consultant to carry out the missions described in Section 2.3.</w:t>
      </w:r>
    </w:p>
    <w:p>
      <w:r>
        <w:rPr>
          <w:b/>
        </w:rPr>
        <w:t>[Pages 46–48]</w:t>
      </w:r>
    </w:p>
    <w:p>
      <w:r>
        <w:t>below (hereinafter referred to as the "Consultant"), it being specified that both Companies will designate the same Consultant.</w:t>
      </w:r>
    </w:p>
    <w:p>
      <w:r>
        <w:t>Unless the Consultant is replaced, the Mandate Contract is concluded for the total duration of the Consultant's missions as provided in Section 2.2.7 below.</w:t>
      </w:r>
    </w:p>
    <w:p>
      <w:r>
        <w:t xml:space="preserve">2.2.2 Qualifications  </w:t>
        <w:br/>
        <w:t>The Consultant possesses the necessary qualifications for the execution of the Mandate Contract, particularly regarding the verification of document retention obligations and the monitoring of the functioning of the procedures established for responding to national or international tenders handled by the national commercial management in light of the general principles established by competition law rules.</w:t>
      </w:r>
    </w:p>
    <w:p>
      <w:r>
        <w:t xml:space="preserve">2.2.3 Independence  </w:t>
        <w:br/>
        <w:t>The Consultant possesses the required qualities of independence for the performance of his missions and is not in a situation of conflict of interest with the Company. In particular, the Consultant has not been employed by the Company, through an employment contract or any consulting contract, for a period of three years preceding the date of notification of the decision of the Competition Council to intervene. Furthermore, the Company undertakes not to employ the Consultant, through an employment contract or any consulting contract, for a period of three years following the expiration date of the Mandate Contract.</w:t>
      </w:r>
    </w:p>
    <w:p>
      <w:r>
        <w:t xml:space="preserve">2.2.4 Information to the Competition Council  </w:t>
        <w:br/>
        <w:t>The Mandate Contract signed between the Company and the Consultant is transmitted to the General Rapporteur of the Competition Council within one week from its signature by all parties.</w:t>
      </w:r>
    </w:p>
    <w:p>
      <w:r>
        <w:t xml:space="preserve">2.2.5 Remuneration and Expenses  </w:t>
        <w:br/>
        <w:t>The Company compensates the Consultant and covers the reasonably incurred expenses by the latter in the performance of his missions under the conditions set forth in the Mandate Contract.</w:t>
      </w:r>
    </w:p>
    <w:p>
      <w:r>
        <w:t xml:space="preserve">2.2.6 Replacement of the Consultant  </w:t>
        <w:br/>
        <w:t>In the event of termination of the Mandate Contract or any impediment of any kind, the Company shall promptly inform the General Rapporteur of the Competition Council. The Company shall promptly proceed to replace the Consultant for the remaining duration of the engagement under a mandate contract fulfilling the conditions described above.</w:t>
      </w:r>
    </w:p>
    <w:p>
      <w:r>
        <w:t xml:space="preserve">2.2.7 Duration of the Consultant's Missions  </w:t>
        <w:br/>
        <w:t>The Consultant shall carry out his missions for a duration of three years from the signature of the Mandate Contract, without prejudice to the unlimited nature of the Company's obligations provided in Section 2.1.1 and the first sentence of Section 2.1.2 above.</w:t>
      </w:r>
    </w:p>
    <w:p>
      <w:r>
        <w:t xml:space="preserve">2.3 Missions of the Consultant  </w:t>
        <w:br/>
        <w:t xml:space="preserve">2.3.1 Ex-post Control of Tender Procedures  </w:t>
        <w:br/>
        <w:t xml:space="preserve">The Consultant is responsible for verifying and controlling ex-post that the conduct and functioning of the tender procedures to which the Company is invited to participate comply with the procedures established for responding to national or international tenders handled by the national commercial management in light of the general principles established by competition law rules. The Consultant freely determines the national or international tenders handled by the national commercial management with respect to which he wishes to carry out his verification and control missions, it being specified that he must examine the documents retained in the context of at least 20 tender procedures drawn by lot or, where applicable, chosen by the Consultant from a list of all national or international tender procedures handled by the national commercial management to which the Company has responded during the relevant year. To this end, the Consultant verifies the document archiving process subject to retention obligations, ensuring in particular that:  </w:t>
        <w:br/>
        <w:t xml:space="preserve">- all retained documents are easily accessible, and  </w:t>
        <w:br/>
        <w:t>- the organization of the archiving of retained documents makes their consultation easy and allows for the verification of the proper conduct of the national or international tender procedures handled by the national commercial management.</w:t>
      </w:r>
    </w:p>
    <w:p>
      <w:r>
        <w:t xml:space="preserve">2.3.2 Access to Relevant Information  </w:t>
        <w:br/>
        <w:t>The Consultant has full access (subject to reasonable notice) to all books, accounts, technical information, and more generally, all documents, in paper and/or electronic format, related to the relevant tender procedures that the Consultant reasonably believes he needs for the execution of his missions. The Company provides copies of said documents at the request of the Consultant. The Consultant also has full access (subject to reasonable notice) to the facilities, sites, and agencies of the Company that the Consultant reasonably believes he needs for the execution of his missions. The Consultant may question orally or in writing the management staff or other personnel members knowledgeable about the relevant tender procedures.</w:t>
      </w:r>
    </w:p>
    <w:p>
      <w:r>
        <w:t xml:space="preserve">2.3.3 Establishment of an Annual Report  </w:t>
        <w:br/>
        <w:t>The Consultant prepares on an annual basis and in a personalized manner for each of the two Companies a summary report on the conduct and functioning of the procedures established for responding to national or international tenders handled by the national commercial management in light of the general principles established by competition law rules, particularly regarding the obligation of document retention and the organization of their archiving (hereinafter referred to as the "Annual Report"). The Annual Report particularly focuses on the documents retained in the context of the tender procedures referred to in Section 2.3.1 above. By way of exception to this principle, the first Annual Report of the Consultant will cover the period from the date of notification of the decision of the Competition Council to intervene until December 31 of the same year and will cover a number (determined pro-rata based on the period to be covered on the basis of 20 tender procedures per year) of tender procedures drawn by lot or, where applicable, chosen by the Consultant from a list of all national or international tender procedures handled by the national commercial management to which the Company has responded during the relevant year since the date of signature of the Mandate Contract.</w:t>
      </w:r>
    </w:p>
    <w:p>
      <w:r>
        <w:t>The Consultant's Annual Report is submitted no later than March 31 of each year to the Company's Management Committee, which discusses it at the meeting following the date of submission of said Annual Report. The Consultant's Annual Report is made available to the General Rapporteur of the Competition Council. The Consultant may be heard by the General Rapporteur of the Competition Council, if deemed necessary, regarding the Annual Report.</w:t>
      </w:r>
    </w:p>
    <w:p>
      <w:r>
        <w:t xml:space="preserve">3 Relations between the Companies  </w:t>
        <w:br/>
        <w:t xml:space="preserve">3.1 Factual Context  </w:t>
        <w:br/>
        <w:t>The Companies belong to the Adecco group and operate in the temporary labor market in France. The Companies each have commercial autonomy in the market, leading them to independently offer distinct commercial offerings. However, they may decide, depending on circumstances and/or client needs or requests, to propose joint commercial offerings. In this context, the Companies commit to prepare and present their commercial offerings while respecting the following commitments:</w:t>
      </w:r>
    </w:p>
    <w:p>
      <w:r>
        <w:t xml:space="preserve">3.2 Commitments Regarding the Organization of Sales Teams  </w:t>
        <w:br/>
        <w:t>Each of the Companies will have its own sales force with teams and resources allowing each to autonomously determine its commercial policy. When they decide to propose joint offerings, a common ad hoc team composed exclusively of members from the national commercial management of the Companies will be formed to prepare and propose each of these offerings. Consequently, local agencies or regional operational management will not be able to decide to prepare or propose a joint offering and must escalate any such requests and opportunities to the national commercial management of their respective Company.</w:t>
      </w:r>
    </w:p>
    <w:p>
      <w:r>
        <w:t xml:space="preserve">3.3 Commitments Regarding the Preparation and Presentation of Commercial Offerings  </w:t>
        <w:br/>
        <w:t xml:space="preserve">3.3.1 On Competing Commercial Offerings  </w:t>
        <w:br/>
        <w:t>The commercial offerings of the Companies will be prepared and presented independently by each of the Companies and will remain confidential with respect to the other company. Furthermore, the local agencies and operational management of each of the Companies will ensure the operational implementation of contracts independently and confidentially. Finally, each of the Companies will implement any useful structural measures to ensure the protection of sensitive commercial information, notably through any measures of confidentiality in the IT systems.</w:t>
      </w:r>
    </w:p>
    <w:p>
      <w:r>
        <w:t xml:space="preserve">3.3.2 On the Preparation and Presentation of Joint Commercial Offerings by the Companies  </w:t>
        <w:br/>
        <w:t>The preparation and presentation of joint commercial offerings by the Companies will be conducted in accordance with specific rules and procedures.</w:t>
      </w:r>
    </w:p>
    <w:p>
      <w:r>
        <w:rPr>
          <w:b/>
        </w:rPr>
        <w:t>[Pages 49–51]</w:t>
      </w:r>
    </w:p>
    <w:p>
      <w:r>
        <w:t>Thus, the joint offers will be processed exclusively at the level of the national commercial departments of the Companies by employees belonging to these departments. If applicable, the joint and unique offers may, on the one hand, provide for different provisions for each of the Companies, even different rates, and, on the other hand, result in the signing of two distinct contracts.</w:t>
      </w:r>
    </w:p>
    <w:p>
      <w:r>
        <w:t>Furthermore, any member of the staff of these national commercial departments, approximately ninety people in 2008, who may participate in the preparation of joint offers, must have previously undergone specific training on the particularities of competition law applied to intra-group relations. After an initial training session for all these staff members, such training will be provided annually for new staff. During the annual commercial meetings of the national commercial departments of the Companies, the specific principles of competition law will be reiterated.</w:t>
      </w:r>
    </w:p>
    <w:p>
      <w:r>
        <w:t>The concerned employee will sign, at the end of this training, a "personal commitment" whose content will be as follows:</w:t>
        <w:br/>
        <w:t>• "The commitment will specify the course of action required by the Adecco Group to ensure compliance with competition rules in the context of relations between the Companies and the particular vigilance that results from this for the concerned staff.</w:t>
        <w:br/>
        <w:t>• The employee will acknowledge that they have been trained on the specific constraints of competition law applied to intra-group relations and on the conduct to adopt in their relations between the Companies.</w:t>
        <w:br/>
        <w:t>• The employee will commit to keeping confidential the information obtained by their Company during the preparation of joint offers with respect to the other Company.</w:t>
        <w:br/>
        <w:t>• The employee will commit to seeking the assistance of the legal department of their Company in case of doubt on a particular issue relating to compliance with the aforementioned commitments."</w:t>
      </w:r>
    </w:p>
    <w:p>
      <w:r>
        <w:t>153. Given the lack of contestation of the grievances and the aforementioned commitments, the Deputy General Rapporteur proposed that the financial penalty potentially incurred by Adecco France and Adia be reduced by a proportion ranging from 25% to 30% of the amount that would normally have been imposed on them.</w:t>
      </w:r>
    </w:p>
    <w:p>
      <w:r>
        <w:t>154. As has been notably stated in the Council's decision No. 07-D-21 of June 26, 2007, regarding practices implemented in the linen rental and maintenance sector, when the Council examines the proposal of the General Rapporteur regarding the adjustment of the financial penalty that may be incurred, it takes into account both the lack of contestation of the grievances and the commitments made for the future.</w:t>
      </w:r>
    </w:p>
    <w:p>
      <w:r>
        <w:t>155. However, the mere renunciation to contest the grievances, which primarily serves to lighten and expedite the investigation work, particularly when chosen by all the parties involved, cannot lead to granting the companies in question only a flat-rate and relatively limited reduction of the penalty incurred. It is the quality of the commitments that can allow for granting more substantial countermeasures within the framework of this procedure.</w:t>
      </w:r>
    </w:p>
    <w:p>
      <w:r>
        <w:t>156. In this case, part of the commitments undertaken concerns not only the two companies to which the grievances were notified (Adecco France, formerly Adecco Travail Temporaire, and Adia) but all the companies of the group active in France. The commitments relate not only to a program of awareness and professional training but also to the establishment of an internal professional alert system aimed at detecting anti-competitive practices (referred to in the United States as "whistleblowing"). They indicate that employees involved in the implementation of such practices may be sanctioned, potentially by dismissal. Moreover, the companies of the Adecco group commit to ensuring the written "traceability" of the preparation of their responses to the most important tenders, that is to say, those handled by the national commercial departments. Such a mechanism, which involves a heavy administrative burden for the companies, provides competition authorities with significant control over their behaviors and presents a strong incentive for compliance with good practices regarding competition rules. Indeed, if, during investigations by these authorities, elements concerning the relevant tenders, not included in these "traceability" files, are discovered, it is likely that it could at least be concluded that these commitments have not been respected. The companies also provide that an independent consultant will ensure compliance with the obligations of "traceability" during the first years of the implementation of this "traceability." They will also ensure compliance with competition rules by examining at least twenty of the relevant tenders chosen by them. In addition to the controls that competition authorities may carry out, this intervention by the consultant during the first years also presents a strong incentive for compliance with competition rules. The consultant may also provide appropriate advice to the companies, and the competition authority may ask them to report on their mission. Finally, the companies of the Adecco group are taking organizational measures to ensure that "internal" competition within the group is not distorted when different companies within it present themselves as competitors in the market. To this end, the development of joint offers, when such a choice is made, is subject to a particular regime aimed essentially at guaranteeing as much as possible the independence of future competing offers.</w:t>
      </w:r>
    </w:p>
    <w:p>
      <w:r>
        <w:t>157. These various commitments, of real significance, are substantial, credible, and verifiable. The Council takes note of this and urges Adecco and Adia to respect them and to ensure compliance by the other engaged companies.</w:t>
      </w:r>
    </w:p>
    <w:p>
      <w:r>
        <w:t>b) Regarding Groupe Vedior France and VediorBis</w:t>
      </w:r>
    </w:p>
    <w:p>
      <w:r>
        <w:t>158. As indicated in paragraph 51, Groupe Vedior France and VediorBis have also chosen not to contest the grievances, as provided for by III of Article L. 464-2 of the Commercial Code, and, in accordance with this provision, the two companies have proposed the following commitments, recorded in the minutes of February 7, 2008, established by the Deputy General Rapporteur:</w:t>
        <w:br/>
        <w:t>"Commitments regarding the training and supervision of the permanent staff of Groupe Vedior France and VediorBis</w:t>
        <w:br/>
        <w:t>• The exchanges of information that were noted by the Rapporteur in the notification of grievances reflect at a minimum a lack of understanding of the requirements of competition law, including on the part of relatively high-level managers. In these conditions, Groupe Vedior France and VediorBis commit to implementing a training program for all staff to raise awareness of competition rules and to systematically inform them of the importance of these commitments and the obligation to comply with them.</w:t>
      </w:r>
    </w:p>
    <w:p>
      <w:r>
        <w:t>As part of this program, Groupe Vedior France and VediorBis commit to:</w:t>
        <w:br/>
        <w:t>− Organize online training for all permanent staff. This specialized training in competition law includes both substantive elements and practical cases, allowing for verification of the number of people who have undergone the training and control of their understanding of the concepts.</w:t>
        <w:br/>
        <w:t>− Organize seminars for key account sales managers and their supervisory staff (general directors). These seminars will last approximately two hours and will be tailored to the participants' areas of expertise. A certificate will be issued to each participant confirming that they have been made aware of competition rules.</w:t>
        <w:br/>
        <w:t>− Integrate into the "Passport" integration program for newcomers within the Vedior group a presentation of the specific rules to be respected in competition law.</w:t>
        <w:br/>
        <w:t>− Circulate internally a "Compliance Guide" (Guide to Compliance with Competition Law) intended for permanent staff, recalling the principles of competition law that govern relations with competitors as well as the penalties incurred in case of violation. This guide will recommend the conduct to adopt in certain situations conducive to potential contacts between competitors (notably during meetings within professional associations or trade shows). This Compliance Guide will particularly remind that participation by an employee in an anti-competitive practice constitutes a fault that may lead to disciplinary sanctions, including dismissal. A discharge stating that each employee has acknowledged the rules contained in this guide and understood their stakes will be sent to the Compliance Officer in France (see below) to be kept at the headquarters of Groupe Vedior France.</w:t>
        <w:br/>
        <w:t>• The importance of competition law must lead managers not only to know the rules but also to understand that it is their personal responsibility to comply with them. Groupe Vedior France and VediorBis commit to having sales directors and key account managers sign an annual written declaration, which will mention a precise list of anti-competitive behaviors (sensitive information exchanges with competitors, agreements during tenders, discussions during professional association meetings, etc.). The sales directors and key account managers will declare that they have not engaged in such behaviors and have complied with competition law. The written declaration will be submitted in duplicate, one copy being kept by the recipient, the second to be returned duly dated, signed, and marked "acknowledged on ...", to the Compliance Officer in France (see below) to be kept at the headquarters of Groupe Vedior France.</w:t>
        <w:br/>
        <w:t>• Groupe Vedior France and VediorBis commit to keeping these various documents in their archives for a period of five years after their signing, particularly to allow competition authorities to review them.</w:t>
        <w:br/>
        <w:t>• Sales managers will place even greater importance on compliance with competition law as they will be aware that the group's general management may be informed of any breaches. In this context, Groupe Vedior France and VediorBis commit to establishing a professional alert system (whistleblowing) extended to violations of competition law. Precautions</w:t>
      </w:r>
    </w:p>
    <w:p>
      <w:r>
        <w:rPr>
          <w:b/>
        </w:rPr>
        <w:t>[Pages 52–54]</w:t>
      </w:r>
    </w:p>
    <w:p>
      <w:r>
        <w:t>specific precautions are provided to strictly regulate the handling of these reports, in accordance with the amended Data Protection Act of January 6, 1978. Groupe Vedior France and VediorBis are awaiting an official decision from the CNIL regarding the integration of competition violations into such alert systems.</w:t>
      </w:r>
    </w:p>
    <w:p>
      <w:r>
        <w:t>This alert system will introduce the ability for any employee of Groupe Vedior France who is aware of potentially anti-competitive practices to inform the General Management Committee of Groupe Vedior France, involving the Corporate Legal Director, who will ensure confidentiality for this employee.</w:t>
      </w:r>
    </w:p>
    <w:p>
      <w:r>
        <w:t>Groupe Vedior France and VediorBis commit to keeping records of reports from this professional alert system for a period of five years from the date of their reporting.</w:t>
      </w:r>
    </w:p>
    <w:p>
      <w:r>
        <w:t>Specific commitments regarding the temporary labor market</w:t>
      </w:r>
    </w:p>
    <w:p>
      <w:r>
        <w:t>The temporary labor market has characteristics that may concern competition authorities. Various professional associations, not necessarily limited to temporary work, exist, including at the local level. Some market transparency may also arise, particularly due to information circulated by clients. The numerous meetings that take place, notably at the initiative of clients, facilitate contacts of all kinds. A clear distinction between authorized contacts and those that are not, as well as between information provided by clients and that provided by competitors, is necessary so that what is prohibited is clearly distinguished from what is permitted, allowing both management and competition authorities to verify the regularity of what has occurred ex post facto. Finally, this market has a relationship with the labor market: Groupe Vedior France and VediorBis understood during the negotiations preceding the transaction that economists from the Competition Council were considering questioning the effect of a price increase on the demand for temporary labor, and thus indirectly on the labor market.</w:t>
      </w:r>
    </w:p>
    <w:p>
      <w:r>
        <w:t>Groupe Vedior France and VediorBis have examined all these points and have committed to implementing the following actions that are likely to reduce market transparency, draw a clear line between what is permitted and what is prohibited, and demonstrate their willingness to behave civically regarding the effects, even if they currently appear purely hypothetical, of the practices invoked by the notification of grievances:</w:t>
      </w:r>
    </w:p>
    <w:p>
      <w:r>
        <w:t>• Groupe Vedior France and VediorBis commit to instructing their staff not to have informal contacts with competitors other than during meetings of professional associations. Groupe Vedior France and VediorBis commit to:</w:t>
        <w:br/>
        <w:t>− establishing a follow-up on their staff's participation in professional associations by creating participation lists;</w:t>
        <w:br/>
        <w:t>− verifying whether the legal organization of each of the relevant professional associations allows for compliance with competition law;</w:t>
        <w:br/>
        <w:t>− asking their participants to report any potentially anti-competitive behaviors that may occur during these professional association meetings (sensitive discussions with competitors).</w:t>
      </w:r>
    </w:p>
    <w:p>
      <w:r>
        <w:t>Any employee participating in meetings of professional associations and having knowledge of such practices must directly inform the Corporate Legal Director of Groupe Vedior France.</w:t>
      </w:r>
    </w:p>
    <w:p>
      <w:r>
        <w:t>• Groupe Vedior France and VediorBis commit to implementing a monitoring procedure for commercial negotiations and/or tenders from the top five clients of each of VediorBis's branches. Internal monitoring, under the supervision of the Compliance Officer for competition law in France (see below), will consist of archiving all documents from internal or external sources concerning these negotiations or tenders. A procedure will be created to define the relevant documents and information and ensure that all pertinent documents are included in the archiving, which will be submitted for approval to the Competition Council. Furthermore, an independent external auditor approved by the Competition Council will verify that internal monitoring and archiving are effective during the three calendar years following the notification to Groupe Vedior France and VediorBis of the decision to be made by the Competition Council.</w:t>
      </w:r>
    </w:p>
    <w:p>
      <w:r>
        <w:t>Groupe Vedior France and VediorBis commit to keeping all these documents in their archives for a period of five years following each relevant commercial agreement, at the headquarters of Groupe Vedior France.</w:t>
      </w:r>
    </w:p>
    <w:p>
      <w:r>
        <w:t>• The Vedior group markets in France tools that allow user companies to manage their temporary worker flows from a multi-ETT perspective. These administrative management services, based on IT tools, enable user companies to centralize the management of contracts, hours, and invoices for all their temporary workers. The existence of these tools is a considerable advantage for the proper functioning of the temporary labor market as they facilitate, for clients, the transition from one ETT to another at any time or simultaneous work with multiple ETTs. These tools are therefore pro-competitive.</w:t>
      </w:r>
    </w:p>
    <w:p>
      <w:r>
        <w:t>However, in seeking all potential issues that may exist in the market and that could be resolved to ensure optimal functioning for the authorities, Groupe Vedior France and VediorBis realized that the advantages of these tools could coexist with disadvantages. Indeed, these tools can only function if their electronic memory contains numerous pieces of information related to the ETTs concerned. Consequently, the company that markets these tools (in this case, the Vedior group) automatically has access to information such as the contractual conditions of its competitors or the business volumes between its competitors and their clients.</w:t>
      </w:r>
    </w:p>
    <w:p>
      <w:r>
        <w:t>There is therefore a risk, at least theoretical, that these tools contribute to increasing market transparency. Thus, their pro-competitive advantages could, from a certain perspective, be negatively offset by this increase in transparency.</w:t>
      </w:r>
    </w:p>
    <w:p>
      <w:r>
        <w:t>Groupe Vedior France and VediorBis therefore commit to addressing the theoretical risks of information circulation that may arise from the "multi-ETT administrative management services" they market under the names Flex Manager and e-flex to user companies.</w:t>
      </w:r>
    </w:p>
    <w:p>
      <w:r>
        <w:t>As indicated below, Groupe Vedior France and VediorBis offer two administrative management systems: a software system installed directly at clients' premises (Flex Manager) and an online software system based on Internet-type technology (e-flex).</w:t>
      </w:r>
    </w:p>
    <w:p>
      <w:r>
        <w:t>Regarding Flex Manager, there is a significantly greater theoretical risk of the circulation of sensitive information since, in the event of maintenance issues, user companies call upon configuration technicians who go on-site and may, through user access codes, have direct access to confidential data concerning competing ETTs. Such access is also necessary when technical problems arise precisely from difficulties in configuring data from competing ETTs. For obvious geographical reasons, these personnel are located at a relatively local level, making it difficult to maintain constant control over the confidentiality of the information to which they may have access.</w:t>
      </w:r>
    </w:p>
    <w:p>
      <w:r>
        <w:t>Groupe Vedior France and VediorBis therefore commit to providing the following initial guarantee:</w:t>
        <w:br/>
        <w:t>− Withdraw Flex Manager from the market in favor of e-Flex: the cessation of marketing and the physical uninstallation of Flex Manager at user clients will take place no later than June 30, 2008. For an equivalent service, clients will now be invited to use the e-flex system.</w:t>
      </w:r>
    </w:p>
    <w:p>
      <w:r>
        <w:t>Indeed, e-flex, being based on Internet technology, requires no installation at the client and no technician visits. Clients and competing ETTs are provided with an access code allowing each to confidentially enter their data. ETTs only have access, using their code, to their own data. Furthermore, the system is managed centrally, which considerably facilitates the establishment of robust security rules. However, the following risks have been identified regarding e-flex: it is still necessary to circulate information related to competing ETTs to the system and to store it there. There remain theoretical risks that this information may come to the knowledge of the sales personnel of VediorBis.</w:t>
      </w:r>
    </w:p>
    <w:p>
      <w:r>
        <w:t>To avoid any risk, Groupe Vedior France and VediorBis commit to:</w:t>
        <w:br/>
        <w:t>− Market e-Flex through an independent subsidiary of Groupe Vedior France, Advisio Services, which has its own personnel and isolated technical support.</w:t>
        <w:br/>
        <w:t>− Require all Advisio technicians who may intervene on the database in case of potential malfunctions, and thus have access to sensitive information, as well as the technicians from the IT Services Department of Groupe Vedior France who may be in contact with them for the maintenance of these systems, to sign a written confidentiality commitment. This commitment prohibits them from sharing the information thus accessible with any personnel of VediorBis or generally with anyone holding commercial responsibilities, regardless of their rank. This declaration will be provided in duplicate, one copy being kept by the recipient, the second to be returned duly dated and signed to the Human Resources Department, where it will be kept.</w:t>
      </w:r>
    </w:p>
    <w:p>
      <w:r>
        <w:t>− Furthermore, market transparency may also result from existing leaks at the level of equivalent tools marketed by competing ETTs. Groupe Vedior France and VediorBis commit to making their best efforts to verify that the competing multi-ETT tools into which they may be led to input commercial data have, in one way or another, security rules offering the same level of protection as e-flex.</w:t>
      </w:r>
    </w:p>
    <w:p>
      <w:r>
        <w:rPr>
          <w:b/>
        </w:rPr>
        <w:t>[Pages 55–57]</w:t>
      </w:r>
    </w:p>
    <w:p>
      <w:r>
        <w:t>• Without taking a position at this stage on the existence or non-existence of significant economic effects, particularly a decrease in the demand for labor as mentioned by the economists of the Competition Council during the negotiations, Groupe Vedior France and VediorBis consider that their willingness to cooperate with the competition authorities must be reflected in a clear demonstration of their interest in all civic aspects related to the proper functioning of the temporary labor market. They thus commit to making a special donation to "the Vedior Institute for Equality of Opportunity and Development" in the amount of one million euros invested over a period of three years, with a view to contributing socially to remedying the potential effects of the alleged practices. The Vedior Institute is a non-profit association aimed at promoting equal opportunities in professional life and supporting initiatives in favor of diversity in business. This special donation would be in addition to the usual funding provided by Vedior to the Institute, knowing that its actual expenditures amounted to €110,000 in 2007, €140,000 in 2006, and €0 in 2005. It would involve carrying out a number of initiatives aimed at the integration of long-term unemployed individuals or young people in difficulty. Groupe Vedior France and VediorBis commit to preparing an annual report concerning all initiatives funded by this special donation, which would be made available to the Competition Council.</w:t>
      </w:r>
    </w:p>
    <w:p>
      <w:r>
        <w:t>Commitments to ensure the effectiveness of the commitments made</w:t>
        <w:br/>
        <w:t>Groupe Vedior France and VediorBis are aware that the previous commitments are not purely formal but constitute means to ensure the proper functioning of the temporary labor market. They therefore submit to the Competition Council additional commitments aimed at ensuring the overall effectiveness of the system.</w:t>
        <w:br/>
        <w:t>• The variety of commitments made as well as the large number of personnel involved, dispersed across nearly a thousand agencies, require a considerable amount of organizational and monitoring work. Groupe Vedior France and VediorBis therefore commit to recruiting a Competition Legal Officer, who will be responsible for compliance with competition law in France ("competition compliance officer"). This person will report directly to the Corporate Legal Director of Groupe Vedior France and will ensure that the competition law compliance policy in France and the commitments made to the Competition Council are respected.</w:t>
        <w:br/>
        <w:t>• Indifference to competition law at a relatively high level within a company is not acceptable; beyond training for managers, it is especially important that this dimension is taken into account in a very concrete way throughout discussions and decisions impacting commercial policy. In this regard, Groupe Vedior France and VediorBis commit to strengthening the current role of the Corporate Legal Director of Groupe Vedior France by assigning him the following tasks: (i) participation in the meetings of the strategic committees of Groupe Vedior France and those of the management committees of VediorBis to ensure that the decisions made during these meetings do not contravene competition law and (ii) supervision of the control exercised by the Competition Legal Officer regarding the effective implementation of the commitments made to the Competition Council. The Corporate Legal Director of Groupe Vedior France will report, for reasons of independence, to the Global Legal Director ("General Counsel") of Vedior N.V. In the event of a change of control of the group to which Groupe Vedior France currently belongs, namely Vedior N.V., the Corporate Legal Director of Groupe Vedior France will report to a responsible person from the new group at an equivalent level.</w:t>
        <w:br/>
        <w:t>• In order to inform the Competition Council of the execution of the commitments made by Groupe Vedior France and VediorBis, the latter will send it, during the first quarter of each year, a report detailing the implementation, during the previous year, of the commitments made by Groupe Vedior France and VediorBis. This report will be sent by the Corporate Legal Director to the Competition Council during the three calendar years following the notification to Groupe Vedior France and VediorBis of the decision to be made by the Council. This report will notably indicate:</w:t>
        <w:br/>
        <w:t>− the number of employees who attended seminars and/or online training on the content of competition law rules;</w:t>
        <w:br/>
        <w:t>− the number of employees who have become familiar with the Compliance Guide;</w:t>
        <w:br/>
        <w:t>− the number of individual declarations signed regarding the commitment of sales directors and key account managers to comply with competition law;</w:t>
        <w:br/>
        <w:t>− a report containing all initiatives funded by the special donation made by Groupe Vedior France and VediorBis to the Vedior Institute.</w:t>
      </w:r>
    </w:p>
    <w:p>
      <w:r>
        <w:t>159. Like those presented by Adecco and Adia, the commitments made by Groupe Vedior France and VediorBis include a program for raising awareness and professional training on competition rules as well as an internal alert system aimed at detecting anti-competitive practices and indicating that employees participating in such practices may face sanctions up to dismissal. Groupe Vedior France and VediorBis will also introduce specific measures for sales directors and key account managers to ensure that these individuals are particularly vigilant. The commitments also include a control mechanism regarding the participation of staff in the work of professional associations, to prevent deviations contrary to competition rules that meetings of these associations may generate. In a manner similar to Adecco and Adia, Groupe Vedior France and VediorBis plan to implement a written traceability system for the preparation of responses to the most important tenders and, more generally, for commercial discussions with the largest clients. They also guarantee, during the initial years of implementing this system, the oversight of an external consultant. Groupe Vedior France and VediorBis have also decided, to ensure the proper and sustainable implementation of these commitments, to strengthen and enhance the independence of the legal function within them, according to the modalities mentioned in the previous paragraph. Furthermore, having brought to market management tools for temporary labor used by the EU for all temporary staff they employ, regardless of the temporary employment agency assigning the individuals, Groupe Vedior France and VediorBis make commitments to ensure that during maintenance or troubleshooting operations of these tools, commercially sensitive information about their competitors is not disclosed to them. They plan, in this regard, to entrust the marketing and management of these tools to a specific subsidiary. They also indicate that they will make their best efforts to verify that similar tools marketed by others provide the same guarantees. However, on this specific point, it is difficult to assess the scope that such an approach may have.</w:t>
      </w:r>
    </w:p>
    <w:p>
      <w:r>
        <w:t>160. Taken as a whole, the commitments summarized in the previous paragraph call for assessments of the same nature as those in paragraph 156 concerning the commitments presented by Adecco and Adia, and each of the two groups has been able, beyond fairly similar general measures, to make specific arrangements considering the specificities of its internal organization or its field of intervention. The Council therefore considers that, when viewed globally, these commitments from Groupe Vedior France and VediorBis present the same level of interest as those presented by Adecco and Adia.</w:t>
      </w:r>
    </w:p>
    <w:p>
      <w:r>
        <w:t>161. On the other hand, the Council believes it cannot take into account, in order to reduce the level of the financial penalty to which the companies concerned are exposed, the "socially oriented" commitment made by Groupe Vedior France and VediorBis regarding the granting of a donation to an association. Indeed, taking this commitment into account, which does not contribute in any way to improving the functioning of competition in the market affected by the practices, would effectively amount to transforming part of an administrative financial penalty, the proceeds of which are allocated to the general budget, which finances all public interest actions of the State, into a private contribution whose debtor would choose its allocation, potentially benefiting from an image boost. Moreover, in this case, the beneficiary association mentioned is itself within the orbit of the Vedior group. Under these conditions, the Council leaves Groupe Vedior France and VediorBis entirely free to follow up or not on this project, but will not take this choice into account in determining the penalty.</w:t>
      </w:r>
    </w:p>
    <w:p>
      <w:r>
        <w:t>162. It follows from the above that, taken as a whole, the commitments summarized in point 159, excluding the one mentioned in paragraph 161, are of real significance, substantial, credible, and verifiable. It is necessary to take note of this and to order Groupe Vedior France and VediorBis to comply with them.</w:t>
      </w:r>
    </w:p>
    <w:p>
      <w:r>
        <w:t>5. ON SANCTIONS</w:t>
        <w:br/>
        <w:t>a) General considerations</w:t>
        <w:br/>
        <w:t>163. Given the seriousness of the violations of Articles 81 EC and L. 420-1 of the Commercial Code observed and the importance of the damage to the economy they have caused, the companies responsible must be sanctioned. As stated in paragraphs 117 and 146, there is no need to distinguish between the companies that participated in the practice subject to the first grievance regarding the severity of their behavior and the damage to the economy that it has caused.</w:t>
      </w:r>
    </w:p>
    <w:p>
      <w:r>
        <w:t>164. The companies involved all argue that the basis for any potential sanctions should not be the turnover mentioned in the tax returns of the concerned companies or groups, as this includes salaries and direct and indirect costs related to the employment of temporary workers, amounts that go directly to the workers and social or public organizations. Only the "gross margin" of the temporary employment agencies, that is to say, essentially the price of the services billed to the EU, minus these salaries and costs, which corresponds to the actual activity of the temporary employment agencies, should be used. This "real" turnover would also be taken into account by the European Commission in the context of merger control, as indicated in points 158 and 159 of its "jurisdictional communication" on Council Regulation (EC) No. 139/2004 concerning the control of concentrations between companies: "158. In general, the method of calculating turnover applied to services does not differ from that used for products: the Commission takes into account...</w:t>
      </w:r>
    </w:p>
    <w:p>
      <w:r>
        <w:rPr>
          <w:b/>
        </w:rPr>
        <w:t>[Pages 58–60]</w:t>
      </w:r>
    </w:p>
    <w:p>
      <w:r>
        <w:t>euros), un excédent brut d’exploitation de 300 millions d’euros et un bénéfice de 70 millions d’euros.</w:t>
      </w:r>
    </w:p>
    <w:p>
      <w:r>
        <w:t>176. Adecco et Adia avancent comme circonstance particulière, qui devrait, selon elles, conduire à minorer la sanction qu'elles encourent, le fait qu'elles ont mis en place un programme de conformité en matière de droit de la concurrence. Toutefois, cette mesure, bien qu'elle soit positive, ne saurait avoir d'impact sur la sanction des faits antérieurs à sa mise en œuvre. De plus, les entreprises n'ont pas démontré que ce programme a été efficace pour prévenir les pratiques anticoncurrentielles.</w:t>
      </w:r>
    </w:p>
    <w:p>
      <w:r>
        <w:t>177. En fonction des éléments généraux et individuels exposés précédemment, il y aurait lieu d’infliger à Adecco France et à Adia une sanction pécuniaire de 26,5 millions d’euros. Compte tenu des considérations exposées au paragraphe 174, il convient de répartir cette somme entre Adecco France et Adia au prorata de leur participation à l’infraction dans le temps. Sans la situation de réitération, il y aurait donc lieu d’infliger une sanction pécuniaire de 21 millions d’euros à Adecco France et de 5,5 millions d’euros à Adia. La situation de réitération justifiant de majorer ces sommes de 25 %, il convient d’infliger à Adecco France une sanction pécuniaire de 26,25 millions d’euros et à Adia une sanction pécuniaire de 6,875 millions d’euros.</w:t>
      </w:r>
    </w:p>
    <w:p>
      <w:r>
        <w:rPr>
          <w:b/>
        </w:rPr>
        <w:t>[Pages 61–63]</w:t>
      </w:r>
    </w:p>
    <w:p>
      <w:r>
        <w:t>85 billion euros (the "gross margin" would be around 580 million euros), a gross operating surplus of 280 million euros and a profit of nearly 60 million euros; in 2007 a turnover of 4.9 billion euros (the "gross margin" would be around 590 million euros), a gross operating surplus of 400 million euros and a profit of 280 million euros.</w:t>
      </w:r>
    </w:p>
    <w:p>
      <w:r>
        <w:t>176. Based on the general and individual elements previously outlined, without taking into account the situation of repetition and the reduction of the sanction that it benefits from due to the non-contestation of the grievances, a monetary sanction of 35.4 million euros should be imposed on Adecco France. The situation of repetition justifies increasing this amount by 25%, resulting in a total of 44.25 million euros. However, the reduction of the sanction due to the non-contestation of the grievances leads to imposing a monetary sanction of 32.5 million euros on Adecco France.</w:t>
      </w:r>
    </w:p>
    <w:p>
      <w:r>
        <w:t>177. Over the period 2000-2005, Adia's turnover grew by 10.6%, rising from 1.35 billion euros to 1.5 billion euros (its "gross margin" could therefore have evolved from approximately 160 million euros to 180 million euros). Its gross operating surplus decreased by 6.6%, from 53 million euros to 49 million euros. Its profit, on the other hand, increased by 8.3%, from 18 million euros to nearly 20 million euros. In 2006, the company achieved a turnover of 1.57 billion euros (the "gross margin" would be around 190 million euros), a gross operating surplus of 49 million euros and a profit of nearly 20 million euros; in 2007 a turnover of 1.55 billion euros (the "gross margin" would be around 185 million euros), a gross operating surplus of 98 million euros and a profit of nearly 39 million euros.</w:t>
      </w:r>
    </w:p>
    <w:p>
      <w:r>
        <w:t>178. In light of its sole participation in the agreement for the Alcan tender and based on the general and individual elements previously outlined, without taking into account the situation of repetition and the reduction of the sanction that this company benefits from due to the non-contestation of the grievances, a monetary sanction of 1.85 million euros should be imposed on it. The situation of repetition justifies increasing this amount by 25%, resulting in a total of 2.31 million euros. However, the reduction of the sanction due to the non-contestation of the grievances leads to imposing a monetary sanction of 1.7 million euros on Adia.</w:t>
      </w:r>
    </w:p>
    <w:p>
      <w:r>
        <w:t>d) Regarding the situation of VediorBis</w:t>
      </w:r>
    </w:p>
    <w:p>
      <w:r>
        <w:t>179. The ceiling for monetary sanctions that can be imposed on VediorBis is, considering the non-contestation of the grievances by this company in accordance with III of Article 464-2 of the Commercial Code, 5% of the global turnover of the Vedior group achieved in 2007, consolidated in the accounts of Vedior N.V., headquartered in the Netherlands. This turnover is the highest achieved by the group in the fiscal years closed since the fiscal year preceding the one in which the practices began. The said turnover was 8.4 billion euros, and the ceiling for the sanction is therefore 420 million euros.</w:t>
      </w:r>
    </w:p>
    <w:p>
      <w:r>
        <w:t>180. Over the period 1999-2005, VediorBis's turnover grew by 11.6%, rising from 2.21 billion euros to 2.46 billion euros (its "gross margin" could therefore have evolved from approximately 265 million euros to 295 million euros). Its gross operating surplus increased by nearly 49%, from 40 million euros to nearly 60 million euros. Its profit also increased, for reasons outside of operations, by 430%, from 18 million euros to nearly 100 million euros. In 2006, the company achieved a turnover of 2.58 billion euros (the "gross margin" would be around 310 million euros), a gross operating surplus of 53 million euros and a profit of 38 million euros; in 2007 a turnover of 2.77 billion euros (the "gross margin" would be around 330 million euros), a gross operating surplus of 155 million euros and a profit of 48 million euros.</w:t>
      </w:r>
    </w:p>
    <w:p>
      <w:r>
        <w:t>181. VediorBis argues, as particular circumstances that should lead to a reduction of its sanction, that it is only the third operator, significantly behind Manpower and the companies of the Adecco group, and that its market share, as well as its prices, have decreased between 1999 and 2004. However, to the extent that it has not already been addressed in paragraph 163, these considerations are largely reflected in the elements in the previous paragraph by comparison with similar elements concerning the other companies involved, and they are taken into account. Furthermore, a slight decrease in market share (from 14.3% to 12.8% for the period in question) or in the prices charged (-0.4%) does not preclude the financial capacity to pay a monetary sanction.</w:t>
      </w:r>
    </w:p>
    <w:p>
      <w:r>
        <w:t>182. Based on the general and individual elements previously outlined, without taking into account the situation of repetition and the reduction of the sanction that it benefits from due to the non-contestation of the grievances, a monetary sanction of 19.8 million euros should be imposed on VediorBis. The situation of repetition justifies increasing this amount by 25%, resulting in a total of 24.75 million euros. However, the reduction of the sanction due to the non-contestation of the grievances leads to imposing a monetary sanction of 18.2 million euros on VediorBis.</w:t>
      </w:r>
    </w:p>
    <w:p>
      <w:r>
        <w:t>6. ON THE OBLIGATION TO PUBLISH</w:t>
      </w:r>
    </w:p>
    <w:p>
      <w:r>
        <w:t>183. In order to draw the attention of clients of temporary work companies, it is necessary, given the facts established by this decision and the violations noted, to order the publication, at the shared expense of the sanctioned companies and in proportion to their monetary sanctions, in an economic journal, of the summary of this decision as set out in paragraph 184 below:</w:t>
      </w:r>
    </w:p>
    <w:p>
      <w:r>
        <w:t>184. Summary of the decision:</w:t>
        <w:br/>
        <w:t>"The Competition Council has sanctioned Adecco, Manpower, and VediorBis by a decision of February 2, 2009, for having colluded, between March 2003 and November 2004, to limit competition among themselves regarding their major clients. The Council had been seized by the Minister of Economy following a complaint filed with the European Commission, which forwarded the file to the French authorities.</w:t>
      </w:r>
    </w:p>
    <w:p>
      <w:r>
        <w:t>Adecco, Manpower, and Vedior, the three global leaders, cover 70% of the French market and respond to 90% of the demand from "major accounts" (companies that regularly and significantly use temporary work).</w:t>
      </w:r>
    </w:p>
    <w:p>
      <w:r>
        <w:t>Following searches conducted in 2004 and a thorough investigation, the Council gathered evidence that the companies involved, in order to significantly mitigate competition among themselves, frequently coordinated on various elements of their commercial and pricing policies regarding their "major account" clients, such as Eiffage, La Poste, Alstom, EDF, Servair, Galeries Lafayette, or Alcan. In some cases, they exchanged information - for example, on the billing coefficients applied to temporary workers' wages, on year-end discounts, or on the level of rebates to user companies from the social charge reductions decided at the time (Fillon reductions) - or even discussed the amount of their offers. The aim of the coordination was to ensure that price competition played as little as possible among them.</w:t>
      </w:r>
    </w:p>
    <w:p>
      <w:r>
        <w:t>User companies of temporary work were affected by these practices since Adecco, Manpower, and VediorBis were able to reserve margins higher than those that would have resulted from free competition. Temporary workers also suffered from the practice due to the increased cost of using this form of work.</w:t>
      </w:r>
    </w:p>
    <w:p>
      <w:r>
        <w:t>Furthermore, the Council emphasized that the practice whereby the companies involved confiscated for their benefit part of the social charge reductions (Fillon reductions) by limiting their rebates to user companies is particularly serious. Disrupting the incentive effects of employment policies can have, beyond the direct impact on the labor market, a negative budgetary impact and be counterproductive in a context of combating unemployment and prioritizing economic growth.</w:t>
      </w:r>
    </w:p>
    <w:p>
      <w:r>
        <w:t>The companies involved had already been condemned in 1997 for participating in an agreement aimed at limiting wage increases in the construction sector in Isère and Savoie during the preparation for the Albertville Olympics: the Council took this into account when setting the sanctions.</w:t>
      </w:r>
    </w:p>
    <w:p>
      <w:r>
        <w:t>Adecco, Adia, and VediorBis did not contest the facts and made significant commitments for the future that, beyond the development of a program for awareness and professional training and the establishment of an internal professional alert system, aim to improve the competitive functioning of the market. They benefited in this regard from a reduction of their sanction.</w:t>
      </w:r>
    </w:p>
    <w:p>
      <w:r>
        <w:t>Consequently, the Competition Council imposed:</w:t>
        <w:br/>
        <w:t>• on Manpower France Holding a sanction of 28,000,000 euros;</w:t>
        <w:br/>
        <w:t>• on Manpower France a sanction of 14,000,000 euros;</w:t>
        <w:br/>
        <w:t>• on Adecco France a sanction of 32,500,000 euros;</w:t>
        <w:br/>
        <w:t>• on Adia a sanction of 1,700,000 euros;</w:t>
        <w:br/>
        <w:t>• on VediorBis a sanction of 18,200,000 euros.</w:t>
      </w:r>
    </w:p>
    <w:p>
      <w:r>
        <w:t>The full text of the Competition Council's decision is accessible on the website www.conseil-concurrence.fr."</w:t>
      </w:r>
    </w:p>
    <w:p>
      <w:r>
        <w:rPr>
          <w:b/>
        </w:rPr>
        <w:t>[Pages 64–64]</w:t>
      </w:r>
    </w:p>
    <w:p>
      <w:r>
        <w:t>DECISION</w:t>
      </w:r>
    </w:p>
    <w:p>
      <w:r>
        <w:t>Article 1: It is not established that the company Groupe Vedior France has violated the provisions of Article 81 EC and Article L. 420-1 of the Commercial Code.</w:t>
      </w:r>
    </w:p>
    <w:p>
      <w:r>
        <w:t>Article 2: It is established that the companies Manpower France Holding (formerly Manpower France), Manpower France (formerly Manpower Entreprise), Adecco France (formerly Adecco Travail Temporaire), Adia, and VediorBis have violated the provisions of Article 81 EC and Article L. 420-1 of the Commercial Code.</w:t>
      </w:r>
    </w:p>
    <w:p>
      <w:r>
        <w:t>Article 3: The commitments made by the companies Adecco France, Adia, and the other entities of the Adecco group active in the territory of France in the temporary work sector as set out in paragraph 152, and the commitments made by the companies Groupe Vedior France and VediorBis as set out in paragraph 158, with the exception of the one analyzed in paragraph 161, are acknowledged. These companies are ordered to comply with them in all respects.</w:t>
      </w:r>
    </w:p>
    <w:p>
      <w:r>
        <w:t>Article 4: The following financial penalties are imposed:</w:t>
        <w:br/>
        <w:t>• on the company Manpower France Holding a penalty of 28,000,000 euros;</w:t>
        <w:br/>
        <w:t>• on the company Manpower France a penalty of 14,000,000 euros;</w:t>
        <w:br/>
        <w:t>• on the company Adecco France a penalty of 32,500,000 euros;</w:t>
        <w:br/>
        <w:t>• on the company Adia a penalty of 1,700,000 euros;</w:t>
        <w:br/>
        <w:t>• on the company VediorBis a penalty of 18,200,000 euros.</w:t>
      </w:r>
    </w:p>
    <w:p>
      <w:r>
        <w:t>Article 5: The companies mentioned in Article 2 shall publish the text appearing in paragraph 184 of this decision, respecting the formatting, in an edition of the magazine "L’Expansion." This publication shall appear in a box with black characters on a white background with a height of at least three millimeters under the following title, in bold characters of the same size: "Decision No. 09-D-05 of February 2, 2009, of the Competition Council regarding practices implemented in the temporary work sector." It may be followed by a mention that the decision has been appealed to the Court of Appeal of Paris if such appeals are filed. The concerned companies shall send, by registered mail, to the procedure office, a copy of these publications, as soon as they are published and no later than May 2, 2009.</w:t>
      </w:r>
    </w:p>
    <w:p>
      <w:r>
        <w:t>Deliberated on the oral report of Messrs. Ferrero and Duflos, by Mr. Lasserre, President, Mr. Nasse, Vice-President, and Mr. Honorat, Member.</w:t>
      </w:r>
    </w:p>
    <w:p>
      <w:r>
        <w:t>The session secretary, The President,</w:t>
        <w:br/>
        <w:t>Véronique Letrado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