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https://www.autoritedelaconcurrence.fr/fr/decision/relative-des-pratiques-mises-en-oeuvre-dans-le-secteur-du-voyage-de-tourisme</w:t>
      </w:r>
    </w:p>
    <w:p>
      <w:r>
        <w:t>Pages translated : 21</w:t>
      </w:r>
    </w:p>
    <w:p/>
    <w:p>
      <w:r>
        <w:rPr>
          <w:b/>
        </w:rPr>
        <w:t>[Pages 1–3]</w:t>
      </w:r>
    </w:p>
    <w:p>
      <w:r>
        <w:t xml:space="preserve">FRENCH REPUBLIC  </w:t>
        <w:br/>
        <w:t xml:space="preserve">Decision No. 20-D-21 of December 8, 2020  </w:t>
        <w:br/>
        <w:t xml:space="preserve">regarding practices implemented in the tourism travel sector  </w:t>
        <w:br/>
        <w:t xml:space="preserve">The Competition Authority (Vice-President ruling alone),  </w:t>
        <w:br/>
        <w:t xml:space="preserve">Having regard to the letters, registered on June 22, 2020, under numbers 20/0068 F and 20/0069 M, by which the company CEDIV TRAVEL and fifty-five affiliated travel agencies referred the matter to the Competition Authority regarding practices implemented by ninety airlines, IATA, and BSP France in the tourism travel sector, and additionally requested the issuance of interim measures;  </w:t>
        <w:br/>
        <w:t xml:space="preserve">Having regard to the Treaty on the Functioning of the European Union;  </w:t>
        <w:br/>
        <w:t xml:space="preserve">Having regard to Book IV of the Commercial Code;  </w:t>
        <w:br/>
        <w:t xml:space="preserve">Having regard to Decision No. 20-JU-03 of September 17, 2020, by which the President of the Competition Authority designated Mr. Henri Piffaut, Vice-President, to enable him to adopt a decision alone as provided for in Article L. 462-8 of the Commercial Code in application of Article L. 461-3 paragraph 4 of the Commercial Code;  </w:t>
        <w:br/>
        <w:t xml:space="preserve">Having regard to the other documents in the file;  </w:t>
        <w:br/>
        <w:t xml:space="preserve">The reporting member, the deputy reporting member, the representatives of CEDIV TRAVEL and the fifty-five affiliated agencies, and the Government Commissioner heard during the session of the Competition Authority on October 15, 2020;  </w:t>
        <w:br/>
        <w:t>Adopts the following decision:</w:t>
      </w:r>
    </w:p>
    <w:p>
      <w:r>
        <w:t xml:space="preserve">Summary1  </w:t>
        <w:br/>
        <w:t xml:space="preserve">By the terms of the decision below, the Competition Authority rejects the substantive referral of CEDIV TRAVEL (hereinafter "the CEDIV") and fifty-five affiliated travel agencies for lack of evidence and, consequently, the request for interim measures ancillary to the referral.  </w:t>
        <w:br/>
        <w:t xml:space="preserve">The CEDIV is a cooperative company grouping travel agencies primarily active in the tourism travel sector.  </w:t>
        <w:br/>
        <w:t xml:space="preserve">The applicants initially denounced a concerted practice contrary to Articles 101 TFEU and L. 420-1 of the Commercial Code, whereby, since March 17, 2020, ninety member or non-member airlines of the International Air Transport Association (IATA) would have ceased to comply with the obligation to refund canceled flights due to the coronavirus crisis and would have imposed vouchers, to the detriment of travel agencies and end customers. The applicants also argued that the same facts could be qualified as an abuse of collective dominant position contrary to Articles 102 TFEU and L. 420-2 of the Commercial Code and as an abuse of economic dependence under Article L. 420-2 of the Commercial Code.  </w:t>
        <w:br/>
        <w:t xml:space="preserve">After recalling that the refund of canceled flight-only tickets is solely the responsibility of the airlines, given the agency relationship they maintain with travel agencies and Regulation (EC) No. 261/2004 concerning passenger rights, and after analyzing the elements provided by the applicants, the Authority found that none of the elements in the file were capable of inferring the existence of a form of concertation among the airlines concerned regarding the terms of refund for canceled flights. The Authority, on the contrary, emphasized that the alleged parallel behavior was, in reality, very imperfect and seemed to be explainable by autonomous individual reactions to the same shock posed by the Covid-19 health crisis for airlines. The elements in the file also did not allow for the consideration that IATA acted directly on the operation of the Billing Settlement Plan (or billing and settlement plan, hereinafter "BSP"), as alleged by the applicants.  </w:t>
        <w:br/>
        <w:t xml:space="preserve">For the same reasons, the Authority also concluded that there was a lack of evidence to consider the existence of an abuse of collective dominant position. The Authority finally indicated that the abuse of economic dependence was not characterized, as the sale of flight-only tickets by travel agencies represented a small share of their turnover.  </w:t>
        <w:br/>
        <w:t xml:space="preserve">The Authority emphasizes that this decision does not prejudge the analysis it could undertake if new elements regarding the behavior of IATA or the airlines were brought to its attention.  </w:t>
        <w:br/>
        <w:t xml:space="preserve">It also does not prejudge the compatibility of the airlines' behavior with Regulation (EC) No. 261/2004, the assessment of which falls under the competence of the Directorate General of Civil Aviation for flights departing from or arriving in France.  </w:t>
        <w:br/>
        <w:t>1 This summary is strictly informative. Only the reasons for the decision numbered below are authoritative.</w:t>
      </w:r>
    </w:p>
    <w:p>
      <w:r>
        <w:t xml:space="preserve">SUMMARY  </w:t>
        <w:br/>
        <w:t xml:space="preserve">I. Findings ...................................................................................................... 4  </w:t>
        <w:br/>
        <w:t xml:space="preserve">A. THE REFERRAL ......................................................................................................... 4  </w:t>
        <w:br/>
        <w:t xml:space="preserve">B. THE COMPANIES CONCERNED .................................................................. 4  </w:t>
        <w:br/>
        <w:t xml:space="preserve">1. THE APPLICANTS: CEDIV TRAVEL AND 55 MEMBER TRAVEL AGENCIES OF THE CEDIV ....................................................................................................................... 4  </w:t>
        <w:br/>
        <w:t xml:space="preserve">2. THE COMPANIES IN QUESTION .......................................................................... 5  </w:t>
        <w:br/>
        <w:t xml:space="preserve">C. THE TOURISM TRAVEL SECTOR ................................................................. 6  </w:t>
        <w:br/>
        <w:t xml:space="preserve">1. THE TICKETING ACTIVITY OF TRAVEL AGENTS .......................................... 6  </w:t>
        <w:br/>
        <w:t xml:space="preserve">2. THE PACKAGE TOUR DISTRIBUTION ACTIVITY ........................................... 9  </w:t>
        <w:br/>
        <w:t xml:space="preserve">D. THE PRACTICES DENOUNCED ...................................................................... 10  </w:t>
        <w:br/>
        <w:t xml:space="preserve">II. Discussion ........................................................................................................... 11  </w:t>
        <w:br/>
        <w:t xml:space="preserve">A. ON THE APPLICABILITY OF EUROPEAN UNION LAW .......................... 12  </w:t>
        <w:br/>
        <w:t xml:space="preserve">B. ON THE RELEVANT MARKETS ................................................................ 12  </w:t>
        <w:br/>
        <w:t xml:space="preserve">C. ON THE ALLEGED PRACTICES ................................................................. 12  </w:t>
        <w:br/>
        <w:t xml:space="preserve">1. ON THE PRACTICE CONTRARY TO ARTICLE 101 TFEU AND L. 420-1 ALLEGED .... 13  </w:t>
        <w:br/>
        <w:t xml:space="preserve">2. ON THE ALLEGED ABUSE OF COLLECTIVE DOMINANT POSITION .............................. 17  </w:t>
        <w:br/>
        <w:t xml:space="preserve">3. ON THE ALLEGED ABUSE OF ECONOMIC DEPENDENCE .......................................... 19  </w:t>
        <w:br/>
        <w:t xml:space="preserve">4. GENERAL CONCLUSION ....................................................................................... 20  </w:t>
        <w:br/>
        <w:t>DECISION ......................................................................................................................... 21</w:t>
      </w:r>
    </w:p>
    <w:p>
      <w:r>
        <w:rPr>
          <w:b/>
        </w:rPr>
        <w:t>[Pages 4–6]</w:t>
      </w:r>
    </w:p>
    <w:p>
      <w:r>
        <w:t xml:space="preserve">I. Findings  </w:t>
        <w:br/>
        <w:t xml:space="preserve">A. THE REFERRAL  </w:t>
        <w:br/>
        <w:t xml:space="preserve">1. By letters registered on June 22, 2020, under numbers 20/0068 F and 20/0069 M, the company CEDIV TRAVEL (hereinafter "the CEDIV") and fifty-five affiliated travel agencies referred the matter to the Competition Authority, based on Articles L. 420-1, L. 420-2 of the Commercial Code, 101 and 102 of the Treaty on the Functioning of the European Union (hereinafter: "TFEU"), regarding practices implemented by ninety airlines, the International Aviation Transport Association (hereinafter "IATA") and the Billing and Settlement Plan France (hereinafter "BSP France" or "BSP").  </w:t>
        <w:br/>
        <w:t>2. In addition to the referral on the merits, by letter registered on June 22, 2020, under number 20/0069 M, the applicants requested, based on Article L. 464-1 of the Commercial Code, the issuance of precautionary measures.</w:t>
      </w:r>
    </w:p>
    <w:p>
      <w:r>
        <w:t xml:space="preserve">B. THE COMPANIES INVOLVED  </w:t>
        <w:br/>
        <w:t xml:space="preserve">1. THE APPLICANTS: CEDIV TRAVEL AND 55 MEMBER TRAVEL AGENCIES OF CEDIV  </w:t>
        <w:br/>
        <w:t xml:space="preserve">3. The CEDIV is a cooperative public limited company with a board of directors comprising two hundred fifty-four independent travel agencies located in France. Its objective is "to support travel agencies in developing their expertise and in accessing information and best management practices."  </w:t>
        <w:br/>
        <w:t xml:space="preserve">4. The CEDIV is allied with the Selectour network and benefits, in this capacity, from the same pricing conditions and commission rates as the latter with tour operators and carriers.  </w:t>
        <w:br/>
        <w:t xml:space="preserve">5. According to its statutes, the CEDIV aims "to group together in a cooperative of retail merchants and under a common brand cooperative partners, operators of travel and stay sales holding a registration with the GIE ATOUT France [...] as well as non-cooperative partners; to provide its cooperative partners with the products and services necessary for the exercise of their activity, whether the products and services have been designed and produced by the company or whether they come from purchases made from other organizers of tourist services [...]".  </w:t>
        <w:br/>
        <w:t xml:space="preserve">6. Fifty-five travel agencies affiliated with the CEDIV, registered in the register of travel and stay operators ATOUT France, IATA accredited and participating in the BSP, are also individually associated with the complaint.  </w:t>
        <w:br/>
        <w:t>7. These agencies engage in both a distribution activity mandated by airlines for the sale and issuance of transport tickets (sale of "standalone" flights) and a distribution activity of package holidays. Some of them are also tour operators, in the sense that they compose and sell their own package holidays. They primarily target a tourist clientele.</w:t>
      </w:r>
    </w:p>
    <w:p>
      <w:r>
        <w:t xml:space="preserve">2. THE COMPANIES CHALLENGED  </w:t>
        <w:br/>
        <w:t xml:space="preserve">8. The complaint targets ninety airlines (a) as well as IATA and BSP France (b).  </w:t>
        <w:br/>
        <w:t xml:space="preserve">a) The airlines  </w:t>
        <w:br/>
        <w:t xml:space="preserve">9. The complaint initially implicates ninety airlines. Subsequently, the applicants informed the investigation services that Air France would have ceased participating in the practices from May 2020.  </w:t>
        <w:br/>
        <w:t xml:space="preserve">10. These airlines serve French territory as part of regular routes and are members of IATA, with the exception of so-called "low-cost" airlines, Ryanair, Transavia, and EasyJet.  </w:t>
        <w:br/>
        <w:t xml:space="preserve">11. They distribute their transport tickets through various channels: directly via their website or sales counters or indirectly via travel agencies.  </w:t>
        <w:br/>
        <w:t xml:space="preserve">12. They are also likely to charter aircraft or sell seats (in blocks or individually) to tour operators who integrate the air transport service into their own packages or "package holidays."  </w:t>
        <w:br/>
        <w:t xml:space="preserve">b) IATA and BSP France  </w:t>
        <w:br/>
        <w:t xml:space="preserve">13. IATA is an association composed of airlines. Founded in 1945, it currently has approximately two hundred ninety members worldwide.  </w:t>
        <w:br/>
        <w:t xml:space="preserve">14. IATA members adopt resolutions during conferences that standardize certain practices and are binding on all, particularly regarding their relationships with travel agencies.  </w:t>
        <w:br/>
        <w:t xml:space="preserve">15. Thus, IATA member airlines organize their indirect distribution network in accordance with the resolutions forming the "Passenger Agency Program" (hereinafter "PAP"), which notably includes the rules for the accreditation of travel agencies authorized to distribute airline tickets on behalf of the airlines and the standard mandate contract called "Passenger Sales Agency Agreement."  </w:t>
        <w:br/>
        <w:t xml:space="preserve">16. IATA has also established billing settlement plans (Billing Settlement Plan, hereinafter "BSP"), which are compensation systems allowing for the automation of the collection and distribution of amounts owed by accredited travel agencies to airlines. Each member state has a banking settlement plan.  </w:t>
        <w:br/>
        <w:t xml:space="preserve">17. As indicated in the "BSP Manual for Agents," "The BSP is a system designed to facilitate and simplify the sales, refund, reporting, and payment procedures of IATA-accredited Agents on behalf of BSP Airlines. Through the BSP, IATA consolidates the amounts owed by each Agent and those owed to each Airline to allow for the payment and settlement of these amounts through a single financial transfer for each participant."  </w:t>
        <w:br/>
        <w:t xml:space="preserve">18. IATA is also tasked with ensuring the integrity of this financial system, in accordance with its resolutions 824, 812, and 850. To this end, the participation of agencies and airlines in the BSP entails the obligation to pay the amounts due at each payment period.  </w:t>
        <w:br/>
        <w:t xml:space="preserve">19. IATA regularly examines the financial stability of accredited agencies. In the event of non-compliance with payment periods, IATA may revoke an agency's accreditation (resolution 812).  </w:t>
        <w:br/>
        <w:t>20. Similarly, IATA is authorized to take action against airlines that fail to meet their payment obligations when refunds exceed sales (resolution 850 Article 15).</w:t>
      </w:r>
    </w:p>
    <w:p>
      <w:r>
        <w:t xml:space="preserve">C. THE TOURISM TRAVEL SECTOR  </w:t>
        <w:br/>
        <w:t xml:space="preserve">21. In this case, the applicants are travel agencies that act as intermediaries between, on the one hand, travel service providers (airlines, hoteliers, car rental companies, etc.) or tour operators (who purchase travel services from suppliers and assemble them to sell to their clients in the form of "package holidays") and, on the other hand, the final customer.  </w:t>
        <w:br/>
        <w:t xml:space="preserve">22. Specifically regarding air transport, travel agencies find themselves in two distinct situations:  </w:t>
        <w:br/>
        <w:t xml:space="preserve">- they may distribute and issue airline tickets ("standalone flights") on behalf of the airlines that have mandated them (ticketing activity);  </w:t>
        <w:br/>
        <w:t xml:space="preserve">- they may distribute package holidays that include an air transport service.  </w:t>
        <w:br/>
        <w:t xml:space="preserve">23. The nature of the economic relationships between travel agencies and airlines and their respective responsibilities towards passengers differ in these two cases.  </w:t>
        <w:br/>
        <w:t xml:space="preserve">1. THE TICKETING ACTIVITY OF TRAVEL AGENTS  </w:t>
        <w:br/>
        <w:t xml:space="preserve">a) The mandate relationship between travel agencies and airlines for the sale of standalone flights  </w:t>
        <w:br/>
        <w:t xml:space="preserve">24. Accredited travel agencies are authorized to issue transport tickets on behalf of airlines.  </w:t>
        <w:br/>
        <w:t>25. IATA member airlines have established a standardized accreditation process within the framework of the PAP. When a travel agency obtains IATA accreditation, it can issue tickets on behalf of all IATA member airlines.</w:t>
      </w:r>
    </w:p>
    <w:p>
      <w:r>
        <w:rPr>
          <w:b/>
        </w:rPr>
        <w:t>[Pages 7–9]</w:t>
      </w:r>
    </w:p>
    <w:p>
      <w:r>
        <w:t xml:space="preserve">26. The PAP defines a mandate relationship between airlines and travel agencies, with the latter not bearing the operational or commercial risks associated with air transport, as recently recalled by the Competition Authority. Thus, travel agencies do not purchase airline tickets for resale. Their revenue consists of commissions calculated on the amount of sales made on behalf of the airlines as well as service fees charged to travelers.  </w:t>
        <w:br/>
        <w:t xml:space="preserve">27. Travel agencies are therefore obliged to comply with the commercial policy of the airlines. Thus, in accordance with Article 3 of Resolution 824, the agent is authorized to sell air passages "on behalf of the Carrier and in accordance with the fares, conditions of carriage, and written instructions that the Carrier has provided to the agent." Article 7 of Resolution 824 specifies that "all sums collected by the Agent for transport and ancillary services sold under this Contract [...] are the property of the Carrier; these sums must be held in trust by the Agent as the property of the Carrier or on its behalf, until they have been accounted for to the latter satisfactorily and payment has been made."  </w:t>
        <w:br/>
        <w:t xml:space="preserve">28. Regarding refunds specifically, pursuant to Article 8 of Resolution 824, "the agent will make refunds only in accordance with the Carrier's fares, its conditions of carriage, as well as on its written instructions and against receipt."  </w:t>
        <w:br/>
        <w:t xml:space="preserve">29. IATA accreditation of travel agencies requires them to participate in the BSP and to pay all sums due at a defined frequency.  </w:t>
        <w:br/>
        <w:t xml:space="preserve">30. Travel agencies may also be mandated by non-IATA airlines to issue tickets on their behalf. While most are "low-cost" airlines that prefer direct distribution, some do provide access to their inventories via centralized reservation systems ("Global Distribution System," hereinafter "GDS"), which allow travel agencies to access information on schedules, capacity, availability, and flight fares and to sell and issue tickets. Financial exchanges between these airlines and travel agencies generally do not go through the BSP.  </w:t>
        <w:br/>
        <w:t xml:space="preserve">31. According to a XERFI study, ticketing represented 3% of the revenue of travel agencies in 2016.  </w:t>
        <w:br/>
        <w:t xml:space="preserve">b) Passenger rights in the event of flight cancellations  </w:t>
        <w:br/>
        <w:t xml:space="preserve">32. When a traveler purchases a flight-only ticket from a travel agency, they enter into an air carriage contract with the airline. The responsibility for the execution of the air transport service rests entirely with the airline.  </w:t>
        <w:br/>
        <w:t xml:space="preserve">33. Regulation (EC) No 261/2004 defines passenger rights. Article 8 stipulates that airlines are obliged, in the event of flight cancellation, to offer passengers the choice between a ticket refund and re-routing to the final destination at the earliest opportunity or at a later date. Article 14 requires airlines to inform passengers of their rights. It is thus incumbent upon airlines to refund travelers in the event of a flight cancellation, including when the ticket has been purchased through an agency.  </w:t>
        <w:br/>
        <w:t xml:space="preserve">34. The COVID-19 health crisis did not alter this regulatory framework. The European Commission reaffirmed the obligations of airlines regarding flight cancellations in a communication concerning "interpretative guidelines relating to EU regulations on passenger rights in light of the evolving situation regarding COVID-19" dated March 18, 2020.  </w:t>
        <w:br/>
        <w:t xml:space="preserve">35. On May 13, 2020, it also published Recommendations (EU) 2020/648 "concerning vouchers for passengers and travelers as an alternative to refunds for package travel and transport services canceled in the context of the COVID-19 pandemic," which remind that a refund in the form of a voucher is only possible with the passenger's agreement.  </w:t>
        <w:br/>
        <w:t xml:space="preserve">36. Furthermore, travelers may refer to the Directorate General of Civil Aviation ("DGAC") in the event of non-compliance by airlines with Regulation (EC) No 261/2004 regarding flights departing from or arriving at airports located in France.  </w:t>
        <w:br/>
        <w:t xml:space="preserve">c) The processing of refund requests in the event of flight cancellations  </w:t>
        <w:br/>
        <w:t xml:space="preserve">37. To sell and issue airline tickets, travel agencies access the inventory and fares of the various airlines that have mandated them via the GDS.  </w:t>
        <w:br/>
        <w:t xml:space="preserve">38. In the event of a refund request for a ticket sold through its intermediary, the agency must, in accordance with the mandate contract, obtain the prior written consent of the concerned airline before proceeding with the actual refund of the ticket, in accordance with the airline's commercial policy. The agency is not obliged to refund travelers if the airline refuses.  </w:t>
        <w:br/>
        <w:t xml:space="preserve">39. The refund procedure thus consists of two distinct steps that are not technically handled by the same operators: obtaining the airline's consent and then the actual processing of the refund.  </w:t>
        <w:br/>
        <w:t xml:space="preserve">40. Technically, travel agencies most often request refund authorization from an airline via the GDS they use for booking and issuing tickets. This functionality is an option offered by the GDS. This procedure is independent of IATA and the BSP.  </w:t>
        <w:br/>
        <w:t xml:space="preserve">41. Airlines may also use the refund authorization request functionality offered by IATA as part of its BSP management activities. This functionality is accessible via the BSP access interface called "BSPlink." This procedure is referred to as "indirect" or "manual." However, IATA does not directly intervene in the acceptance or rejection of the refund request, which remains at the discretion of each airline, in accordance with the mandate contract and the "BSP Manual for Agents."  </w:t>
        <w:br/>
        <w:t xml:space="preserve">42. When an airline has granted a refund authorization, the information is transmitted to the BSP either by the GDS or via BSPlink, depending on the channel through which the request was made. Periodically, IATA then prepares a billing report, summarizing the amounts due from the agent for each payment period, based on the amount of sales made and the accepted refund requests, based on the information transmitted by the GDS and via BSPlink. Payments generally occur every 15 days.  </w:t>
        <w:br/>
        <w:t xml:space="preserve">43. It follows from these various elements that IATA ensures the technical processing of financial flows within the BSP and has no role, contrary to the claims of the applicants, regarding the authorization of refunds.  </w:t>
        <w:br/>
        <w:t xml:space="preserve">2. THE PACKAGE TRAVEL DISTRIBUTION ACTIVITY  </w:t>
        <w:br/>
        <w:t xml:space="preserve">44. Package holidays are created by tour operators who separately purchase travel services from suppliers and assemble them for resale.  </w:t>
        <w:br/>
        <w:t xml:space="preserve">45. Tour operators can sell their products directly or have them distributed by mandated travel agencies. Just like for flight-only tickets, agencies receive a commission for their distribution activity of package holidays created by tour operators.  </w:t>
        <w:br/>
        <w:t xml:space="preserve">46. Unlike the case of flight-only tickets, when a travel agency sells a package holiday that includes an airline ticket, it alone bears the obligation to refund travelers in the event of trip cancellation, in accordance with Directive (EU) 2015/2302 transposed into national law and codified in Articles L. 211-1 and following of the Tourism Code.  </w:t>
        <w:br/>
        <w:t>47. The Government wished to temporarily modify this regulation in the context of the COVID-19 epidemic to protect travel agencies from the risk of insolvency during this crisis. Thus, Ordinance No. 2020-315 of March 25, 2020, authorized professionals to offer travelers a voucher, valid.</w:t>
      </w:r>
    </w:p>
    <w:p>
      <w:r>
        <w:rPr>
          <w:b/>
        </w:rPr>
        <w:t>[Pages 10–12]</w:t>
      </w:r>
    </w:p>
    <w:p>
      <w:r>
        <w:t xml:space="preserve">18 months and refundable at the end of its validity period, in place of the refund for any cancellation notified between March 1 and September 15, 2020. These transitional provisions specific to package travel ended on September 16, 2020.  </w:t>
        <w:br/>
        <w:t xml:space="preserve">48. In the absence of elements submitted to the file regarding practices related to package travel and after confirmation in the session by the applicants, only flight-only tickets are concerned in this case.  </w:t>
        <w:br/>
        <w:t xml:space="preserve">D. THE PRACTICES ALLEGED  </w:t>
        <w:br/>
        <w:t xml:space="preserve">49. The practices alleged occur in the particular context of the Covid-19 epidemic, which has led to massive flight cancellations to and from France since March 17, 2020.  </w:t>
        <w:br/>
        <w:t xml:space="preserve">50. The applicants first denounce a concerted practice, contrary to Article 101 TFEU, whereby, since March 17, 2020, ninety IATA and non-IATA airlines would have ceased to comply with the obligation to offer refunds for flights canceled due to the coronavirus crisis and would have imposed vouchers. This practice would have "now become systematic, particularly under the impetus of IATA (but non-IATA airlines are practicing the same policy in this instance)."  </w:t>
        <w:br/>
        <w:t xml:space="preserve">51. According to the applicants, this concerted practice originated from a letter from the IATA director, which explained to travel agencies the impossibility for airlines to refund tickets for flights that were not operated, which the applicants interpret as an instruction given to airlines to cease cash refunds.  </w:t>
        <w:br/>
        <w:t xml:space="preserve">52. Following this letter, airlines would have been "authorized by IATA (which they mostly did) to cut the automatic refund process via the GDS" or the BSP would have "cut the real-time automatic refund system for travel agencies, which existed within the BSP-link."  </w:t>
        <w:br/>
        <w:t xml:space="preserve">53. The applicants consider that "The open letter from the IATA director general is the triggering element of the collective cut-off of the automatic refund procedure for unused tickets by airlines." and that "in our case, it is certain that airlines were aware of the letter from the IATA director general and that subsequently, the BSP system was modified to cut the automatic refund of tickets for all concerned airlines."  </w:t>
        <w:br/>
        <w:t xml:space="preserve">54. Thus, for the months of March and April 2020, the complaining agencies had to pay the BSP approximately 1.9 million euros for issued tickets and would have only received about 740,000 euros in refunds following the cancellation of flights.  </w:t>
        <w:br/>
        <w:t xml:space="preserve">55. The applicants specify that "From now on, they [the travel agencies] do have vouchers from the airlines, but no guarantee of actual payment, particularly in the event of the airline's bankruptcy."  </w:t>
        <w:br/>
        <w:t xml:space="preserve">56. This practice would have the consequence of "significantly impacting the cash flow of the complainants and their relationship with customers at the risk of causing their gradual exclusion from the market."  </w:t>
        <w:br/>
        <w:t xml:space="preserve">57. The applicants also argue that the same facts could be qualified as an abuse of collective dominant position, in violation of Article 102 TFEU. However, in a letter dated July 9, 2020, they specified that the change in Air France's policy that occurred in May 2020 no longer allowed them to support this qualification beyond that date.  </w:t>
        <w:br/>
        <w:t xml:space="preserve">58. Finally, the applicants consider that these practices could be qualified as an abuse of economic dependence.  </w:t>
        <w:br/>
        <w:t xml:space="preserve">59. In addition to the referral on the merits, the applicants requested the issuance of interim measures to order "the airlines to cease any behavior aimed at denying air passengers/travel agencies, in the event of a flight canceled due to the coronavirus crisis, the benefit of their right to choose a refund in accordance with Article 8§1 of European Regulation No 261/2004."  </w:t>
        <w:br/>
        <w:t xml:space="preserve">60. The applicants also request "that the amounts debited for unused tickets, by BSP France, between March 15 and March 30, 2020, from the accounts of the IATA accredited agencies of CEDIV, be refunded in cash to their respective bank accounts." to ultimately request the restitution of the amounts debited from their account for tickets canceled since March 1, 2020.  </w:t>
        <w:br/>
        <w:t xml:space="preserve">II. Discussion  </w:t>
        <w:br/>
        <w:t xml:space="preserve">61. The second paragraph of Article L. 462-8 of the Commercial Code states that "the Competition Authority may (...) reject the referral by reasoned decision when it considers that the facts invoked are not supported by sufficiently probative elements."  </w:t>
        <w:br/>
        <w:t xml:space="preserve">62. Article R. 464-1 of the Commercial Code states that "the request for interim measures mentioned in Article L. 464-1 can only be made in addition to a referral on the merits to the Competition Authority."  </w:t>
        <w:br/>
        <w:t xml:space="preserve">63. The applicability of European law (A), the definition of the relevant markets (B), and finally, the existence of practices that could be qualified as collusion, abuse of dominant position, or abuse of economic dependence (C) will be examined successively.  </w:t>
        <w:br/>
        <w:t xml:space="preserve">A. ON THE APPLICABILITY OF EUROPEAN UNION LAW  </w:t>
        <w:br/>
        <w:t xml:space="preserve">64. Considering the elements in the file, and subject to a substantive examination, there is no reason to challenge the position of the applicants that European Union law is applicable in the present case.  </w:t>
        <w:br/>
        <w:t xml:space="preserve">B. ON THE RELEVANT MARKETS  </w:t>
        <w:br/>
        <w:t xml:space="preserve">65. It appears from the elements in the file that the applicants have identified the relevant markets in the present case in a shifting and imprecise manner. Initially, it was considered in their submissions that "the overall market of products to be considered in this instance is the air passenger transport market." Subsequently, the existence of a "market for air travel agency services" was mentioned. Regarding the assessment of the position of the companies involved in the relevant market, the applicants mentioned "the market for the purchase of airline tickets by French tour operators" or "the French market for airline ticket distribution services," a definition ultimately retained in the letter of July 9, 2020.  </w:t>
        <w:br/>
        <w:t xml:space="preserve">66. Given the alleged practices, which ultimately only concern flight-only tickets, as confirmed in the session, it does not appear that the markets related to package travel are concerned in this case. Rather, the economic relationships between travel agencies and airlines on the one hand, and between airlines and end customers (the travelers) on the other hand, are targeted.  </w:t>
        <w:br/>
        <w:t xml:space="preserve">67. However, in this case, there is no need to define the relevant markets more precisely regarding the alleged practices, as the conclusions of the analysis remain unchanged, regardless of the delimitations considered.  </w:t>
        <w:br/>
        <w:t xml:space="preserve">C. ON THE ALLEGED PRACTICES  </w:t>
        <w:br/>
        <w:t>68. It is necessary to examine whether the practices alleged by the applicants are supported by sufficiently probative elements.</w:t>
      </w:r>
    </w:p>
    <w:p>
      <w:r>
        <w:rPr>
          <w:b/>
        </w:rPr>
        <w:t>[Pages 13–15]</w:t>
      </w:r>
    </w:p>
    <w:p>
      <w:r>
        <w:t xml:space="preserve">1. ON THE PRACTICE CONTRARY TO ARTICLE 101 TFEU AND L. 420-1 ALLEGED  </w:t>
        <w:br/>
        <w:t xml:space="preserve">a) Applicable principles  </w:t>
        <w:br/>
        <w:t xml:space="preserve">69. The first paragraph of Article 101 TFEU and Article L. 420-1 of the Commercial Code prohibit agreements, decisions by associations of undertakings, and concerted practices between undertakings that have the object or effect of restricting competition.  </w:t>
        <w:br/>
        <w:t xml:space="preserve">70. The notion of "decisions by associations of undertakings" refers to "institutionalized forms of cooperation, that is to say, situations where economic operators act through a collective structure or a common body" (Judgment of the Tribunal of May 24, 2012, MasterCard, T-111/08, paragraph 243). As the Authority has recalled several times46, such a qualification requires, first, that the association be composed of undertakings (Judgment of the Court of Justice of September 12, 2000, Pavel Pavlov, C-180/98 to C-184/98, paragraphs 73 to 77). Secondly, the decision in question must constitute a true expression of the association's intention to coordinate the behavior of its members in the market (Judgment of the Court of Justice of January 27, 1987, Verband der Sachversicherer, 45/85, paragraphs 29 to 32). Furthermore, it follows from consistent case law that a collusion can result from any act emanating from the bodies of a professional association, such as a professional regulation, internal rules, a scale, or a circular. The Court of Appeal of Paris also ruled, in a judgment of June 6, 2013, rendered on appeal against Decision No. 12-D-02 of January 12, 2012, concerning practices implemented in the leisure engineering, culture, and tourism sector, that "while a professional organization can disseminate information intended to assist its members in the exercise of their activity, the assistance it provides must not have the object or effect of diverting them from a direct understanding of their commercial strategy and their own costs that would allow them to set their prices individually and independently" (Judgment of the Court of Appeal of Paris of June 6, 2013, Géfil, cited, page 8 and Judgment of the Court of Appeal of Paris of January 29, 2008, UFOP, No. 2007/04524, page 6).  </w:t>
        <w:br/>
        <w:t xml:space="preserve">71. The notion of concerted practice refers to "a form of coordination between undertakings, which, without having been pushed to the realization of a formal agreement, deliberately substitutes practical cooperation among them for the risks of competition"47.  </w:t>
        <w:br/>
        <w:t xml:space="preserve">72. The Court of Justice specifies that concerted practice does not require "the development of a genuine plan" but must be "understood in light of the inherent conception of the treaty provisions relating to competition, according to which every economic operator must autonomously determine the policy it intends to pursue on the common market"48.  </w:t>
        <w:br/>
        <w:t xml:space="preserve">73. It is indeed established case law that "while it is true that this requirement of autonomy does not exclude the right of economic operators to intelligently adapt to the behavior observed or anticipated from their competitors, it does, however, rigorously oppose any direct or indirect contact between such operators, having the object or effect of influencing the market behavior of a current or potential competitor, or of revealing to such a competitor the behavior that one is determined to, or is considering, adopting on the market"49.  </w:t>
        <w:br/>
        <w:t xml:space="preserve">74. The existence of a concerted practice can be demonstrated by elements proving that contacts took place between a number of undertakings and that they were specifically pursuing the aim of eliminating uncertainty regarding their future behavior in the market50.  </w:t>
        <w:br/>
        <w:t xml:space="preserve">75. Demonstrating the existence of a concerted practice requires not only consultation between the undertakings but also behavior in the market resulting from this consultation and having a causal link with it. In this regard, it follows from the case law of the Court of Justice that "it should be presumed, subject to contrary evidence which it is incumbent upon the interested operators to provide, that the undertakings participating in the consultation and remaining active in the market take into account the information exchanged with their competitors to determine their behavior in that market"51.  </w:t>
        <w:br/>
        <w:t xml:space="preserve">76. Furthermore, the Authority has repeatedly recalled52 that parallel behavior alone is not sufficient to demonstrate the existence of an anti-competitive agreement. Indeed, such parallelism may result from the implementation of autonomous strategies by undertakings wishing to adapt to market developments. The Competition Council, in its opinion No. 01-A-14 of October 23, 2001, had already emphasized that "parallel but independent responses can occur [when] an external event affects all competitors in the same way, of which they are all equally informed." Similarly, in its 2006 annual report, the Council specified that "even if this alignment behavior may have the same object or restrictive effect on competition as an agreement, the concurrence of will, which has been emphasized as a constitutive element of the anti-competitive agreement offense, is lacking. The offense is therefore not characterized. Oligopolies do not in themselves constitute infringements of competition."  </w:t>
        <w:br/>
        <w:t xml:space="preserve">b) Assessment in this case  </w:t>
        <w:br/>
        <w:t xml:space="preserve">77. The applicants consider that the evidence of the existence of a practice contrary to Article 101 TFEU and L. 420-1 of the Commercial Code by the airlines consisting of refusing cash refunds and imposing credits would result from:  </w:t>
        <w:br/>
        <w:t xml:space="preserve">- a letter from the Director General of IATA53, Mr. X..., which would have "explained to travel agencies that airlines could not refund in cash for unused tickets due to the losses incurred and the liquidity crisis they have been experiencing since the beginning of the pandemic," which the applicants consider to be an instruction given by IATA that the airlines would have applied, in the absence of public distancing on their part54;  </w:t>
        <w:br/>
        <w:t xml:space="preserve">- the suspension of the automatic refund procedures usually used by agencies, which would have been decided in a coordinated manner by the airlines following the letter from IATA55 or implemented directly by IATA, which would have modified the operation of the BSP on this occasion56;  </w:t>
        <w:br/>
        <w:t xml:space="preserve">- the alleged "distancing" of the practice alleged by "certain companies, including Air France," which ultimately decided to refund canceled tickets, which would constitute a tacit acknowledgment of the existence of coordination57. Indeed, Air France initially offered refundable credits valid for 1 year58, then announced on May 15, 2020, the establishment of refunds or credits increased by 15% under certain conditions59.  </w:t>
        <w:br/>
        <w:t xml:space="preserve">78. The applicants also submitted to the file elements attesting to the actual refusal of cash refunds opposed to travel agencies by twenty airlines60.  </w:t>
        <w:br/>
        <w:t xml:space="preserve">79. According to publicly available information, including actions taken by consumer associations against airlines following numerous refusals to refund61, and according to the documents submitted to the file by the applicants, it is indeed not excluded that during the Covid-19 health crisis, and probably as early as March 17, 2020, many airlines did not comply with their obligations to inform passengers regarding their right to obtain refunds for canceled flights, arising from Regulation (EC) No 261/2004, and may have encouraged them to accept credits, or even imposed them. However, the assessment of the conformity of such behaviors with the aforementioned regulation does not fall within the competence of the Competition Authority, which is responsible for ensuring compliance with competition law, but falls under the Directorate General of Civil Aviation for flights departing from or arriving at airports located on French territory.  </w:t>
        <w:br/>
        <w:t xml:space="preserve">80. Furthermore, none of the elements provided by the applicants allows for the consideration that this practice is likely to be qualified as a concerted practice or a decision by an association of undertakings contrary to Article 101 TFEU.  </w:t>
        <w:br/>
        <w:t>81. Firstly, the letter from the Director General of IATA addressed to travel agencies cannot be considered as an instruction given to airlines to cease cash refunds. Indeed, it merely explains the financial difficulties faced by airlines in the context of the Covid-19 epidemic, notes the existence of a liquidity crisis, and shares the position he intends to defend before the regulatory authorities. Thus, the letter states that "In this context, we believe that the best solution, for both airlines and travel agencies, would be for the regulatory authorities to relax their requirements for</w:t>
      </w:r>
    </w:p>
    <w:p>
      <w:r>
        <w:rPr>
          <w:b/>
        </w:rPr>
        <w:t>[Pages 16–18]</w:t>
      </w:r>
    </w:p>
    <w:p>
      <w:r>
        <w:t xml:space="preserve">refunds and allow airlines to issue travel vouchers instead."62.  </w:t>
        <w:br/>
        <w:t xml:space="preserve">82. Secondly, none of the elements submitted in the file establishes a link between the IATA communication and the widespread suspension of refunds denounced by the referral, as the aforementioned letter contains no directive addressed to airlines on such a subject. The "widespread" nature of the suspension of refund procedures is also not established by the elements in the file: it appears, for example, from the press articles submitted to the procedure that in reality only "several airlines have cut automated refund processes"63. It also appears from a document submitted by the applicants that a travel agency indicated on April 9, 2020, that "the various IAG companies are processing refunds directly"64, which tends to show that some airlines continued to refund canceled tickets.  </w:t>
        <w:br/>
        <w:t xml:space="preserve">83. Furthermore, the applicants provide no evidence to support the claim that the IATA itself modified the operation of the BSP in such a way as to interrupt refunds. Indeed, it appears from the referral65 and public information66 that the automated refund procedure referred to is that proposed by the GDS, which each airline can choose to activate or not. No element in the file thus allows for an understanding of how the IATA could have directly intervened in a procedure to which it is not a party.  </w:t>
        <w:br/>
        <w:t xml:space="preserve">84. Regarding the BSP itself, the IATA offers a so-called "manual" refund procedure via the BSPlink interface, which allows agencies to request refund authorization from airlines. However, this procedure has never ceased to operate, even though the applicants explained in the hearing that it was longer and more complicated than the automatic procedure. Finally, there is no evidence in the file that the IATA exceeded the role defined by the various resolutions governing the operation of the BSP, namely the consolidation of financial flows between agencies and airlines, in compliance with the commercial policy of the latter, and in particular the refund authorizations issued by each airline.  </w:t>
        <w:br/>
        <w:t xml:space="preserve">85. Moreover, it appears from the messages sent by the IATA to BSP users that it indeed reminded travel agencies and airlines of their obligation to remit the amounts due to the BSP: "The BSP must receive the total amounts due from agents as well as negative settlements from airlines to be able to settle all payments, including balances due to agents."67.  </w:t>
        <w:br/>
        <w:t xml:space="preserve">86. Thirdly, the documents submitted by the applicants intended to establish the existence of parallel behavior among the airlines68 actually show that, while cash refund refusals and the practice of vouchers are documented for the 20 concerned airlines, each of them has actually implemented deferrals and vouchers under very heterogeneous conditions (conditions for deferring trips, validity periods of vouchers, refund conditions in case of non-use of vouchers, charging of change fees, etc.), which have often evolved over time, as confirmed by the Government Commissioner in the hearing.  </w:t>
        <w:br/>
        <w:t xml:space="preserve">87. Fourthly, in the absence, on the one hand, of elements relating to the existence of consultation among the airlines, and on the other hand, of indications from Air France distancing itself from a jointly decided orientation regarding vouchers, the argument based on the change in Air France's behavior, which agreed to proceed with refunds for canceled flights starting in May 2020 (see paragraph 77), lacks any probative value.  </w:t>
        <w:br/>
        <w:t xml:space="preserve">88. Furthermore, the applicants provide no evidence to understand how the alleged practices could have extended to non-IATA airlines and those outside the BSP, which are also targeted by the complaint.  </w:t>
        <w:br/>
        <w:t xml:space="preserve">89. For all these reasons, none of the elements in the file is capable of suggesting the existence of a form of consultation among the targeted airlines. The alleged parallel behavior is, in reality, very imperfect and seems to be explainable by the autonomous individual reactions of the airlines, all facing the same major economic shock caused by the Covid-19 health crisis. Moreover, many airlines, like Air France, have gradually relaxed their policies, either by granting refunds, possibly with delays, or by improving the conditions for using vouchers. Thus, companies like Lufthansa or Qatar Airways, both implicated in the referral, had refunded more than 90% of their customers by the end of August 2020.  </w:t>
        <w:br/>
        <w:t xml:space="preserve">90. It also does not appear from the elements in the file that the IATA acted directly on the operation of the BSP by "cutting" the refund procedure, as suggested by the applicants.  </w:t>
        <w:br/>
        <w:t xml:space="preserve">91. Thus, the practice of airlines imposing vouchers on passengers instead of immediate refunds cannot be qualified as an anti-competitive practice contrary to Article 101 TFEU in light of the elements in the file.  </w:t>
        <w:br/>
        <w:t xml:space="preserve">92. Finally, it should be noted that, furthermore, the Authority is not competent to assess the compliance of the practices denounced with the provisions of Regulation (EC) No 261/2004, which benefit from specific avenues for appeal to the Directorate General of Civil Aviation.  </w:t>
        <w:br/>
        <w:t xml:space="preserve">2. ON THE ALLEGED ABUSE OF COLLECTIVE DOMINANT POSITION  </w:t>
        <w:br/>
        <w:t xml:space="preserve">a) Applicable principles  </w:t>
        <w:br/>
        <w:t xml:space="preserve">93. Article 102 TFEU as well as Article L. 420-2 of the Commercial Code prohibit one or more companies from abusing a dominant position in the internal market or in a substantial part of it.  </w:t>
        <w:br/>
        <w:t xml:space="preserve">94. Demonstrating the existence of an abuse of collective dominant position requires defining the relevant market, demonstrating that the companies concerned hold a collective dominant position in that market, and finally characterizing the abuse that has been committed69.  </w:t>
        <w:br/>
        <w:t xml:space="preserve">69 See the decision of the Competition Authority No. 20-D-11 of September 9, 2020, regarding practices implemented in the sector of age-related macular degeneration (AMD) treatment.  </w:t>
        <w:br/>
        <w:t xml:space="preserve">95. It follows from consistent case law that "to establish the existence of collective dominance in a market, it is necessary to examine the links and economic correlation factors between the companies concerned and, in particular, to verify whether there are economic links between these companies that allow them to act together independently of their competitors, their clients, and consumers; [...]"70.  </w:t>
        <w:br/>
        <w:t xml:space="preserve">96. The Authority has also indicated that "the existence of structural links between companies on the one hand, such as capital links or formalized agreements between them, and the adoption of a common line of action in the market on the other hand, is sufficient to demonstrate the existence of a collective dominant position [...]. In the absence of such links, the mere structure of the market may highlight a collective dominant position if the cumulative criteria established by the Court of First Instance in its Airtours judgment of June 6, 2002 (Case T-342/99) are met, namely the oligopolistic structure and transparency of the relevant market, the possibility of retaliating against companies deviating from the common line of action, and finally the non-contestability of the market or the absence of potential competition."71.  </w:t>
        <w:br/>
        <w:t xml:space="preserve">b) Assessment in this case  </w:t>
        <w:br/>
        <w:t xml:space="preserve">97. In their initial referral, the applicants argue that the existence of a "collective entity" composed of the ninety implicated airlines is inferred72 (1) from the existence of a common line of action consisting of no longer refunding canceled flights except in the form of vouchers, (2) from the "fear that airlines have of deviating from this line of action," and (3) from the fact that "the few airlines that have accepted the principle of cash refunds have no influence on the parties targeted by this complaint."  </w:t>
        <w:br/>
        <w:t xml:space="preserve">98. The applicants then argue that the dominant position of this collective entity is inferred from the fact that "the IATA and the airlines that are part of it constitute a group of companies representing more than 80% of the global air market. This proportion is roughly equivalent in France. But in this case, it is also necessary to consider that non-IATA airlines have applied the same principles as those decided within the IATA so that we must consider all these companies which, in practice, are in a quasi-monopoly situation."73.  </w:t>
        <w:br/>
        <w:t xml:space="preserve">99. However, the applicants indicated to the investigation services in their letter of July 9, 2020, that following Air France's change in refund policy, which occurred in May 2020, they observed that "the airlines currently being pursued are not in a dominant position in the relevant market"74.  </w:t>
        <w:br/>
        <w:t xml:space="preserve">100. In any case, even during the period when Air France would have imposed vouchers, none of the elements provided by the applicants allows for the consideration of the existence of a collective dominant position in the air transport market.  </w:t>
        <w:br/>
        <w:t>101. Firstly, the applicants do not explain what economic links would allow the implicated airlines "to act together independently of their competitors."</w:t>
      </w:r>
    </w:p>
    <w:p>
      <w:r>
        <w:rPr>
          <w:b/>
        </w:rPr>
        <w:t>[Pages 19–21]</w:t>
      </w:r>
    </w:p>
    <w:p>
      <w:r>
        <w:t>competitors, their clients, and consumers." The membership of a majority of them in IATA does not allow for this presumption, in the absence of any other element in the file: while IATA does indeed implement a certain standardization of the relationships between airlines and travel agencies (accreditation procedure and standard agency contract, common compensation system for financial flows between airlines and agencies via BSP), there is no evidence in the file that membership in IATA would imply a form of coordination of the airlines' commercial policies, whether in terms of pricing or refund conditions. In any case, this membership does not seem necessary, from the very perspective of the applicants, for the coordination of airlines, given that three non-IATA airlines are also involved.</w:t>
      </w:r>
    </w:p>
    <w:p>
      <w:r>
        <w:t>102. Secondly, the applicants do not provide sufficiently convincing evidence regarding the existence of a common course of action consisting of a refusal to refund canceled flights. Indeed, while the practice of vouchers has likely been widespread among airlines, particularly during the first lockdown period from March 17 to May 11, 2020, the elements in the file show that, in detail, the responses provided by 20 of the airlines involved have actually varied and have largely evolved over time, as confirmed in the session by the Government Commissioner.</w:t>
      </w:r>
    </w:p>
    <w:p>
      <w:r>
        <w:t>103. Finally, concerning the structure of the market, the first criterion set forth by the aforementioned Airtours judgment does not appear to be fulfilled. The referral indeed involves ninety airlines, which is nearly all the airlines serving France, which can hardly be classified as a restricted oligopoly. Furthermore, these airlines are heterogeneous, serve varied destinations, and likely do not have the same position across all routes concerned by the alleged practices. Their sizes and business models are varied, including both "low-cost" airlines and full-service carriers. These different elements complicate and make particularly unlikely the possibilities of coordination among these operators.</w:t>
      </w:r>
    </w:p>
    <w:p>
      <w:r>
        <w:t>104. The condition related to the possibility of exercising reprisals is also not substantiated, and no element in the file allows for imagining what form the competitors' reaction to a deviation from the common course of action could have taken, assuming such a course exists. The applicants' assertion that airlines would fear deviating from the common course of action carries no probative value, in the absence of any element supporting this assertion. In any case, Air France modified its refund policy in May 2020 without the applicants identifying any reaction from its competitors.</w:t>
      </w:r>
    </w:p>
    <w:p>
      <w:r>
        <w:t>105. In the absence of elements capable of establishing the existence of a collective dominant position, there is no need to rule on the existence of an abusive practice.</w:t>
      </w:r>
    </w:p>
    <w:p>
      <w:r>
        <w:t>3. ON THE ALLEGED ABUSE OF ECONOMIC DEPENDENCE</w:t>
        <w:br/>
        <w:t>106. Article L. 420-2 of the Commercial Code states that "The abusive exploitation by a company or a group of companies of the state of economic dependence in which a client or supplier company finds itself in relation to it is also prohibited, as long as it is likely to affect the functioning or structure of competition."</w:t>
      </w:r>
    </w:p>
    <w:p>
      <w:r>
        <w:t>107. The abuse of economic dependence therefore requires the fulfillment of three cumulative conditions: the existence of a situation of economic dependence of one company with respect to another, an abusive exploitation of this situation, and a real or potential effect on the functioning or structure of competition in the relevant market(s). In the absence of one of these three conditions, the alleged abuse of economic dependence is not established.</w:t>
      </w:r>
    </w:p>
    <w:p>
      <w:r>
        <w:t>108. The applicants argue, in their letter of July 9, 2020, supplementary to the referral, that travel agencies are in a situation of economic dependence on airlines since (i) the sale of airline tickets represents a considerable part of their revenue, (ii) there are no alternative suppliers, and (iii) the refusal of cash refunds "can be considered an abuse that restricts the commercial activity of travel agencies in an abnormal and excessive manner."</w:t>
      </w:r>
    </w:p>
    <w:p>
      <w:r>
        <w:t>109. However, no element capable of characterizing this state of economic dependence emerges from the file. In particular, based on public information, the only available data given the applicants' failure to meet the burden of proof on this point, the sale of flight-only tickets would represent only 3% of travel agencies' revenues.</w:t>
      </w:r>
    </w:p>
    <w:p>
      <w:r>
        <w:t>110. Furthermore, the refusal of cash refunds by airlines cannot constitute an abuse of the dependence of agencies on airlines as it does not affect the relationship between these operators, as recalled in paragraph 38. Indeed, this refusal directly affects the travelers with whom the airlines have entered into an air carriage contract. In contrast, travel agencies are not parties to the contract in the case of the sale of flight-only tickets and can only refund travelers if the airlines consent and thus agree to credit the agencies. None of the elements in the file establish a situation where an agency was compelled to refund a traveler despite the airline's refusal.</w:t>
      </w:r>
    </w:p>
    <w:p>
      <w:r>
        <w:t>111. In the absence of elements capable of establishing the existence of a state of economic dependence, there is no need to rule on the existence of an abusive practice that would affect the relationships between agencies and airlines.</w:t>
      </w:r>
    </w:p>
    <w:p>
      <w:r>
        <w:t>4. GENERAL CONCLUSION</w:t>
        <w:br/>
        <w:t>112. It follows from the elements presented above that the facts invoked in the context of the referral by CEDIV and the fifty-five affiliated agencies are not supported by sufficiently convincing elements to substantiate the existence of practices contrary to the provisions of Articles L. 420-1 and L. 420-2 of the Commercial Code and Articles 101 and 102 of the TFEU.</w:t>
      </w:r>
    </w:p>
    <w:p>
      <w:r>
        <w:t>113. It is therefore appropriate to apply the provisions of Article L. 462-8 of the Commercial Code and to reject the referral registered under number 20/0068 F and, consequently, the request for interim measures registered under number 20/0069 M.</w:t>
      </w:r>
    </w:p>
    <w:p>
      <w:r>
        <w:t>DECISION</w:t>
        <w:br/>
        <w:t>Article 1: The referral by CEDIV TRAVEL and fifty-five travel agencies registered under number 20/0068 F is rejected.</w:t>
        <w:br/>
        <w:t>Article 2: The request for interim measures by CEDIV TRAVEL and fifty-five travel agencies registered under number 20/0069 M is rejected.</w:t>
        <w:br/>
        <w:t>Deliberated on the oral report of Ms. Gaëlle Huerre and the intervention of Mr. Umberto Berkani, deputy general rapporteur, by Mr. Henri Piffaut, vice-president, president of the session.</w:t>
        <w:br/>
        <w:t>The session secretary, The session president,</w:t>
        <w:br/>
        <w:t>Caroline Orsel 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