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https://www.autoritedelaconcurrence.fr/fr/decision/relative-des-pratiques-mises-en-oeuvre-dans-les-secteurs-de-la-messagerie-et-de-la</w:t>
      </w:r>
    </w:p>
    <w:p>
      <w:r>
        <w:t>Pages translated : 233</w:t>
      </w:r>
    </w:p>
    <w:p/>
    <w:p>
      <w:r>
        <w:rPr>
          <w:b/>
        </w:rPr>
        <w:t>[Pages 1–3]</w:t>
      </w:r>
    </w:p>
    <w:p>
      <w:r>
        <w:t xml:space="preserve">FRENCH REPUBLIC  </w:t>
        <w:br/>
        <w:t xml:space="preserve">Decision No. 15-D-19 of December 15, 2015  </w:t>
        <w:br/>
        <w:t xml:space="preserve">regarding practices implemented in the sectors of  </w:t>
        <w:br/>
        <w:t>messaging and express messaging</w:t>
      </w:r>
    </w:p>
    <w:p>
      <w:r>
        <w:t xml:space="preserve">The Competition Authority (section III),  </w:t>
        <w:br/>
        <w:t xml:space="preserve">Having regard to the request from the Deutsche Bahn group and its subsidiaries submitted to the general rapporteur of the Competition Council on October 10, 2008, registered under number 08/100AC, seeking the benefit of IV of Article L. 464-2 of the Commercial Code;  </w:t>
        <w:br/>
        <w:t xml:space="preserve">Having regard to the request from the Deutsche Bahn group and its subsidiaries submitted to the general rapporteur of the Competition Authority on April 12, 2010, registered under number 10/0038AC, seeking the benefit of IV of Article L. 464-2 of the Commercial Code;  </w:t>
        <w:br/>
        <w:t xml:space="preserve">Having regard to the request from Alloin Transports submitted to the general rapporteur of the Competition Authority on October 5, 2010, registered under number 10/0091AC, seeking the benefit of IV of Article L. 464-2 of the Commercial Code;  </w:t>
        <w:br/>
        <w:t xml:space="preserve">Having regard to Decision No. 09-SO-03 of November 4, 2009, registered under number 09/0120F, by which the Competition Authority took up the practices implemented in the messaging sector and Decision No. 10-SO-04 of July 27, 2010, registered under number 10/0062F, by which the Competition Authority took up the practices implemented in the express messaging sector;  </w:t>
        <w:br/>
        <w:t xml:space="preserve">Having regard to the decision dated September 13, 2010, by which the general rapporteur of the Authority joined cases 09/0120F and 10/0062F;  </w:t>
        <w:br/>
        <w:t xml:space="preserve">Having regard to the conditional leniency opinions Nos. 09-AC-03 of February 3, 2009, 10-AC-02 of July 13, 2010, and 11-AC-03 of July 6, 2011;  </w:t>
        <w:br/>
        <w:t xml:space="preserve">Having regard to the decision dated March 7, 2014, by which the general rapporteur of the Competition Authority separated the part of the requests No. 09/0120F and 10/0062F related to practices concerning the operation of the France Express network and opened a separate file for this matter under No. 14/0020F;  </w:t>
        <w:br/>
        <w:t xml:space="preserve">Having regard to Article 81 of the Treaty establishing the European Community, now 101 of the Treaty on the Functioning of the European Union (TFEU);  </w:t>
        <w:br/>
        <w:t xml:space="preserve">Having regard to Book IV of the Commercial Code;  </w:t>
        <w:br/>
        <w:t xml:space="preserve">Having regard to Law No. 2006-10 of January 5, 2006;  </w:t>
        <w:br/>
        <w:t xml:space="preserve">Having regard to the business secrecy decisions Nos. 12-DSA-103, 12-DSA-104, 12-DSA-105, 12-DSA-106, 12-DSA-107, 12-DSA-108 of March 1, 2012, 12-DSA-119 of March 12, 2012, 13-DSA-93 and 13-DSA-94 of March 14, 2013, 13-DSA-95 of September 12, 2013, 13-DSA-96 of April 4, 2013, 13-DSA-97 of April 18, 2013, 13-DSA-98 and 13-DSA-99 of March 14, 2013, 13-DSA-126 of April 17, 2013, 13-DSA-139, 13-DSA-140 and 13-DSA-142 of April 25, 2013, 13-DSA-146, 13-DSA-148 and 13-DSA-149 of May 3, 2013, 14-DSA-01, 14-DSA-02 and 14-DSA-03 of January 6, 2014, 14-DSA-40 and 14-DSA-109 of March 6, 2014, 14-DSA-112 of May 5, 2014, 14-DSA-124 of March 6, 2014, 14-DSA-366, 14-DSA-367, 14-DSA-368, 14-DSA-369, 14-DSA-370 and 14-DSA-371 of December 17, 2014, 15-DSA-131 of March 18, 2015, 15-DSA-161 of April 9, 2015, 15-DSA-21 of January 14, 2015, 15-DSA-243 of July 2, 2015, 15-DSA-254 of July 20, 2015, 15-DSA-257, 15-DSA-258, 15-DSA-259 and 15-DSA-264 of July 27, 2015, 15-DSA-269 of July 30, 2015, 15-DSA-273, 15-DSA-274 and 15-DSA-276 of August 4, 2015, 15-DSA-279 and 15-DSA-280 of August 7, 2015, 15-DSA-282 of September 2, 2015, 15-DSA-36 of January 23, 2015, 15-DSA-63 of February 16, 2015, 15-DSA-93, 15-DSA-94, 15-DSA-95, 15-DSA-96 and 15-DSA-110 of March 9, 2015;  </w:t>
        <w:br/>
        <w:t xml:space="preserve">Having regard to the declassification decisions Nos. 14-DECR-15 of May 21, 2014, 14-DECR-16 of May 21, 2014, 14-DECR-17 of May 21, 2014, No. 14-DEC-18, 14-DEC-19, 14-DEC-20, 14-DEC-21, 14-DEC-22 and 14-DEC-23 of May 13, 2014, 14-DEC-24 of May 14, 2014, 14-DEC-25 of May 19, 2014, 15-DEC-09 of March 23, 2015, 15-DEC-15 of April 7, 2015, 15-DEC-16 of April 8, 2015, 15-DEC-17 of April 10, 2015, 15-DEC-46, 15-DEC-47, 15-DEC-48 and 15-DEC-49 of August 24, 2015.  </w:t>
        <w:br/>
        <w:t xml:space="preserve">Having regard to the notification of grievances dated June 20, 2014;  </w:t>
        <w:br/>
        <w:t xml:space="preserve">Having regard to the minutes of September 3, 2014, whereby the companies Dachser France and Dachser GmbH &amp; Co. KG declared that they did not contest the grievances notified to them and requested the benefit of the provisions of III of Article L. 464-2 of the Commercial Code;  </w:t>
        <w:br/>
        <w:t xml:space="preserve">Having regard to the minutes of September 15, 2014, whereby the companies La Poste, Chronopost and Exapaq declared that they did not contest the grievances notified to them and requested the benefit of the provisions of III of Article L. 464-2 of the Commercial Code;  </w:t>
        <w:br/>
        <w:t xml:space="preserve">Having regard to the minutes of September 23, 2014, whereby the companies TNT Express France and TNT Express NV declared that they did not contest the grievances notified to them and requested the benefit of the provisions of III of Article L. 464-2 of the Commercial Code;  </w:t>
        <w:br/>
        <w:t xml:space="preserve">Having regard to the minutes of September 29, 2014, whereby the company Gefco declared that it did not contest the grievances notified to it and requested the benefit of the provisions of III of Article L. 464-2 of the Commercial Code;  </w:t>
        <w:br/>
        <w:t xml:space="preserve">Having regard to the minutes of October 2, 2014, whereby the company Peugeot declared that it did not contest the grievances notified to it and requested the benefit of the provisions of III of Article L. 464-2 of the Commercial Code;  </w:t>
        <w:br/>
        <w:t xml:space="preserve">Having regard to the minutes of October 2, 2014, whereby the companies Kuehne+Nagel International AG, Alloin Holding SAS and Kuehne+Nagel Road SAS declared that they did not contest the grievances notified to them and requested the benefit of the provisions of III of Article L. 464-2 of the Commercial Code;  </w:t>
        <w:br/>
        <w:t xml:space="preserve">Having regard to the minutes of October 9, 2014, whereby the companies Royal Mail plc, Royal Mail Group Limited, General Logistics Systems B.V. and General Logistics Systems France SAS declared that they did not contest the grievances notified to them and requested the benefit of the provisions of III of Article L. 464-2 of the Commercial Code;  </w:t>
        <w:br/>
        <w:t xml:space="preserve">Having regard to the observations presented by the companies Schenker France and Deutsche Bahn AG; Alloin Holding SAS, Kuehne+Nagel Road and Kuehne+Nagel International AG; Heppner, Lambert et Valette - Transport Company, XP France and FINALTRA; Geodis; Ciblex SAS and Ciblex SAS Financière; the EPIC SNCF; BMVirolle SA; Chronopost and Exapaq; La Poste; Dachser France and Dachser Group SE &amp; Co. KG; FedEx Express France; Gefco SA; Peugeot SA; General Logistics Systems France, General Logistics Systems BV, Royal Mail Group Limited and Royal Mail PLC; Transports Henri Ducros; DHL Express (France) SAS, DHL Holding (France) SAS and Deutsche Post AG; TNT Express France SAS and TNT Express NV; Ziegler France SA; Balspeed France SA; Normatrans; Norbert Dentressangle Distribution; Norbert Dentressangle SA;  </w:t>
        <w:br/>
        <w:t xml:space="preserve">Having regard to the observations presented by the federation of Transport and Logistics companies of France (TLF);  </w:t>
        <w:br/>
        <w:t xml:space="preserve">Having regard to the other documents in the file;  </w:t>
        <w:br/>
        <w:t xml:space="preserve">The rapporteur, the deputy general rapporteur, the Government commissioner and the representatives of the companies Schenker France and Deutsche Bahn AG; Alloin Holding SAS, Kuehne+Nagel Road and Kuehne+Nagel International AG; Heppner, Lambert et Valette - Transport Company, XP France and FINALTRA; Geodis; Ciblex SAS and Ciblex SAS Financière; the EPIC SNCF Mobilités; BMVirolle SA; Chronopost and DPD France; La Poste; Dachser France and Dachser Group SE &amp; Co. KG; FedEx Express France; Gefco SA; Peugeot SA; General Logistics Systems France, General Logistics Systems BV, Royal Mail Group Limited and Royal Mail PLC; Transports Henri Ducros; DHL Express (France) SAS, DHL Holding France and Deutsche Post AG; TNT Express France SAS and TNT Express NV; Ziegler France SA; Balspeed France SA; Normatrans; Norbert Dentressangle Distribution; Norbert Dentressangle SA; heard during the session of the Competition Authority on September 30, 2015;  </w:t>
        <w:br/>
        <w:t>Adopts the following decision:</w:t>
      </w:r>
    </w:p>
    <w:p>
      <w:r>
        <w:rPr>
          <w:b/>
        </w:rPr>
        <w:t>[Pages 4–6]</w:t>
      </w:r>
    </w:p>
    <w:p>
      <w:r>
        <w:t xml:space="preserve">SYNOPSIS  </w:t>
        <w:br/>
        <w:t xml:space="preserve">I. Findings .................................................................................... 9  </w:t>
        <w:br/>
        <w:t xml:space="preserve">A. THE PROCEDURE ............................................................................................................................. 9  </w:t>
        <w:br/>
        <w:t xml:space="preserve">1. LENIENCY APPLICATIONS AND INITIATIVE PROCEEDINGS ...................................... 9  </w:t>
        <w:br/>
        <w:t xml:space="preserve">a) The application from Deutsche Bahn and its subsidiaries and the initiative proceedings in the messaging sector .......................................................................................... 9  </w:t>
        <w:br/>
        <w:t xml:space="preserve">b) The application from Deutsche Bahn and its subsidiaries and the initiative proceedings in the express messaging sector ............................................................................. 9  </w:t>
        <w:br/>
        <w:t xml:space="preserve">c) The inspection and seizure operations ....................................................................... 10  </w:t>
        <w:br/>
        <w:t xml:space="preserve">d) The application from Alloin Transports .................................................................... 10  </w:t>
        <w:br/>
        <w:t xml:space="preserve">2. THE SEPARATION OF PROCEDURES ........................................................................ 10  </w:t>
        <w:br/>
        <w:t xml:space="preserve">3. NOTIFICATION OF CHARGES .................................................................................... 10  </w:t>
        <w:br/>
        <w:t xml:space="preserve">B. THE RELEVANT SECTOR .......................................................................................................... 11  </w:t>
        <w:br/>
        <w:t xml:space="preserve">1. CHARACTERISTICS OF THE MESSAGING SECTOR .................................................. 11  </w:t>
        <w:br/>
        <w:t xml:space="preserve">a) General definition of the sector ................................................................................ 11  </w:t>
        <w:br/>
        <w:t xml:space="preserve">b) Characteristics of demand ...................................................................................... 11  </w:t>
        <w:br/>
        <w:t xml:space="preserve">c) Characteristics of supply .......................................................................................... 12  </w:t>
        <w:br/>
        <w:t xml:space="preserve">2. THE ORGANIZATION OF MESSAGING AND EXPRESS MESSAGING NETWORKS ... 17  </w:t>
        <w:br/>
        <w:t xml:space="preserve">3. PRICES AND PRICE REVALUATIONS ........................................................................ 18  </w:t>
        <w:br/>
        <w:t xml:space="preserve">a) Determination of the initial price ............................................................................. 18  </w:t>
        <w:br/>
        <w:t xml:space="preserve">b) The price revaluation process ................................................................................ 19  </w:t>
        <w:br/>
        <w:t xml:space="preserve">C. THE COMPANIES INVOLVED .......................................................................................... 21  </w:t>
        <w:br/>
        <w:t xml:space="preserve">1. COMPANIES IN THE MESSAGING SECTOR IN FRANCE .......................................... 21  </w:t>
        <w:br/>
        <w:t xml:space="preserve">a) Alloin / Kuehne+Nagel Road .................................................................................. 21  </w:t>
        <w:br/>
        <w:t xml:space="preserve">b) BMVirolle .................................................................................................................. 21  </w:t>
        <w:br/>
        <w:t xml:space="preserve">c) Ciblex ........................................................................................................................ 21  </w:t>
        <w:br/>
        <w:t xml:space="preserve">d) Dachser France (formerly Graveleau) .................................................................... 22  </w:t>
        <w:br/>
        <w:t xml:space="preserve">e) DHL Express France ................................................................................................. 22  </w:t>
        <w:br/>
        <w:t xml:space="preserve">f) Gefco .......................................................................................................................... 22  </w:t>
        <w:br/>
        <w:t xml:space="preserve">g) Geodis ........................................................................................................................ 23  </w:t>
        <w:br/>
        <w:t xml:space="preserve">h) GLS France ................................................................................................................ 23  </w:t>
        <w:br/>
        <w:t xml:space="preserve">i) Heppner ....................................................................................................................... 23  </w:t>
        <w:br/>
        <w:t xml:space="preserve">j) The La Poste group ................................................................................................... 24  </w:t>
        <w:br/>
        <w:t xml:space="preserve">k) Mory (liquidation pronounced on July 10, 2012) .................................................. 24  </w:t>
        <w:br/>
        <w:t xml:space="preserve">l) Mory Ducros (liquidation on February 6, 2014) .................................................... 25  </w:t>
        <w:br/>
        <w:t xml:space="preserve">m) Norbert Dentressangle Distribution (formerly Darfeuille Services) ................. 25  </w:t>
        <w:br/>
        <w:t xml:space="preserve">n) Normatrans ................................................................................................................ 25  </w:t>
        <w:br/>
        <w:t xml:space="preserve">o) Schenker-Joyau ......................................................................................................... 25  </w:t>
        <w:br/>
        <w:t xml:space="preserve">p) Sernam ....................................................................................................................... 26  </w:t>
        <w:br/>
        <w:t xml:space="preserve">q) Tatex/Fedex Express France .................................................................................... 26  </w:t>
        <w:br/>
        <w:t xml:space="preserve">r) The TNT Express group ............................................................................................ 27  </w:t>
        <w:br/>
        <w:t xml:space="preserve">s) Transports Henri Ducros .......................................................................................... 27  </w:t>
        <w:br/>
        <w:t xml:space="preserve">t) Transports Peronnet (liquidation pronounced on February 4, 2009) .................. 27  </w:t>
        <w:br/>
        <w:t xml:space="preserve">u) Ziegler France ............................................................................................................. 28  </w:t>
        <w:br/>
        <w:t xml:space="preserve">2. PROFESSIONAL ORGANIZATIONS ............................................................................. 28  </w:t>
        <w:br/>
        <w:t xml:space="preserve">D. THE EVOLUTION OF THE LEGAL FRAMEWORK ................................................................ 29  </w:t>
        <w:br/>
        <w:t xml:space="preserve">1. BEFORE THE LAW OF JANUARY 5, 2006 .................................................................. 29  </w:t>
        <w:br/>
        <w:t xml:space="preserve">a) Legislative provisions .............................................................................................. 29  </w:t>
        <w:br/>
        <w:t xml:space="preserve">b) Implementation methods for legislative provisions ............................................... 30  </w:t>
        <w:br/>
        <w:t xml:space="preserve">c) Standard contracts applicable to the transport sector .......................................... 30  </w:t>
        <w:br/>
        <w:t xml:space="preserve">2. THE LAW OF JANUARY 5, 2006 .................................................................................. 31  </w:t>
        <w:br/>
        <w:t xml:space="preserve">E. DESCRIPTION OF PRACTICES RELATED TO THE PASSING ON OF DIESEL PRICE INCREASES ............................................................................................................................................ 32  </w:t>
        <w:br/>
        <w:t xml:space="preserve">1. CONTEXT OF THE PRACTICES .................................................................................... 32  </w:t>
        <w:br/>
        <w:t xml:space="preserve">a) The rise in fuel prices .............................................................................................. 32  </w:t>
        <w:br/>
        <w:t xml:space="preserve">b) The reaction of public authorities .......................................................................... 33  </w:t>
        <w:br/>
        <w:t xml:space="preserve">2. CONTENT OF THE PRACTICES .................................................................................... 34  </w:t>
        <w:br/>
        <w:t xml:space="preserve">a) General presentation of the practices .................................................................... 34  </w:t>
        <w:br/>
        <w:t xml:space="preserve">b) Implementation methods of the practices ............................................................... 36  </w:t>
        <w:br/>
        <w:t xml:space="preserve">c) The establishment of the diesel surcharge by the recipients of the email dated May 26, 2004 .................................................................................................................. 40  </w:t>
        <w:br/>
        <w:t xml:space="preserve">d) Monitoring and extension of the practice to other companies ......................... 43  </w:t>
        <w:br/>
        <w:t xml:space="preserve">e) Summary of observed events .................................................................................. 52  </w:t>
        <w:br/>
        <w:t xml:space="preserve">3. THE CONTINUATION OF THE DIESEL SURCHARGE OVER TIME .......................... 53  </w:t>
        <w:br/>
        <w:t xml:space="preserve">4. APPLICABILITY OF THE DIESEL SURCHARGE TO CUSTOMERS ............................ 54  </w:t>
        <w:br/>
        <w:t xml:space="preserve">5. CONCLUSION ON THE DIESEL SURCHARGE PRACTICE ........................................... 55  </w:t>
        <w:br/>
        <w:t xml:space="preserve">F. CONCERTED PRACTICES RELATED TO PRICE REVALUATIONS .................................. 56  </w:t>
        <w:br/>
        <w:t xml:space="preserve">1. PRESENTATION OF THE PRACTICES ........................................................................... 57  </w:t>
        <w:br/>
        <w:t xml:space="preserve">a) Statements from leniency applicants ..................................................................... 57  </w:t>
        <w:br/>
        <w:t xml:space="preserve">b) The secret nature of the practices .......................................................................... 57  </w:t>
        <w:br/>
        <w:t xml:space="preserve">2. CONDUCT OF THE PRACTICES .................................................................................... 58  </w:t>
        <w:br/>
        <w:t xml:space="preserve">a) The 2004-2005 campaign ......................................................................................... 58  </w:t>
        <w:br/>
        <w:t xml:space="preserve">b) The 2005-2006 campaign ......................................................................................... 64  </w:t>
        <w:br/>
        <w:t xml:space="preserve">c) The 2006-2007 campaign ......................................................................................... 69  </w:t>
        <w:br/>
        <w:t xml:space="preserve">d) The 2007-2008 campaign ......................................................................................... 77  </w:t>
        <w:br/>
        <w:t xml:space="preserve">e) The 2008-2009 campaign ......................................................................................... 84  </w:t>
        <w:br/>
        <w:t xml:space="preserve">f) The 2009-2010 campaign ......................................................................................... 89  </w:t>
        <w:br/>
        <w:t xml:space="preserve">g) The 2010-2011 campaign ......................................................................................... 91  </w:t>
        <w:br/>
        <w:t xml:space="preserve">h) General conclusion on the price increase practices ............................................. 97  </w:t>
        <w:br/>
        <w:t xml:space="preserve">3. NOTIFIED CHARGES .................................................................................................... 98  </w:t>
        <w:br/>
        <w:t xml:space="preserve">a) Charge No. 1: On the practice related to the "diesel surcharge" ......................... 98  </w:t>
        <w:br/>
        <w:t xml:space="preserve">b) Charge No. 2: On the practice related to information exchanges on price increases .......................................................................................................................... 100  </w:t>
        <w:br/>
        <w:t xml:space="preserve">4. IMPLEMENTATION OF III OF ARTICLE L. 464-2 OF THE COMMERCIAL CODE ....... 102  </w:t>
        <w:br/>
        <w:t xml:space="preserve">II. Discussion ................................................................................... 103  </w:t>
        <w:br/>
        <w:t xml:space="preserve">A. ON THE CONDUCT OF THE PROCEDURE ..................................................................... 103  </w:t>
        <w:br/>
        <w:t xml:space="preserve">1. REGARDING INITIATIVE PROCEEDINGS .................................................................... 103  </w:t>
        <w:br/>
        <w:t xml:space="preserve">2. REGARDING EQUALITY OF ARMS AND EQUALITY OF TREATMENT .................... 104  </w:t>
        <w:br/>
        <w:t xml:space="preserve">3. REGARDING THE IMPARTIALITY OF THE INQUIRY .................................................. 106  </w:t>
        <w:br/>
        <w:t xml:space="preserve">4. REGARDING THE DURATION OF THE PROCEDURE .................................................. 106  </w:t>
        <w:br/>
        <w:t xml:space="preserve">5. REGARDING THE PROCEDURE FOR NON-CONTESTATION OF CHARGES .............. 106  </w:t>
        <w:br/>
        <w:t xml:space="preserve">6. ON THE ALLEGATION OF MODIFICATION OF CHARGE NO. 1 IN THE REPORT ....... 107  </w:t>
        <w:br/>
        <w:t xml:space="preserve">7. REGARDING THE ADMISSIBILITY OF GEODIS'S DELIBERATIVE NOTE .................. 108  </w:t>
        <w:br/>
        <w:t xml:space="preserve">B. ON THE APPLICABILITY OF UNION LAW .................................................................... 109  </w:t>
        <w:br/>
        <w:t xml:space="preserve">1. PRINCIPLES .................................................................................................................. 109  </w:t>
        <w:br/>
        <w:t xml:space="preserve">2. APPLICATION TO THE CASE AT HAND ...................................................................... 110  </w:t>
        <w:br/>
        <w:t xml:space="preserve">C. ON THE DELIMITATION OF THE RELEVANT MARKET ................................................ 111  </w:t>
        <w:br/>
        <w:t xml:space="preserve">1. THE RELEVANT MARKET .......................................................................................... 111  </w:t>
        <w:br/>
        <w:t xml:space="preserve">2. ON THE COMPETITION RELATIONS BETWEEN NDD AND OTHER COMPANIES IN THE MESSAGING SECTOR .......................................................................................... 112  </w:t>
        <w:br/>
        <w:t xml:space="preserve">D. ON THE MERITS OF THE CHARGES .................................................................................. 113  </w:t>
        <w:br/>
        <w:t xml:space="preserve">1. ON THE CONSEQUENCES OF IMPLEMENTING THE NON-CONTESTATION PROCEDURE .................................................................................................................. 113  </w:t>
        <w:br/>
        <w:t xml:space="preserve">a) Principles ................................................................................................................ 113  </w:t>
        <w:br/>
        <w:t xml:space="preserve">b) Application to the case at hand ............................................................................. 114  </w:t>
        <w:br/>
        <w:t xml:space="preserve">2. ON THE EXISTENCE OF THE PRACTICES IN QUESTION ........................................... 115  </w:t>
        <w:br/>
        <w:t xml:space="preserve">a) Reminder of the principles .................................................................................... 115  </w:t>
        <w:br/>
        <w:t xml:space="preserve">b) Application to the case at hand ............................................................................. 121  </w:t>
        <w:br/>
        <w:t xml:space="preserve">c) On the arguments of the parties ............................................................................. 124  </w:t>
        <w:br/>
        <w:t xml:space="preserve">d) Conclusion .............................................................................................................. 138  </w:t>
        <w:br/>
        <w:t xml:space="preserve">3. ON THE PARTICIPATION OF COMPANIES IN THE PRACTICES .................................. 138  </w:t>
        <w:br/>
        <w:t>a) Evidence of a company's participation in a concerted practice ......................... 138</w:t>
      </w:r>
    </w:p>
    <w:p>
      <w:r>
        <w:rPr>
          <w:b/>
        </w:rPr>
        <w:t>[Pages 7–9]</w:t>
      </w:r>
    </w:p>
    <w:p>
      <w:r>
        <w:t xml:space="preserve">b) Regarding the complaint related to the diesel surcharge (complaint no. 1) ....................... 144  </w:t>
        <w:br/>
        <w:t xml:space="preserve">c) Regarding the complaint related to price increases (complaint no. 2) ...................... 150  </w:t>
        <w:br/>
        <w:t xml:space="preserve">E. THE ATTRIBUTION OF PRACTICES ...................................................................................... 167  </w:t>
        <w:br/>
        <w:t xml:space="preserve">1. ON THE APPLICABLE LAW ................................................................................... 167  </w:t>
        <w:br/>
        <w:t xml:space="preserve">a) On attribution within a group of companies ...................................... 167  </w:t>
        <w:br/>
        <w:t xml:space="preserve">b) On attribution in the event of company transformation ....................... 168  </w:t>
        <w:br/>
        <w:t xml:space="preserve">2. ASSESSMENT IN THE CASE AT HAND ......................................................................... 168  </w:t>
        <w:br/>
        <w:t xml:space="preserve">a) Regarding the companies implicated for both complaints ................... 168  </w:t>
        <w:br/>
        <w:t xml:space="preserve">b) Regarding the companies implicated solely for complaint no. 2 .. 177  </w:t>
        <w:br/>
        <w:t xml:space="preserve">III. On the sanctions ........................................................................ 180  </w:t>
        <w:br/>
        <w:t xml:space="preserve">A. PRINCIPLES ................................................................................................................................... 180  </w:t>
        <w:br/>
        <w:t xml:space="preserve">B. ON THE FIRST COMPLAINT ......................................................................................................... 181  </w:t>
        <w:br/>
        <w:t xml:space="preserve">1. REGARDING SEVERITY .................................................................................. 182  </w:t>
        <w:br/>
        <w:t xml:space="preserve">2. REGARDING DAMAGE TO THE ECONOMY ........................................................... 183  </w:t>
        <w:br/>
        <w:t xml:space="preserve">3. ON THE AMOUNT OF THE SANCTION ...................................................................... 185  </w:t>
        <w:br/>
        <w:t xml:space="preserve">4. ON THE VERIFICATION OF THE LEGAL CEILING ......................................................... 186  </w:t>
        <w:br/>
        <w:t xml:space="preserve">C. CONCERNING COMPLAINT NO. 2 ................................................................................................ 186  </w:t>
        <w:br/>
        <w:t xml:space="preserve">1. ON THE VALUE OF SALES ................................................................................. 187  </w:t>
        <w:br/>
        <w:t xml:space="preserve">2. ON THE SEVERITY OF THE FACTS ................................................................................... 190  </w:t>
        <w:br/>
        <w:t xml:space="preserve">a) Regarding the nature of the practice ................................................. 191  </w:t>
        <w:br/>
        <w:t xml:space="preserve">b) On the persons likely to be affected ............................................. 192  </w:t>
        <w:br/>
        <w:t xml:space="preserve">c) On the objective characteristics of the offenses ....................................... 193  </w:t>
        <w:br/>
        <w:t xml:space="preserve">3. ON THE IMPORTANCE OF THE DAMAGE CAUSED TO THE ECONOMY .................................. 195  </w:t>
        <w:br/>
        <w:t xml:space="preserve">a) On the extent of the offense ......................................................................... 195  </w:t>
        <w:br/>
        <w:t xml:space="preserve">b) On the objective economic characteristics of the sector in question ........ 196  </w:t>
        <w:br/>
        <w:t xml:space="preserve">c) On the conjunctural consequences of the practices ..................................... 201  </w:t>
        <w:br/>
        <w:t xml:space="preserve">4. ON THE DURATION OF PARTICIPATION OF COMPANIES IN THE PRACTICES ............... 206  </w:t>
        <w:br/>
        <w:t xml:space="preserve">5. TAKING INTO ACCOUNT THE UNEQUAL PARTICIPATION AMONG COMPANIES 209  </w:t>
        <w:br/>
        <w:t xml:space="preserve">6. ON THE INDIVIDUALIZATION OF SANCTIONS ......................................................... 210  </w:t>
        <w:br/>
        <w:t xml:space="preserve">7. ON FINAL ADJUSTMENTS ............................................................................ 210  </w:t>
        <w:br/>
        <w:t xml:space="preserve">8. ON THE AMOUNT OF SANCTIONS FOR COMPLAINT NO. 2 ................................ 211  </w:t>
        <w:br/>
        <w:t xml:space="preserve">D. ON THE METHOD OF DETERMINING SANCTIONS FOR TLF .................... 212  </w:t>
        <w:br/>
        <w:t>E. ON THE TOTAL AMOUNT OF SANCTIONS FOR BOTH COMPLAINTS AND THE</w:t>
        <w:br/>
        <w:t xml:space="preserve">FINAL ADJUSTMENTS ............................................................................................................... 213  </w:t>
        <w:br/>
        <w:t xml:space="preserve">1. ON THE CONSIDERATION OF LENIENCY AND NON-CONTESTATION PROCEDURES ...................................................................................... 213  </w:t>
        <w:br/>
        <w:t xml:space="preserve">a) Regarding leniency ...................................................................... 213  </w:t>
        <w:br/>
        <w:t xml:space="preserve">b) On the consideration of non-contestation of complaints ............................. 218  </w:t>
        <w:br/>
        <w:t xml:space="preserve">2. ON THE JOINT LIABILITY OF PARENT COMPANIES .......................................................... 222  </w:t>
        <w:br/>
        <w:t xml:space="preserve">3. ON THE FINANCIAL SITUATION OF COMPANIES .............................................. 222  </w:t>
        <w:br/>
        <w:t>4. ON THE FINAL AMOUNT OF SANCTIONS IMPOSED ON THE IMPUTED COMPANIES FOR</w:t>
        <w:br/>
        <w:t xml:space="preserve">COMPLAINT NO. 1 AND COMPLAINT NO. 2 (IN EUROS) ............................................................ 224  </w:t>
        <w:br/>
        <w:t xml:space="preserve">F. ON THE OBLIGATION OF PUBLICATION .............................................................................. 225  </w:t>
        <w:br/>
        <w:t xml:space="preserve">Decision ................................................................................................ 230  </w:t>
        <w:br/>
        <w:t>8</w:t>
      </w:r>
    </w:p>
    <w:p>
      <w:r>
        <w:t xml:space="preserve">I. Findings  </w:t>
        <w:br/>
        <w:t xml:space="preserve">A. THE PROCEDURE  </w:t>
        <w:br/>
        <w:t xml:space="preserve">1. LENIENCY REQUESTS AND INITIATIVES EX OFFICIO  </w:t>
        <w:br/>
        <w:t xml:space="preserve">a) The request from Deutsche Bahn and its subsidiaries and the ex officio initiative in the messaging sector  </w:t>
        <w:br/>
        <w:t xml:space="preserve">1. By minutes of October 10, 2008 (references nos. 1 to 36 of the initiative no. 08/100AC), the general rapporteur of the Competition Council received a request for the implementation of the leniency procedure based on IV of Article L. 464-2 of the Commercial Code presented for the benefit of Deutsche Bahn AG and its subsidiaries, including Schenker AG, Schenker SA, and Schenker-Joyau SAS. These companies informed the Competition Council of information establishing the existence of practices potentially prohibited by Article L. 420-1 of the Commercial Code and Article 81 of the Treaty establishing the European Communities (TEC), now Article 101 of the Treaty on the Functioning of the European Union (TFEU), implemented in the traditional messaging and express messaging sector in France.  </w:t>
        <w:br/>
        <w:t xml:space="preserve">2. On February 3, 2009, the Competition Council issued opinion no. 09-AC-03, granting Deutsche Bahn and its subsidiaries, for all the practices reported in the leniency request, conditional leniency with total exemption from the monetary sanctions incurred in the traditional and express messaging sector.  </w:t>
        <w:br/>
        <w:t xml:space="preserve">3. By decision no. 09-SO-03 of November 4, 2009 (reference no. 2 of the initiative no. 09/0120F), the Competition Authority (hereinafter, "the Authority") took up the practices implemented in the messaging sector. This ex officio initiative was recorded under number 09/0120F.  </w:t>
        <w:br/>
        <w:t xml:space="preserve">b) The request from Deutsche Bahn and its subsidiaries and the ex officio initiative in the express messaging sector  </w:t>
        <w:br/>
        <w:t xml:space="preserve">4. By minutes of the deputy general rapporteur of the Authority (references nos. 1 and 2 of the initiative no. 10/0038AC), Deutsche Bahn AG and its subsidiaries reported on April 12, 2010, the existence of practices in the express messaging sector.  </w:t>
        <w:br/>
        <w:t xml:space="preserve">5. On July 13, 2010, the Authority issued opinion no. 10-AC-02, granting Deutsche Bahn and its French subsidiaries, for all the practices reported in the leniency request, conditional leniency with total exemption from the monetary sanctions incurred in the express messaging sector.  </w:t>
        <w:br/>
        <w:t xml:space="preserve">6. By decision no. 10-SO-04 of July 27, 2010 (reference no. 2), the Authority took up the practices implemented in the express messaging sector. This self-initiation was recorded under number 10/0062F.  </w:t>
        <w:br/>
        <w:t xml:space="preserve">7. By decision of September 13, 2010 (reference no. 11), the general rapporteur of the Authority joined cases 09/0120F and 10/0062F.  </w:t>
        <w:br/>
        <w:t>9</w:t>
      </w:r>
    </w:p>
    <w:p>
      <w:r>
        <w:rPr>
          <w:b/>
        </w:rPr>
        <w:t>[Pages 10–12]</w:t>
      </w:r>
    </w:p>
    <w:p>
      <w:r>
        <w:t xml:space="preserve">c) The inspection and seizure operations  </w:t>
        <w:br/>
        <w:t xml:space="preserve">8. The Authority conducted inspection and seizure operations in several companies in the relevant sector on September 29, 2010. These operations were carried out on the basis of Article L. 450-4 of the Commercial Code at Dachser France (formerly Graveleau-Dachser), Alloin Transports, Mory Team and Mory SA, Schenker-Joyau, Geodis Division Messagerie Services (GDMS), Heppner transport company, TNT Express National and TNT Express France as well as at TLF.  </w:t>
        <w:br/>
        <w:t xml:space="preserve">d) The request from Alloin Transports  </w:t>
        <w:br/>
        <w:t xml:space="preserve">9. Following the inspection and seizure operations, the company Alloin Transports (hereinafter, "Alloin") submitted a request to the Deputy General Rapporteur of the Authority for the implementation of the leniency procedure based on IV of Article L. 464-2 of the Commercial Code, recorded by a report dated October 5, 2010. This request was registered under number 10/0091AC (references nos. 2 and 3 of the referral no. 10/0091AC).  </w:t>
        <w:br/>
        <w:t xml:space="preserve">10. On July 6, 2011, the Authority issued opinion no. 11-AC-03, granting Alloin conditional leniency with a partial exemption from the financial penalties incurred in the traditional and express messaging sector, which could range from 20 to 30% of the amount of the fine incurred.  </w:t>
        <w:br/>
        <w:t xml:space="preserve">2. THE DISJOINTING OF PROCEDURES  </w:t>
        <w:br/>
        <w:t xml:space="preserve">11. By decision of March 7, 2014, the General Rapporteur of the Authority disjoined the referral into several cases. The part concerning practices related to the operation of the France Express network was separated from the present cases nos. 09/0120F and 10/0062F and was registered under number 14/0020F.  </w:t>
        <w:br/>
        <w:t xml:space="preserve">3. NOTIFICATION OF CHARGES  </w:t>
        <w:br/>
        <w:t xml:space="preserve">12. The General Rapporteur of the Authority sent a notification of charges for prohibited practices under Articles L. 420-1 of the Commercial Code and 101, paragraph 1, of the TFEU to the following companies on June 20, 2014:  </w:t>
        <w:br/>
        <w:t xml:space="preserve">- Schenker-Joyau SAS and Deutsche Bahn AG;  </w:t>
        <w:br/>
        <w:t xml:space="preserve">- Alloin Holding SAS, Kuehne+Nagel Road and Kuehne+Nagel International AG;  </w:t>
        <w:br/>
        <w:t xml:space="preserve">- Heppner Société de Transports, Lambert et Valette, XP France and FINALTRA;  </w:t>
        <w:br/>
        <w:t xml:space="preserve">- Geodis and EPIC SNCF;  </w:t>
        <w:br/>
        <w:t xml:space="preserve">- Geodis Ciblex and Ciblex Financière;  </w:t>
        <w:br/>
        <w:t xml:space="preserve">- BMVirolle;  </w:t>
        <w:br/>
        <w:t xml:space="preserve">- Chronopost and La Poste;  </w:t>
        <w:br/>
        <w:t xml:space="preserve">- Exapaq;  </w:t>
        <w:br/>
        <w:t xml:space="preserve">- Dachser France and Dachser Holding GmbH &amp; Co. KG;  </w:t>
        <w:br/>
        <w:t xml:space="preserve">- FedEx Express France;  </w:t>
        <w:br/>
        <w:t xml:space="preserve">- Gefco and Peugeot SA;  </w:t>
        <w:br/>
        <w:t xml:space="preserve">- GLS France, General Logistics Systems BV and Royal Mail Group Limited;  </w:t>
        <w:br/>
        <w:t xml:space="preserve">- Transports H Ducros;  </w:t>
        <w:br/>
        <w:t xml:space="preserve">- DHL Express (France) SAS, DHL Holding France SAS and Deutsche Post AG;  </w:t>
        <w:br/>
        <w:t xml:space="preserve">- TNT Express France and TNT Express NV;  </w:t>
        <w:br/>
        <w:t xml:space="preserve">- Ziegler France and Balspeed France;  </w:t>
        <w:br/>
        <w:t xml:space="preserve">- Normatrans;  </w:t>
        <w:br/>
        <w:t xml:space="preserve">- Norbert Dentressangle Distribution, Lotra Limited and Norbert Dentressangle;  </w:t>
        <w:br/>
        <w:t xml:space="preserve">- the Federation of Transport and Logistics Companies of France (TLF).  </w:t>
        <w:br/>
        <w:t xml:space="preserve">13. The companies  </w:t>
        <w:br/>
        <w:t xml:space="preserve">- Dachser France and Dachser GmbH &amp; Co. KG;  </w:t>
        <w:br/>
        <w:t xml:space="preserve">- La Poste, Chronopost and Exapaq;  </w:t>
        <w:br/>
        <w:t xml:space="preserve">- TNT Express France and TNT Express NV;  </w:t>
        <w:br/>
        <w:t xml:space="preserve">- Gefco;  </w:t>
        <w:br/>
        <w:t xml:space="preserve">- Peugeot SA France;  </w:t>
        <w:br/>
        <w:t xml:space="preserve">- Kuehne+Nagel International AG, Alloin Holding SAS and Kuehne+Nagel Road SAS;  </w:t>
        <w:br/>
        <w:t xml:space="preserve">and  </w:t>
        <w:br/>
        <w:t xml:space="preserve">- Royal Mail plc, Royal Mail Group Limited, General Logistics Systems B.V. and General Logistics Systems France SA,  </w:t>
        <w:br/>
        <w:t xml:space="preserve">requested to benefit from the procedure provided for in III of Article L. 464-2 of the Commercial Code, of non-contestation of the charges that had been notified to them.  </w:t>
        <w:br/>
        <w:t xml:space="preserve">B. THE RELEVANT SECTOR  </w:t>
        <w:br/>
        <w:t xml:space="preserve">1. CHARACTERISTICS OF THE MESSAGING SECTOR  </w:t>
        <w:br/>
        <w:t xml:space="preserve">a) General definition of the sector  </w:t>
        <w:br/>
        <w:t xml:space="preserve">14. Messaging companies provide a service for the transport of goods weighing less than three tons, primarily by road. The various phases of parcel delivery include: the collection of the item to be delivered at the sender's home, the consolidation of parcels to be delivered at local sorting platforms, their sorting according to the delivery location, transportation to a center close to the final destination, and finally, delivery to the recipient's home. The messaging sector is distinct from the road transport sector, the latter concerning shipments by batch and full truckload.  </w:t>
        <w:br/>
        <w:t xml:space="preserve">15. The messaging sector is divided into three segments: traditional and express messaging, express, and single-parcel messaging. While the boundaries between the different market segments are not entirely watertight, each is distinguished by specific offerings.  </w:t>
        <w:br/>
        <w:t xml:space="preserve">b) Characteristics of demand  </w:t>
        <w:br/>
        <w:t xml:space="preserve">16. The main clients of messaging service companies come from the manufacturing industry, which accounts for more than half of the sector's revenue. While manufacturing output showed slight growth in volume until 2007, it declined in 2008 (-3.3%) and especially in 2009 (-13.6%), before beginning a timid recovery in 2010 and 2011 (see reference no. 47684).  </w:t>
        <w:br/>
        <w:t xml:space="preserve">17. Wholesale trade constitutes the second outlet for the messaging sector. This segment experienced a significant drop in revenue in 2009 (-10.7%) before recovering in 2010 (+5%) (see reference no. 47685).  </w:t>
        <w:br/>
        <w:t xml:space="preserve">18. Finally, distance selling represents the third outlet for messaging companies. While some distance sellers like La Redoute use their own distribution network, the majority of e-commerce operators increasingly rely on the services of messaging companies. Indeed, online sales of goods and services increased in value by more than five times between 2005 and 2012 (reference no. 57423) and grew by 25% in 2009 (reference no. 47686).  </w:t>
        <w:br/>
        <w:t xml:space="preserve">19. Thus, the main segments of messaging activities remain commercial shipments between businesses ("Business to Business," or "B to B") and shipments from businesses to individuals ("Business to Consumer," or "B to C"), while shipments between individuals (Consumer to Consumer, or "C to C") represent a very small activity. Indeed, in the "C to C" market, postal parcels remain, for many French people, the reference product.  </w:t>
        <w:br/>
        <w:t xml:space="preserve">c) Characteristics of supply  </w:t>
        <w:br/>
        <w:t xml:space="preserve">Market structure  </w:t>
        <w:br/>
        <w:t>20. In 2008, the revenue in France from the classic and express messaging sector amounted to €8.5 billion (reference no. 10247). The market shares (excluding international) of the main operators in the sector were as follows:</w:t>
      </w:r>
    </w:p>
    <w:p>
      <w:r>
        <w:rPr>
          <w:b/>
        </w:rPr>
        <w:t>[Pages 13–15]</w:t>
      </w:r>
    </w:p>
    <w:p>
      <w:r>
        <w:t>Table 1 - Market shares in the messaging sector across all segments</w:t>
        <w:br/>
        <w:t>Market shares 2008</w:t>
        <w:br/>
        <w:t>Company</w:t>
        <w:br/>
        <w:t>(in value)</w:t>
        <w:br/>
        <w:t>Geodis 20.90 %</w:t>
        <w:br/>
        <w:t>DHL 9.40 %</w:t>
        <w:br/>
        <w:t>TNT Express 8.80 %</w:t>
        <w:br/>
        <w:t>Chronopost 7.50 %</w:t>
        <w:br/>
        <w:t>Mory 7.20 %</w:t>
        <w:br/>
        <w:t>Dachser France 5.60 %</w:t>
        <w:br/>
        <w:t>Heppner 4.13 %</w:t>
        <w:br/>
        <w:t>Exapaq 4.00 %</w:t>
        <w:br/>
        <w:t>GLS France 3.80 %</w:t>
        <w:br/>
        <w:t>Gefco 3.70 %</w:t>
        <w:br/>
        <w:t>Schenker-Joyau 3.40 %</w:t>
        <w:br/>
        <w:t>Alloin / Khuene + Nagel Road 2.90 %</w:t>
        <w:br/>
        <w:t>Ziegler France 2.90 %</w:t>
        <w:br/>
        <w:t>Tatex 2.20 %</w:t>
        <w:br/>
        <w:t>Transports Henri Ducros 0.40 %</w:t>
        <w:br/>
        <w:t>Normatrans 0.30 %</w:t>
      </w:r>
    </w:p>
    <w:p>
      <w:r>
        <w:t>21. Furthermore, as indicated by the available economic studies (see Xerfi 2011 study of the sector, reference no. 47663 and Microeconomix study provided by TLF, reference no. 72203), the messaging sector still counts today, in addition to the large groups mentioned above, more than 900 companies, most of which are often regional or even local operators.</w:t>
      </w:r>
    </w:p>
    <w:p>
      <w:r>
        <w:t>Evolution of turnover</w:t>
      </w:r>
    </w:p>
    <w:p>
      <w:r>
        <w:t>22. The turnover of the messaging sector experienced the following evolution during the period 2003-2010 (reference no. 47690):</w:t>
      </w:r>
    </w:p>
    <w:p>
      <w:r>
        <w:t>Table 2</w:t>
        <w:br/>
        <w:t>Source: Xerfi study February 2011.</w:t>
        <w:br/>
        <w:t>Evolution of turnover of messaging companies generated in France (sustainable companies)</w:t>
        <w:br/>
        <w:t>Year 2003 2004 2005 2006 2007 2008 2009 2010</w:t>
        <w:br/>
        <w:t>Growth rate -0.3 % +1.3 % +3.2 % +7.1 % +3.1 % +1.9 % -10.9 % +9.0 %</w:t>
        <w:br/>
        <w:t>in value</w:t>
      </w:r>
    </w:p>
    <w:p>
      <w:r>
        <w:t>23. It appears from this table that the turnover of messaging companies has been marked since 2004 by a constant progression, with the exception of the year 2009, due to a significant decline in manufacturing output in France and, to a lesser extent, in wholesale trade, which represent the two main outlets of the messaging sector as indicated above. In 2010, the strong growth rate is mainly explained by the recovery in industrial demand and external trade.</w:t>
      </w:r>
    </w:p>
    <w:p>
      <w:r>
        <w:t>Other characteristics of the sector</w:t>
      </w:r>
    </w:p>
    <w:p>
      <w:r>
        <w:t>24. The messaging sector has been characterized for several years by very low, even negative profitability. The economic study regarding the characteristics of the sector provided by TLF indicates that during the period of practices (2004-2010), the gross operating margin rate (EBITDA/Turnover) fluctuated in messaging between 0.6 % (in 2009) and 3 % (in 2004), while the ratio (net income to turnover), structurally low, was negative in 2009 (Microeconomix study, references nos. 57380 and 57381). This weakness in margins has led to numerous bankruptcies and restructurings, particularly during the year 2008, marked by the disappearance of 11 % of companies in the sector.</w:t>
      </w:r>
    </w:p>
    <w:p>
      <w:r>
        <w:t>25. It is also noted that the messaging sector is characterized by a continuous decline in salaried employment, which fell from 55,000 in 2004 to 40,000 in 2010.</w:t>
      </w:r>
    </w:p>
    <w:p>
      <w:r>
        <w:t>Figure 1 - Evolution of salaried workforce in messaging and express freight (in thousands)</w:t>
      </w:r>
    </w:p>
    <w:p>
      <w:r>
        <w:t>26. Finally, several elements in the file attest to the existence of structural overcapacities in the messaging sector. These are first mentioned by several parties involved, notably Alloin (reference no. 49930), Geodis (reference no. 48350), GLS (reference no. 48551), Mory (reference no. 44544), Schenker-Joyau (reference no. 47968) and Heppner (paragraphs 154 to 159 of its memorandum). They were also noted during the market test related to concentration decision no. 12-DCC-153 of November 12, 2012, concerning the exclusive control of certain assets of Sernam Services SNC by Calberson SNC. While it is true that the economic crisis of 2008 to 2009 amplified the level of overcapacities due to the decline in demand, TLF, in its observations on the notification of grievances, specifies that “[m]any players thus entered the French market or strengthened their offer at the end of the 1990s. The supply of messaging and express freight services became structurally excessive while economic conditions became less favorable and demand turned downward” (annex 1, page 20, reference no. 57374).</w:t>
      </w:r>
    </w:p>
    <w:p>
      <w:r>
        <w:t>The different types of services</w:t>
      </w:r>
    </w:p>
    <w:p>
      <w:r>
        <w:t>27. The messaging sector includes several types of services and activities, which differ notably based on the weight of parcels, the method of collection and sorting, the proposed delivery times, or the type of intended recipient.</w:t>
      </w:r>
    </w:p>
    <w:p>
      <w:r>
        <w:t>28. Two main activity segments can be identified: (1) traditional and rapid messaging and (2) express messaging, with guaranteed delivery times, information feedback, and ancillary services (see Xerfi study, references nos. 47674 and 47675). International shipments, which represent 16 % of the sector's turnover, are not concerned by the present case.</w:t>
      </w:r>
    </w:p>
    <w:p>
      <w:r>
        <w:t>Traditional and rapid messaging or "classic messaging"</w:t>
      </w:r>
    </w:p>
    <w:p>
      <w:r>
        <w:t>29. Traditional messaging, rapid messaging, and pallet messaging, which can be grouped under the term "classic messaging," are particularly aimed at heavy, grouped, or palletized shipments. Delivery times range from 24 to 72 hours for France. This is the most important activity in the sector, accounting for 45 % of the sector's turnover in 2013 (see references nos. 57360 to 57362). Slightly more fragmented than the express segment, classic messaging includes a multitude of regionally influential companies dominated by national carriers such as Geodis (Geodis Calberson) or Dachser.</w:t>
      </w:r>
    </w:p>
    <w:p>
      <w:r>
        <w:t>30. Traditional messaging concerns deliveries within a timeframe of 48 hours or more.</w:t>
      </w:r>
    </w:p>
    <w:p>
      <w:r>
        <w:t>31. Rapid messaging concerns next-day deliveries for pickups before 6 PM and is distinguished from express messaging in that it does not guarantee delivery times. The parcels subject to this type of shipment generally weigh more than 30 kilos.</w:t>
      </w:r>
    </w:p>
    <w:p>
      <w:r>
        <w:t>32. Pallet messaging is a specific service of classic messaging and only concerns parcels placed on pallets. It generally involves freight of a heavier weight, at least 200 kilos, with an average weight of one ton.</w:t>
      </w:r>
    </w:p>
    <w:p>
      <w:r>
        <w:t>33. However, the distinction between traditional messaging and rapid messaging is not operational for a large number of companies in the sector. Indeed, sector players generally offer a standard messaging service, which may be supplemented by additional guarantees or better tracking.</w:t>
      </w:r>
    </w:p>
    <w:p>
      <w:r>
        <w:t>34. Similarly, for a large number of players, pallet messaging is included in classic messaging services. However, some companies have specialized in this type of transport (see reference no. 51035).</w:t>
      </w:r>
    </w:p>
    <w:p>
      <w:r>
        <w:t>35. In the present decision, traditional messaging, rapid messaging, and pallet messaging will therefore, unless otherwise stated, be integrated into the notion of "classic messaging."</w:t>
      </w:r>
    </w:p>
    <w:p>
      <w:r>
        <w:t>36. According to the aforementioned Xerfi study, the evolution of turnover of classic messaging companies in France during the period 2003-2010 was as follows:</w:t>
      </w:r>
    </w:p>
    <w:p>
      <w:r>
        <w:t>Table 3</w:t>
        <w:br/>
        <w:t>Evolution of turnover of classic messaging companies generated in France (sustainable companies)</w:t>
        <w:br/>
        <w:t>Year 2003 2004 2005 2006 2007 2008 2009 2010</w:t>
        <w:br/>
        <w:t>Growth rate in + 1.3 % + 2.8 % + 1.2 % + 3.0 % + 4.7 % + 1.0 % - 9.1 % + 4.0 %</w:t>
        <w:br/>
        <w:t>value</w:t>
        <w:br/>
        <w:t>Source: Xerfi study February 2011.</w:t>
      </w:r>
    </w:p>
    <w:p>
      <w:r>
        <w:rPr>
          <w:b/>
        </w:rPr>
        <w:t>[Pages 16–18]</w:t>
      </w:r>
    </w:p>
    <w:p>
      <w:r>
        <w:t>37. It appears from this table that traditional messaging services experienced a constant increase, with the exception of the year 2009. The return to revenue growth in 2010 is linked, as indicated in paragraph 23 above, to the recovery of manufacturing production and inter-company exchanges.</w:t>
      </w:r>
    </w:p>
    <w:p>
      <w:r>
        <w:t>38. In 2008, the market shares concerning the traditional messaging segment were as follows (reference no. 10247):</w:t>
      </w:r>
    </w:p>
    <w:p>
      <w:r>
        <w:t>Table 4 - Market Shares in the Traditional Messaging Segment</w:t>
        <w:br/>
        <w:t>Market Shares 2008</w:t>
        <w:br/>
        <w:t>(in value)</w:t>
        <w:br/>
        <w:t>Geodis France (with Cool Jet) 28.88%</w:t>
        <w:br/>
        <w:t>Mory 12.10%</w:t>
        <w:br/>
        <w:t>Graveleau (Dachser) 9.40%</w:t>
        <w:br/>
        <w:t>DHL Express 8.00%</w:t>
        <w:br/>
        <w:t>Heppner 7.80%</w:t>
        <w:br/>
        <w:t>Gefco France 7.30%</w:t>
        <w:br/>
        <w:t>Schenker-Joyau 6.40%</w:t>
        <w:br/>
        <w:t>Ziegler France 5.60%</w:t>
        <w:br/>
        <w:t>Alloin / Khuene + Nagel Road 5.50%</w:t>
        <w:br/>
        <w:t>Sernam 4.80%</w:t>
        <w:br/>
        <w:t>UPS 4.00%</w:t>
      </w:r>
    </w:p>
    <w:p>
      <w:r>
        <w:t>Express Messaging</w:t>
      </w:r>
    </w:p>
    <w:p>
      <w:r>
        <w:t>39. National express messaging, which represents 39% of the sector's revenue in 2013 (reference no. 57362), concerns deliveries within 24 hours following the pickup time at the client's location, with the average weight of parcels being approximately 4 kilograms.</w:t>
      </w:r>
    </w:p>
    <w:p>
      <w:r>
        <w:t>40. Express messaging corresponds to a delivery service with guaranteed deadlines, appointment scheduling, information feedback, and tracking of deliveries. Such a service is four to five times more expensive than traditional messaging (reference no. 47675). Express services thus meet a specific need based on speed of execution, reliability of transport, and adherence to deadlines.</w:t>
      </w:r>
    </w:p>
    <w:p>
      <w:r>
        <w:t>41. Companies providing express messaging services, referred to as "expressists," must be distinguished based on whether they are "monopolistic expressists," such as Chronopost or TNT, which handle light parcels (under 30 kilograms), or "industrial" or "heavy expressists," such as Tatex or France Express, which can handle parcels weighing up to 800 kilograms (reference no. 51141).</w:t>
      </w:r>
    </w:p>
    <w:p>
      <w:r>
        <w:t>42. According to the aforementioned Xerfi study, the evolution of revenue for express messaging companies in France during the period 2003-2010 was as follows:</w:t>
      </w:r>
    </w:p>
    <w:p>
      <w:r>
        <w:t>Table 5</w:t>
        <w:br/>
        <w:t>Evolution of Revenue from Express Messaging Companies Generated in France</w:t>
        <w:br/>
        <w:t>(sustainable companies)</w:t>
        <w:br/>
        <w:t>Year 2003 2004 2005 2006 2007 2008 2009 2010</w:t>
        <w:br/>
        <w:t>Growth Rate in - 1.8% - 3.0% + 2.1% + 6.3% + 6.7% + 0.2% - 13.3% + 1.0%</w:t>
        <w:br/>
        <w:t>value</w:t>
        <w:br/>
        <w:t>Source: Xerfi Study February 2011.</w:t>
      </w:r>
    </w:p>
    <w:p>
      <w:r>
        <w:t>43. It appears from this table that the evolution of revenue for express messaging experienced, just like traditional messaging activities, a decline in 2009 that was more pronounced compared to traditional messaging, followed by a lesser rebound in 2010. In order to capture sufficient volumes, express messaging companies have implemented limited price increases, which resulted in a less significant revenue increase than that of the quantities transported in 2010.</w:t>
      </w:r>
    </w:p>
    <w:p>
      <w:r>
        <w:t>44. Characterized by the presence of large groups such as La Poste (Chronopost and Exapaq), the express segment appears more concentrated than that of standard messaging, which has tended to increase over the past several years following multiple acquisition operations. The top ten companies represent nearly 80% of the market in 2008 (reference no. 47663), as evidenced by the table below:</w:t>
      </w:r>
    </w:p>
    <w:p>
      <w:r>
        <w:t>Table 6 - Market Shares in the Express Segment</w:t>
        <w:br/>
        <w:t>Market Shares 2008</w:t>
        <w:br/>
        <w:t>Company (in value)</w:t>
        <w:br/>
        <w:t>TNT Express 21.40%</w:t>
        <w:br/>
        <w:t>Chronopost 12.80%</w:t>
        <w:br/>
        <w:t>Geodis (France Express and Ciblex) 13.91%</w:t>
        <w:br/>
        <w:t>DHL Express 12.20%</w:t>
        <w:br/>
        <w:t>FedEx 7.80%</w:t>
        <w:br/>
        <w:t>UPS 5.10%</w:t>
        <w:br/>
        <w:t>GLS France 4.70%</w:t>
        <w:br/>
        <w:t>Tatex 4.40%</w:t>
        <w:br/>
        <w:t>Sernam 3.40%</w:t>
        <w:br/>
        <w:t>Mory 1.80%</w:t>
      </w:r>
    </w:p>
    <w:p>
      <w:r>
        <w:t>2. THE ORGANIZATION OF MESSAGING AND EXPRESS MESSAGING NETWORKS</w:t>
      </w:r>
    </w:p>
    <w:p>
      <w:r>
        <w:t>45. Regarding traditional messaging, messaging companies are structured in a network to cover the entire national territory. Each company has numerous agencies distributed throughout the French territory.</w:t>
      </w:r>
    </w:p>
    <w:p>
      <w:r>
        <w:t>46. The largest networks have the capability, without resorting to external means, to carry out all stages of the transport of goods, namely (1) the collection of parcels from clients, (2) sorting at the agency, (3) transporting parcels to a relay agency known as a "hub" or the destination agency, and finally (4) distribution. Other players resort to subcontractors for transport or distribution. Thus, in less frequented regions, parcels may be entrusted to correspondents, generally small independent businesses, which handle the distribution. More rarely, a messaging company may entrust its parcels to a direct competitor, within the framework of a subcontracting relationship, particularly when that competitor is the only one with an agency in a given area.</w:t>
      </w:r>
    </w:p>
    <w:p>
      <w:r>
        <w:t>47. Regarding express messaging, companies adopt a network organization similar to that used in traditional messaging but generally in a more integrated manner: they make little use of subcontracting. Companies systematically resort to air transport and require the establishment of larger and more automated sorting and logistics centers. Agencies generally have less autonomy compared to those in traditional messaging.</w:t>
      </w:r>
    </w:p>
    <w:p>
      <w:r>
        <w:t>48. By way of illustration, the France Express network was created in 1971 by several independent companies. Members of the network must comply with a number of obligations, notably being able to deliver and pick up freight twice a day in their area of activity. In exchange, they have the opportunity to use the France Express brand.</w:t>
      </w:r>
    </w:p>
    <w:p>
      <w:r>
        <w:t>49. France Express currently takes the form of a GIE. Geodis has held the majority of shares in this GIE since its inception, and its share in the network has increased in recent years through the acquisition of several agencies (reference no. 54506).</w:t>
      </w:r>
    </w:p>
    <w:p>
      <w:r>
        <w:t>3. PRICING AND PRICE REVALUATIONS</w:t>
      </w:r>
    </w:p>
    <w:p>
      <w:r>
        <w:t>a) Determination of the Initial Price</w:t>
      </w:r>
    </w:p>
    <w:p>
      <w:r>
        <w:t>50. Regarding traditional messaging, according to the statements of the companies surveyed, which all agree on this point, there is no standard rate (references nos. 47942, 47943, 48251, and 48238).</w:t>
      </w:r>
    </w:p>
    <w:p>
      <w:r>
        <w:t>51. Rates are generally established as follows:</w:t>
        <w:br/>
        <w:t>(1) a general matrix is established at the company's headquarters. This is a pricing structure based on weight brackets and distances;</w:t>
        <w:br/>
        <w:t>(2) the matrix is then adapted by each agency based on its own costs, the needs of its clients, and its transport plan. There is therefore generally a pricing grid per agency;</w:t>
        <w:br/>
        <w:t>(3) when negotiations with a potential client are initiated, the sales representative responsible for the file collects information on the client's exact needs, the type of parcel, the weight/volume ratio, daily or weekly volumes, intended destinations, possible additional services, etc. Based on this, they propose a specific pricing offer to the client;</w:t>
        <w:br/>
        <w:t>(4) finally, this offer is subject to discussions with the prospect, which may lead to additional discounts.</w:t>
      </w:r>
    </w:p>
    <w:p>
      <w:r>
        <w:t>52. There are therefore as many rates applied within traditional messaging companies as there are clients, or even several rates for the same client. It may also happen that a client organizes a call for tenders to obtain lower prices.</w:t>
      </w:r>
    </w:p>
    <w:p>
      <w:r>
        <w:t>53. Regarding express messaging, rates are most often standard and take the form of grids with automatic volume discounts for small and medium clients. For large account clients, rates are negotiated individually (references nos. 48300, 48301, 51006, and 51007).</w:t>
      </w:r>
    </w:p>
    <w:p>
      <w:r>
        <w:rPr>
          <w:b/>
        </w:rPr>
        <w:t>[Pages 19–21]</w:t>
      </w:r>
    </w:p>
    <w:p>
      <w:r>
        <w:t>b) The pricing revaluation process</w:t>
      </w:r>
    </w:p>
    <w:p>
      <w:r>
        <w:t>54. Several cost items for traditional and express courier companies are regularly increasing. These increases particularly concern salaries, fuel, tolls, and land rents.</w:t>
      </w:r>
    </w:p>
    <w:p>
      <w:r>
        <w:t>55. Traditional and express courier companies have therefore become accustomed to implementing an annual pricing revaluation process.</w:t>
      </w:r>
    </w:p>
    <w:p>
      <w:r>
        <w:t>56. The internal process for determining the pricing revaluation rate has been clarified by numerous companies during the hearings, as shown in the following table:</w:t>
      </w:r>
    </w:p>
    <w:p>
      <w:r>
        <w:t>Table 7 - Determination of the pricing revaluation rate</w:t>
      </w:r>
    </w:p>
    <w:p>
      <w:r>
        <w:t>No. of Actor Statement reference</w:t>
        <w:br/>
        <w:t xml:space="preserve">"It was done once a year. I think it had to be done in October or November before the preparation of our budgets. We were looking at something general. We looked at what we had done the previous year and what we could do the following year. [...] For these clients, we provided a trend of what we wanted as an increase, but this did not necessarily translate into reality because we negotiated afterwards with each client. We therefore sent a circular every year with the trend." </w:t>
        <w:br/>
        <w:t>Former president of Dachser, Mr. Philippe X... 44554</w:t>
      </w:r>
    </w:p>
    <w:p>
      <w:r>
        <w:t xml:space="preserve">"Every year, when we do our budgets, we know what percentage comes from what type of costs (personnel, vehicle, etc.). We assess our actual costs. This leads us to determine what percentage increase we absolutely need to achieve our budget and have a decent level of results. We do this between the end of June and July. We establish a level of price increase that anticipates the outcome of the negotiations. There is a difference between the announced rate and the rate applied to the client." </w:t>
        <w:br/>
        <w:t>Director of the Express Messaging Division of Geodis Group, Mr. Bruno Y... 48341</w:t>
      </w:r>
    </w:p>
    <w:p>
      <w:r>
        <w:t xml:space="preserve">"In general, it is on an annual basis, so these are annual pricing negotiations. There are a number of people involved internally: the salespeople who know the clients and the financial management who assesses the impact of the different scenarios. It is a collegial effort that takes some time. At Chronopost, it was rather at the end of the year." </w:t>
        <w:br/>
        <w:t>President of Geopost and former president of Chronopost, Mr. Christian Z... 51007</w:t>
      </w:r>
    </w:p>
    <w:p>
      <w:r>
        <w:t xml:space="preserve">"There are annual price increases. The calculation is based on an approach to index changes: transport costs (CNTR, etc.), labor (social cost), and inflation rate. This provides the framework for the increase. We also base it on actual costs. We have a tool since April 2012 that provides actual costs per client/package." </w:t>
        <w:br/>
        <w:t>General Director of GLS, Mr. Emeric A... 48548</w:t>
      </w:r>
    </w:p>
    <w:p>
      <w:r>
        <w:t xml:space="preserve">"Internally, in the management committee, we started talking about price increases in September, then we took the opinion of regional sales directors and agency directors. It should be noted that each agency director had a part of their variable remuneration based on the agency's results in addition to their fixed remuneration. We aimed to propose a global increase rate for the year." </w:t>
        <w:br/>
        <w:t>Former president of Schenker-Joyau, Mr. Jacques B... 47943</w:t>
      </w:r>
    </w:p>
    <w:p>
      <w:r>
        <w:t xml:space="preserve">"We have costs that increase every year: fuel, tires, etc. We have an internal management committee meeting every year. All members of the company's management committee express their needs. These meetings take place in May-June, and the price increase is decided by the latest in July. It is communicated to clients in August: on our website and through invoices. The application is on October 1st of each year. We make this announcement to all our clients. There are sometimes a few exceptions, but it is rare." </w:t>
        <w:br/>
        <w:t>President of TNT, Mr. Éric C... 48301</w:t>
      </w:r>
    </w:p>
    <w:p>
      <w:r>
        <w:t>57. These company statements are confirmed by the hearing of the Association of Freight Transport Users (hereinafter, "AUTF"), which brings together the shipper clients of transport companies (see references nos. 54571 and 54572).</w:t>
      </w:r>
    </w:p>
    <w:p>
      <w:r>
        <w:t>58. The schedule and process of revaluation are very similar from one company to another (references nos. 47943, 47964, 48340, 48341, and 48301) and are organized into five main steps.</w:t>
        <w:br/>
        <w:t>(1) The company analyzes during the summer the increases incurred on its main cost items.</w:t>
        <w:br/>
        <w:t>(2) It determines the overall price increase it needs to consolidate its margin. This increase is done on an annual basis.</w:t>
        <w:br/>
        <w:t>(3) The company establishes a pricing revaluation circular, containing the desired increase rate, and sends it to its clients for information and for the purpose of commercial negotiation. This sending generally occurs between the beginning of September and the end of November. Depending on the courier companies, this circular may be sent to all clients or only to certain categories of clients. In the latter case, the most important clients are generally subject to individual outreach. This communication constitutes the starting point for the pricing negotiation (references nos. 47419 and 47534, 48459 to 48461, 48567, 48568, and 47206).</w:t>
        <w:br/>
        <w:t>(4) Salespeople visit clients to negotiate the pricing revaluation that will actually be applied the following year. These negotiations can extend from October to March of the following year. The sales argument is built entirely and systematically around the justification of this rate, as indicated by the documents obtained within the companies Alloin (see references nos. 49146, 49309 to 49313, 49529 and 49530), Heppner (references nos. 1038 to 1153), Graveleau/Dachser (references nos. 2708 and 2709), or Geodis (references nos. 3510 to 3513, 55660, 3515 to 3532, and 3577 to 3583). This method of adjusting prices has also been confirmed by the AUTF during its hearing (see reference no. 54571).</w:t>
        <w:br/>
        <w:t>(5) The result of this pricing negotiation takes effect for the entire following year, starting from January 1st, February 1st, or even March 1st until the application of the next pricing revaluation.</w:t>
      </w:r>
    </w:p>
    <w:p>
      <w:r>
        <w:t>59. At the end of these negotiations, the client's price including the price increase is finalized and then applied. It frequently happens that the most important clients obtain a revaluation lower than that initially requested by the courier company. Some clients, faced with requests for price increases, launch a tender or threaten to do so, to encourage their provider to limit its revaluation requests.</w:t>
      </w:r>
    </w:p>
    <w:p>
      <w:r>
        <w:t>60. For all traditional and express courier companies, annual revaluations are therefore an essential step in the commercial negotiation and allow them to meet with their clients to discuss not only prices but also the quality of services and potential new business opportunities.</w:t>
      </w:r>
    </w:p>
    <w:p>
      <w:r>
        <w:t>C. THE COMPANIES INVOLVED</w:t>
      </w:r>
    </w:p>
    <w:p>
      <w:r>
        <w:t>1. THE COMPANIES IN THE COURIER SECTOR IN FRANCE</w:t>
      </w:r>
    </w:p>
    <w:p>
      <w:r>
        <w:t>61. Regarding traditional courier services, the main operators are Geodis Calberson (SNCF group), Schenker-Joyau (Deutsche Bahn group), Gefco SA (Peugeot-PSA group), Dachser (formerly Graveleau), Heppner, and Alloin (now Kuehne+Nagel Road). Many regionally influential companies are also active in this segment.</w:t>
      </w:r>
    </w:p>
    <w:p>
      <w:r>
        <w:t>62. Regarding express courier services, the main operators are La Poste (via Chronopost and Exapaq), TNT, and UPS.</w:t>
      </w:r>
    </w:p>
    <w:p>
      <w:r>
        <w:t>a) Alloin / Kuehne+Nagel Road</w:t>
      </w:r>
    </w:p>
    <w:p>
      <w:r>
        <w:t>63. Alloin is a road transport company that was acquired in 2009 by the Kuehne+Nagel group, one of the world's leading transport and logistics companies. Since January 1, 2013, the group company responsible for courier services is now Kuehne+Nagel Road SAS.</w:t>
      </w:r>
    </w:p>
    <w:p>
      <w:r>
        <w:t>64. Kuehne+Nagel Road is a company specialized in traditional national courier services but also offers European courier services through a network of European partners. It is also active in the field of road transport by batches and offers a specific service for the transport of hazardous materials.</w:t>
      </w:r>
    </w:p>
    <w:p>
      <w:r>
        <w:t>65. Kuehne+Nagel Road is not present in the express courier segment, except for a few exceptional shipments (reference no. 292 of referral no. 10/0091AC).</w:t>
      </w:r>
    </w:p>
    <w:p>
      <w:r>
        <w:t>66. In 2009, Kuehne+Nagel Road achieved a turnover of 270,173,551 euros.</w:t>
      </w:r>
    </w:p>
    <w:p>
      <w:r>
        <w:t>b) BMVirolle</w:t>
      </w:r>
    </w:p>
    <w:p>
      <w:r>
        <w:t>67. The company BMVirolle SA (hereinafter, "BMV") is a transport company that includes two different activities. For half of its agencies, it is a correspondent of the France Express network, mainly owned by Geodis. For the other half, it acts as a carrier outside of Geodis.</w:t>
      </w:r>
    </w:p>
    <w:p>
      <w:r>
        <w:t>68. Despite a limited number of agencies, BMV has access to a national network through three main hubs: its own BMV agencies, agreements with Geodis, and correspondence agreements with other carriers.</w:t>
      </w:r>
    </w:p>
    <w:p>
      <w:r>
        <w:t>69. The essential activity of BMV is national traditional courier services. BMV also has an industrial express courier activity through the France Express network.</w:t>
      </w:r>
    </w:p>
    <w:p>
      <w:r>
        <w:t>70. BMV is 35% owned by Geodis and 65% by an investment company, COGIP, which itself includes three shareholders.</w:t>
      </w:r>
    </w:p>
    <w:p>
      <w:r>
        <w:t>71. In 2009, BMV achieved a turnover of 83,670,443 euros.</w:t>
      </w:r>
    </w:p>
    <w:p>
      <w:r>
        <w:t>c) Ciblex</w:t>
      </w:r>
    </w:p>
    <w:p>
      <w:r>
        <w:t>72. Ciblex originated from the acquisition in 1999 by the British group Hays of two French companies specialized in express courier services, Colirail and France Partner. This operation gave rise to Hays DX. In March 2004, the company was acquired by its management committee and became Ciblex a few months later.</w:t>
      </w:r>
    </w:p>
    <w:p>
      <w:r>
        <w:t>73. In March 2010, Ciblex was acquired by Geodis SA and became Geodis Ciblex.</w:t>
      </w:r>
    </w:p>
    <w:p>
      <w:r>
        <w:rPr>
          <w:b/>
        </w:rPr>
        <w:t>[Pages 22–24]</w:t>
      </w:r>
    </w:p>
    <w:p>
      <w:r>
        <w:t xml:space="preserve">74. Geodis Ciblex was finally acquired in September 2014 by the EHDH-Eurotranspharma group and reverted to the name Ciblex.  </w:t>
        <w:br/>
        <w:t xml:space="preserve">75. In 2009, Geodis Ciblex achieved a turnover of 138,056,724 euros (financial year ending June 30, 2009).  </w:t>
        <w:br/>
        <w:t xml:space="preserve">d) Dachser France (formerly Graveleau)  </w:t>
        <w:br/>
        <w:t xml:space="preserve">76. The company Dachser France SAS (hereinafter, "Dachser") is a French transport and logistics operator based in La Verrie. It originated from the company Graveleau, a craft transport company for passengers. Graveleau was acquired in 1999 by the German family transport group Dachser. In August 2009, Graveleau became Dachser France. The company currently provides national and European messaging services and freight transport.  </w:t>
        <w:br/>
        <w:t xml:space="preserve">77. The messaging activities of Dachser France are provided through the "entargo" service, which corresponds to classic messaging activities. Dachser also offers chartering services ("directload"), full truck transport across Europe ("groupline"), and maritime or air transport. Dachser also provides specific services for the transport of hazardous materials.  </w:t>
        <w:br/>
        <w:t xml:space="preserve">78. Dachser France does not offer express delivery in France (reference no. 44554).  </w:t>
        <w:br/>
        <w:t xml:space="preserve">79. In the context of this decision, the company will be referred to as "Graveleau" for events prior to August 1, 2009, and "Dachser" for events after that date.  </w:t>
        <w:br/>
        <w:t xml:space="preserve">80. In 2009, Dachser France achieved a turnover of 381,804,930 euros.  </w:t>
        <w:br/>
        <w:t xml:space="preserve">e) DHL Express France  </w:t>
        <w:br/>
        <w:t xml:space="preserve">81. DHL is a postal courier company. As of January 1, 2005, all messaging and express activities of the group in French territory were consolidated into a single legal structure, DHL Express (France) SAS (hereinafter, "DHL Express France"). In 2008, the Express activity was transferred to the company DHL International Express France, with DHL Express France retaining only the messaging services.  </w:t>
        <w:br/>
        <w:t xml:space="preserve">82. Until June 30, 2010, 80% of DHL Express France's activity corresponded to a classic messaging service, with delivery within 24-48 hours in French territory. The remaining 20% consisted of international shipments or distribution from international sources. On June 30, 2010, all activities of DHL Express France were transferred to the company Arcatime Thouare, which was immediately sold to the company Caravelle, and renamed Ducros Express. The legal entity DHL Express France was maintained after this operation. This concentration operation was subject to the Authority's decision No. 10-DCC-45 of May 25, 2010.  </w:t>
        <w:br/>
        <w:t xml:space="preserve">83. Regarding the structure of the group, DHL Express France is 100% owned by Deutsche Post.  </w:t>
        <w:br/>
        <w:t xml:space="preserve">84. In 2009, DHL Express France achieved a turnover of 315,400,686 euros.  </w:t>
        <w:br/>
        <w:t xml:space="preserve">f) Gefco  </w:t>
        <w:br/>
        <w:t xml:space="preserve">85. The company Gefco is among the global leaders in automotive and industrial logistics. Its activities include classic messaging, urgent custom transport, and freight transport.  </w:t>
        <w:br/>
        <w:t xml:space="preserve">86. Gefco was a 100% subsidiary of the PSA Peugeot Citroën group until December 20, 2012, when 75% of Gefco's capital was sold to the Russian company RZD (reference no. 54868).  </w:t>
        <w:br/>
        <w:t xml:space="preserve">87. In 2009, Gefco achieved a statutory turnover of 1,714,524,208 euros, and the Gefco group achieved a consolidated turnover of 2,888,000,000 euros. The downstream automotive logistics activities accounted for 1.5 billion euros in turnover, upstream land logistics activities 2 billion euros, and "overseas" activities 300 million euros.  </w:t>
        <w:br/>
        <w:t xml:space="preserve">g) Geodis  </w:t>
        <w:br/>
        <w:t xml:space="preserve">88. Geodis is the fourth largest logistics provider in Europe and is among the major players in the messaging sector in France. Geodis operates in the "industrial" express sector through the France Express network, as presented in paragraphs 48 and following above.  </w:t>
        <w:br/>
        <w:t xml:space="preserve">89. Geodis offers a complete range of messaging services: classic messaging, single parcel, express single parcel, industrial express, as well as numerous services for international delivery.  </w:t>
        <w:br/>
        <w:t xml:space="preserve">90. In 2009, Geodis achieved a consolidated turnover of 5,007,000,000 euros, of which 15% is related to messaging activities. In recent years, the group has strengthened its presence in the messaging sector through successive acquisitions of companies: Dubouil, Sotrab, and Cool Jet in 2009, and again in 2010.  </w:t>
        <w:br/>
        <w:t xml:space="preserve">91. Geodis Calberson is a company of the Geodis group responsible for classic messaging activities. It is 100% owned by Geodis SA (references nos. 54791 to 54798), which is itself 100% owned by EPIC SNCF.  </w:t>
        <w:br/>
        <w:t xml:space="preserve">h) GLS France  </w:t>
        <w:br/>
        <w:t xml:space="preserve">92. The company Extand, which became General Logistics Systems France SAS (hereinafter, "GLS France"), is a company offering transport services for single parcels weighing less than 30 kilos and express single parcel deliveries in France, Europe, and worldwide. GLS France serves clients in various sectors such as printing, IT, electronics, office supplies, textiles, high technology, and automotive.  </w:t>
        <w:br/>
        <w:t xml:space="preserve">93. Regarding the structure of the company, GLS France is a 100% subsidiary of General Logistics Systems B.V. (hereinafter, "GLS B.V."), based in Amsterdam and specializing in transport and logistics, which is itself 100% owned by Royal Mail (reference no. 48546), responsible for postal mail distribution in the United Kingdom.  </w:t>
        <w:br/>
        <w:t xml:space="preserve">94. GLS France achieved an annual turnover of 319,740,880 euros in 2009 (financial year ending March 31, 2009).  </w:t>
        <w:br/>
        <w:t xml:space="preserve">i) Heppner  </w:t>
        <w:br/>
        <w:t xml:space="preserve">95. The Heppner/FINALTRA group (composed of Heppner Transport Company, Lambert and Valette, and XP France, hereinafter, "Heppner") is a company engaged in international and national transport and logistics.  </w:t>
        <w:br/>
        <w:t xml:space="preserve">96. The Heppner group has gradually become a national player, notably through the acquisition of other companies, such as XP France in 2004 and Sodimaine Transports in 2006, which allowed it to gradually cover the entire French territory.  </w:t>
        <w:br/>
        <w:t xml:space="preserve">97. Heppner's messaging services in France primarily correspond to classic messaging. Heppner also offers services to major cities in Europe.  </w:t>
        <w:br/>
        <w:t xml:space="preserve">98. Heppner does not offer express messaging options or a guaranteed delivery system. However, Heppner provides "à la carte options" in addition to its packages, allowing for deliveries before 12 noon, among other things.  </w:t>
        <w:br/>
        <w:t xml:space="preserve">99. Regarding the structure of the group, the companies in the Heppner group are 100% owned by a holding company, the Alsatian Transport Financial Company, FINALTRA.  </w:t>
        <w:br/>
        <w:t xml:space="preserve">100. In 2009, the Heppner group achieved a consolidated turnover of 477,085,084 euros, of which 35% was generated by national messaging activities.  </w:t>
        <w:br/>
        <w:t xml:space="preserve">j) The La Poste Group  </w:t>
        <w:br/>
        <w:t xml:space="preserve">Chronopost  </w:t>
        <w:br/>
        <w:t xml:space="preserve">101. Chronopost SAS is a company specialized in the delivery of express parcels weighing less than 30 kilos, with guaranteed next-day delivery. The services can be "B to B" or "B to C". Its flagship product is "Chrono 13h", a delivery throughout France the next day before 1 PM. Chronopost also offers international deliveries through an air network.  </w:t>
        <w:br/>
        <w:t xml:space="preserve">102. Chronopost is 100% owned by Geopost, which groups the subsidiaries of the La Poste group active in express and professional parcel delivery.  </w:t>
        <w:br/>
        <w:t xml:space="preserve">103. In 2009, Chronopost achieved a turnover of 632,207,961 euros.  </w:t>
        <w:br/>
        <w:t xml:space="preserve">Exapaq  </w:t>
        <w:br/>
        <w:t xml:space="preserve">104. Exapaq SAS operates in the sector of single parcel messaging for professionals, weighing less than 30 kilos.  </w:t>
        <w:br/>
        <w:t xml:space="preserve">105. Until 2006, it was merely a service company owned by about 30 regional shareholder companies. Only resources such as the brand, IT services, or transport were pooled within Exapaq S.A.  </w:t>
        <w:br/>
        <w:t xml:space="preserve">106. In March 2006, Geopost, the holding company of the La Poste group, acquired Exapaq. From 2006 onwards, as part of its integration into GeoPost, Exapaq established a unified commercial management for France.  </w:t>
        <w:br/>
        <w:t xml:space="preserve">107. In 2009, Exapaq achieved a turnover of 273,628,598 euros.  </w:t>
        <w:br/>
        <w:t xml:space="preserve">k) Mory (liquidation pronounced on July 10, 2012)  </w:t>
        <w:br/>
        <w:t xml:space="preserve">108. Mory was an independent French group operating in the fields of messaging, road, maritime, and air transport, as well as logistics.  </w:t>
        <w:br/>
        <w:t xml:space="preserve">109. The main services offered by Mory Team were classic messaging services, industrial express, and single parcel messaging. It also provided services for specific products: pharmaceuticals and sensitive products. National messaging, which was managed by Mory Team, represented 55.6% of the group's consolidated turnover.  </w:t>
        <w:br/>
        <w:t xml:space="preserve">110. Regarding the structure of the group, Mory Team SAS was a 100% subsidiary of Mory SA.  </w:t>
        <w:br/>
        <w:t>111. The Mory group was placed under judicial recovery in June 2011. By judgment of September 30, 2011, the commercial court of Bobigny approved a transfer plan for the</w:t>
      </w:r>
    </w:p>
    <w:p>
      <w:r>
        <w:rPr>
          <w:b/>
        </w:rPr>
        <w:t>[Pages 25–27]</w:t>
      </w:r>
    </w:p>
    <w:p>
      <w:r>
        <w:t>active messaging and freight assets of the group in favor of the company Caravelle, an industrial group specialized in the acquisition of loss-making companies (references nos. 48686 to 48803).</w:t>
      </w:r>
    </w:p>
    <w:p>
      <w:r>
        <w:t>112. The judicial liquidation of the companies Mory SA and Mory Team SAS was pronounced by judgment of July 10, 2012, by the commercial court of Bobigny.</w:t>
      </w:r>
    </w:p>
    <w:p>
      <w:r>
        <w:t>l) Mory Ducros (liquidation on February 6, 2014)</w:t>
      </w:r>
    </w:p>
    <w:p>
      <w:r>
        <w:t>113. Mory Ducros SAS was a company offering classic messaging and industrial express services. It also provided international messaging and freight services.</w:t>
      </w:r>
    </w:p>
    <w:p>
      <w:r>
        <w:t>114. Mory Ducros originated from the integration, by the company Ducros Express, of the messaging and freight assets of the Mory group, acquired at the end of 2011 by the company Caravelle.</w:t>
      </w:r>
    </w:p>
    <w:p>
      <w:r>
        <w:t>115. Since February 6, 2014, the company Mory Ducros has been in judicial liquidation.</w:t>
      </w:r>
    </w:p>
    <w:p>
      <w:r>
        <w:t>m) Norbert Dentressangle Distribution (formerly Darfeuille Services)</w:t>
      </w:r>
    </w:p>
    <w:p>
      <w:r>
        <w:t>116. Darfeuille Services was a company based in Andrézieux-Bouthéon in the Loire department and was part of the Transports Darfeuille group.</w:t>
      </w:r>
    </w:p>
    <w:p>
      <w:r>
        <w:t>117. In 2001, Transports Darfeuille was acquired by the English group Salvesen, which itself was acquired by the Norbert Dentressangle group in December 2007, as part of a public takeover bid.</w:t>
      </w:r>
    </w:p>
    <w:p>
      <w:r>
        <w:t>118. Following this operation, the company Darfeuille Services became Norbert Dentressangle Distribution.</w:t>
      </w:r>
    </w:p>
    <w:p>
      <w:r>
        <w:t>119. Darfeuille Services, now Norbert Dentressangle Distribution, exclusively offers pallet messaging services.</w:t>
      </w:r>
    </w:p>
    <w:p>
      <w:r>
        <w:t>120. In 2015, Norbert Dentressangle Distribution was acquired by the XPO Logistics group to the extent of 67%.</w:t>
      </w:r>
    </w:p>
    <w:p>
      <w:r>
        <w:t>121. In 2009, Norbert Dentressangle Distribution achieved an annual turnover of 240,298,269 euros.</w:t>
      </w:r>
    </w:p>
    <w:p>
      <w:r>
        <w:t>n) Normatrans</w:t>
      </w:r>
    </w:p>
    <w:p>
      <w:r>
        <w:t>122. The company Normatrans SAS is a messaging and logistics company focused on Lower Normandy and has five agencies in Lower Normandy.</w:t>
      </w:r>
    </w:p>
    <w:p>
      <w:r>
        <w:t>123. Normatrans indicates that, for its messaging activity, most of its turnover is generated through subcontracting for messaging groups that are not established in Lower Normandy and that use Normatrans to distribute parcels in this region. These include companies such as Gefco, Schenker-Joyau, Dachser, or Heppner.</w:t>
      </w:r>
    </w:p>
    <w:p>
      <w:r>
        <w:t>124. Normatrans achieved an annual turnover of 28,552,488 euros in 2009, of which 30% corresponds to classic messaging activity.</w:t>
      </w:r>
    </w:p>
    <w:p>
      <w:r>
        <w:t>o) Schenker-Joyau</w:t>
      </w:r>
    </w:p>
    <w:p>
      <w:r>
        <w:t>125. The company Schenker-Joyau, formerly Joyau, resulted from the acquisition of the French company Joyau Transports by Schenker France. Its main activity is classic messaging in France and Europe, but it also offers some express messaging services.</w:t>
      </w:r>
    </w:p>
    <w:p>
      <w:r>
        <w:t>126. Schenker-Joyau manages two centers of the "France Express" network, specialized in express delivery, in Vendée and Haute Marne. These two centers are not linked to the Schenker-Joyau messaging agencies and operate independently of the company's messaging network. This activity represents about 2% of Schenker-Joyau's total turnover.</w:t>
      </w:r>
    </w:p>
    <w:p>
      <w:r>
        <w:t>127. Regarding the structure of the group, Schenker-Joyau SAS is a 100% subsidiary of Schenker SA, which is itself 100% owned by DB France Holding SAS, the French holding company of the historic German railway operator Deutsche Bahn. DB France Holding SAS is itself controlled, through the company DB Mobility Logistics AG, 100% by Deutsche Bahn AG.</w:t>
      </w:r>
    </w:p>
    <w:p>
      <w:r>
        <w:t>128. In 2009, Schenker-Joyau achieved a turnover of 417,791,627 euros, of which 68% represents messaging activities in France.</w:t>
      </w:r>
    </w:p>
    <w:p>
      <w:r>
        <w:t>p) Sernam</w:t>
      </w:r>
    </w:p>
    <w:p>
      <w:r>
        <w:t>129. The company Le Sernam, which became Sernam in 2005, was a company specialized in messaging.</w:t>
      </w:r>
    </w:p>
    <w:p>
      <w:r>
        <w:t>130. The company Sernam Services was 100% owned by Financière Sernam SAS, which itself was 60-80% owned by the venture capital fund France Private Equity, managed by the management company Butler Capital Partners SA (reference no. 55672), with the remainder of the capital held by Butler Capital Partners SA itself and by the main executives of the group.</w:t>
      </w:r>
    </w:p>
    <w:p>
      <w:r>
        <w:t>131. By judgments dated January 31, 2012, and February 3, 2012, the commercial court of Nanterre and the commercial court of Pontoise opened, respectively, two distinct judicial recovery procedures for the benefit of the companies Financière Sernam and Sernam Services and a judicial liquidation procedure for the benefit of the company Aster (reference no. 52226).</w:t>
      </w:r>
    </w:p>
    <w:p>
      <w:r>
        <w:t>132. On March 9, 2012, the companies Calberson SAS and BMV submitted two joint takeover offers concerning part of the assets and activities of the company Sernam Services, excluding those of the companies Aster and Financière Sernam.</w:t>
      </w:r>
    </w:p>
    <w:p>
      <w:r>
        <w:t>133. In its judgment of April 13, 2012, the commercial court of Nanterre ordered the transfer of the assets and activities of the company Sernam Services to the companies Calberson SAS and BMV, according to the following scopes:</w:t>
        <w:br/>
        <w:t>- for Calberson SAS: the intangible assets of 48 agencies and for 6 of these agencies, the acquisition of tangible assets, stocks, and lease contracts;</w:t>
        <w:br/>
        <w:t>- for BMV: the tangible and intangible assets and stocks of 6 agencies, as well as the contracts of 2 agencies.</w:t>
      </w:r>
    </w:p>
    <w:p>
      <w:r>
        <w:t>134. By decision no. 12-DCC-153 of November 12, 2012, the Authority authorized the operation. The legal personality of the company Sernam Services remains for the purposes of the judicial liquidation.</w:t>
      </w:r>
    </w:p>
    <w:p>
      <w:r>
        <w:t>q) Tatex/Fedex Express France</w:t>
      </w:r>
    </w:p>
    <w:p>
      <w:r>
        <w:t>135. Tatex, formerly TAT Express, is a company offering specialized high-value-added services, such as night delivery or synchronized delivery, in which the recipient indicates at what time they want to be delivered.</w:t>
      </w:r>
    </w:p>
    <w:p>
      <w:r>
        <w:t>136. Tatex's clients are primarily companies in the industrial sector, including IT wholesalers, automotive suppliers, clothing, and maintenance. The company has also recently begun to develop in the "B to C" sector, particularly through its synchronized delivery service.</w:t>
      </w:r>
    </w:p>
    <w:p>
      <w:r>
        <w:t>137. In June 2005, the company Xaap Finance, a family financial holding, acquired the majority of the capital of TAT Express. In 2006, the company was renamed Tatex.</w:t>
      </w:r>
    </w:p>
    <w:p>
      <w:r>
        <w:t>138. On July 3, 2012, the Fedex group acquired control of Tatex. The company then became Fedex Express France SAS.</w:t>
      </w:r>
    </w:p>
    <w:p>
      <w:r>
        <w:t>139. Fedex Express France is a courier specialized in so-called "heavy" parcels. It is therefore industrial express. Its main service is next-day delivery before 1 PM in France.</w:t>
      </w:r>
    </w:p>
    <w:p>
      <w:r>
        <w:t>140. In 2009, Tatex achieved a turnover of 140,825,731 euros.</w:t>
      </w:r>
    </w:p>
    <w:p>
      <w:r>
        <w:t>141. In 2014, Fedex Express France achieved a turnover of 170,181,521 euros.</w:t>
      </w:r>
    </w:p>
    <w:p>
      <w:r>
        <w:t>r) The TNT Express group</w:t>
      </w:r>
    </w:p>
    <w:p>
      <w:r>
        <w:t>142. TNT Express is a company specialized in express messaging of parcels weighing less than 30 kilos, with evening pickup and next morning delivery. The TNT Express group is a global player in express messaging. TNT is the second largest player in Europe in the express parcel segment, behind DHL.</w:t>
      </w:r>
    </w:p>
    <w:p>
      <w:r>
        <w:t>143. The company TNT Express France SAS, the French subsidiary of the group, is responsible for express transport by light vehicles of small parcels weighing less than 30 kilos and has expanded its activities since 2006 to "B to C" relationships by offering a new parcel delivery service aimed at individuals making purchases online. The headquarters of TNT Express France is located in Lyon. The products offered by TNT Express France concern express messaging services to the national territory and internationally. In France, TNT Express France does not offer products in the classic messaging sector but only in the express messaging sector.</w:t>
      </w:r>
    </w:p>
    <w:p>
      <w:r>
        <w:t>144. In 2009, the TNT Express group achieved a consolidated turnover of 5,956 million euros.</w:t>
      </w:r>
    </w:p>
    <w:p>
      <w:r>
        <w:t>s) Transports Henri Ducros</w:t>
      </w:r>
    </w:p>
    <w:p>
      <w:r>
        <w:t>145. The company Transports Henri Ducros SAS (hereinafter, "Transports Henri Ducros") is a company specialized in classic messaging services in France.</w:t>
      </w:r>
    </w:p>
    <w:p>
      <w:r>
        <w:t>146. The products offered by Transports Henri Ducros are divided into two categories: classic messaging services and freight services.</w:t>
      </w:r>
    </w:p>
    <w:p>
      <w:r>
        <w:t>147. The company has several agencies in France. Furthermore, it cooperates with a network of partners consisting of the companies Heppner, Ziegler, and Dachser, corresponding to areas where Transports Henri Ducros is not present.</w:t>
      </w:r>
    </w:p>
    <w:p>
      <w:r>
        <w:t>148. Freight forwarders use the network of subcontractor partners of Transports Henri Ducros.</w:t>
      </w:r>
    </w:p>
    <w:p>
      <w:r>
        <w:t>149. Transports Henri Ducros achieved a turnover of 35,649,578 euros in 2009.</w:t>
      </w:r>
    </w:p>
    <w:p>
      <w:r>
        <w:t>t) Transports Peronnet (liquidation pronounced on February 4, 2009)</w:t>
      </w:r>
    </w:p>
    <w:p>
      <w:r>
        <w:t>150. The company Transports Peronnet SAS (hereinafter, "Transports Peronnet") had a generalist activity: transport of batches, messaging, and pallets, and focused on a Rhône-Alpes-Normandy line.</w:t>
      </w:r>
    </w:p>
    <w:p>
      <w:r>
        <w:rPr>
          <w:b/>
        </w:rPr>
        <w:t>[Pages 28–30]</w:t>
      </w:r>
    </w:p>
    <w:p>
      <w:r>
        <w:t>151. Transports Peronnet was placed in judicial recovery by the Commercial Court of Saint-Etienne on August 7, 2008. A joint offer from Mr. Didier D... and the Transalliance group was chosen by the court on October 29, 2008.</w:t>
      </w:r>
    </w:p>
    <w:p>
      <w:r>
        <w:t>152. The activity of Transports Peronnet was sold to a group of investors and was integrated within Peronnet Distribution SAS. Mr. D..., president of this new company, directed its activity towards pallet messaging, a service similar to that previously provided by his former company Darfeuille Services, now known as Norbert Dentressangle Distribution.</w:t>
      </w:r>
    </w:p>
    <w:p>
      <w:r>
        <w:t>153. The company Transports Peronnet was placed in judicial liquidation on February 4, 2009.</w:t>
      </w:r>
    </w:p>
    <w:p>
      <w:r>
        <w:t>u) Ziegler France</w:t>
      </w:r>
    </w:p>
    <w:p>
      <w:r>
        <w:t>154. Ziegler is a Belgian group composed of several companies specialized in logistics and the organization of multimodal transport (road, air, and sea) at the national, European ("euromessagerie" or "eurogroupage"), or international level. Based in Brussels, the group is present in many countries across Europe.</w:t>
      </w:r>
    </w:p>
    <w:p>
      <w:r>
        <w:t>155. In the messaging sector, Ziegler France offers, through its network of agencies, which was reduced between 2002 and 2012 (reference no. 51780), primarily European messaging services, some national and regional messaging services, and express shipments.</w:t>
      </w:r>
    </w:p>
    <w:p>
      <w:r>
        <w:t>156. Ziegler France SA is over 99% owned by the company Balspeed France.</w:t>
      </w:r>
    </w:p>
    <w:p>
      <w:r>
        <w:t>157. In 2009, Ziegler France achieved a turnover of 282,682,585 euros.</w:t>
      </w:r>
    </w:p>
    <w:p>
      <w:r>
        <w:t>2. PROFESSIONAL ORGANIZATIONS</w:t>
      </w:r>
    </w:p>
    <w:p>
      <w:r>
        <w:t>158. The Federation of Transport and Logistics Companies of France (TLF) represents all professions comprising the multimodal transport chain. It resulted from the merger between the French Federation of Transport Organizers and Commission Agents (FFOCT) and the Chamber of Industrial Vehicle Lessors (CLTI).</w:t>
      </w:r>
    </w:p>
    <w:p>
      <w:r>
        <w:t>159. TLF brings together the main companies in:</w:t>
        <w:br/>
        <w:t>- road transport;</w:t>
        <w:br/>
        <w:t>- classic messaging and express messaging;</w:t>
        <w:br/>
        <w:t>- industrial vehicle rental;</w:t>
        <w:br/>
        <w:t>- logistics;</w:t>
        <w:br/>
        <w:t>- transport commission;</w:t>
        <w:br/>
        <w:t>- customs operations;</w:t>
        <w:br/>
        <w:t>- transport organization (rail, maritime, air, river).</w:t>
      </w:r>
    </w:p>
    <w:p>
      <w:r>
        <w:t>160. TLF is organized into Trade Councils and commissions, led by permanent employees and active professionals, and has about twenty locations in the provinces and overseas departments.</w:t>
      </w:r>
    </w:p>
    <w:p>
      <w:r>
        <w:t>161. At the time of the practices pursued, there were seven Trade Councils within this federation: Road, Express Messaging, Rental, Rail, Maritime – Multimodal, Supply Chain, and Customs. A permanent employee of the federation attended the various meetings of the Trade Councils. Until December 2011, the head of the Messaging/Express Trade Council (hereinafter, the "Trade Council") was Ms. Laure I.... The frequency of the Trade Council meetings was four times a year. Working groups also met as needed on technical and legal files.</w:t>
      </w:r>
    </w:p>
    <w:p>
      <w:r>
        <w:t>162. The National Federation of Road Transport (FNTR) is the leading organization for road freight transport. It is a federation of regional and departmental unions managed by professionals. It is a distinct professional organization, and sometimes a competitor, of TLF.</w:t>
      </w:r>
    </w:p>
    <w:p>
      <w:r>
        <w:t>D. THE EVOLUTION OF THE LEGAL FRAMEWORK</w:t>
      </w:r>
    </w:p>
    <w:p>
      <w:r>
        <w:t>1. BEFORE THE LAW OF JANUARY 5, 2006</w:t>
      </w:r>
    </w:p>
    <w:p>
      <w:r>
        <w:t>163. Until 1989, the price of road transport in France was regulated by decree no. 49-1473 of November 14, 1949. In 1961, at the request of road carriers, a Mandatory Road Pricing (TRO) was established, applicable to long-distance transport for others. The National Road Committee ("CNR") was responsible for establishing, managing, and controlling this TRO.</w:t>
      </w:r>
    </w:p>
    <w:p>
      <w:r>
        <w:t>164. The TRO, temporarily maintained after the price liberalization decided by the ordinance of December 1, 1986, was abolished by decree no. 88-638 of May 6, 1988, effective January 1, 1989.</w:t>
      </w:r>
    </w:p>
    <w:p>
      <w:r>
        <w:t>165. The CNR is now responsible for monitoring transport prices and costs. It also has the option to establish indicative reference rates.</w:t>
      </w:r>
    </w:p>
    <w:p>
      <w:r>
        <w:t>a) Legislative provisions</w:t>
      </w:r>
    </w:p>
    <w:p>
      <w:r>
        <w:t>166. Firstly, law no. 82-1153 of December 30, 1982, on the orientation of internal transport provided in its Article 6 that "The conditions under which public transport operations are carried out, notably the formation of applicable prices and tariffs and the clauses of transport contracts, allow for fair remuneration of the carrier ensuring coverage of the actual costs of the service rendered under normal organizational and productivity conditions." This provision, which was in force at the time of the practices, was repealed by ordinance no. 2010-1307 of October 28, 2010, relating to the legislative part of the transport code.</w:t>
      </w:r>
    </w:p>
    <w:p>
      <w:r>
        <w:t>167. Secondly, law no. 92-1445 of December 31, 1992, relating to subcontracting relationships in the field of road freight transport provided in its Article 3: "Any client who remunerates the contracts referred to in Article 1 with a price that does not allow for coverage of both:</w:t>
        <w:br/>
        <w:t>- the costs incurred by legal and regulatory obligations, notably in social and safety matters;</w:t>
        <w:br/>
        <w:t>- the costs of fuel and vehicle maintenance;</w:t>
        <w:br/>
        <w:t>- the depreciation or rental of vehicles;</w:t>
        <w:br/>
        <w:t>- the road expenses of vehicle drivers;</w:t>
        <w:br/>
        <w:t>- toll fees;</w:t>
        <w:br/>
        <w:t>- transport document fees and fiscal stamps;</w:t>
        <w:br/>
        <w:t>- and, for sole proprietorships, the remuneration of the business owner […]" is punishable by a fine of 90,000 euros.</w:t>
      </w:r>
    </w:p>
    <w:p>
      <w:r>
        <w:t>168. Thirdly, law no. 96-603 of July 5, 1996, added to law no. 95-96 of February 1, 1995, concerning abusive clauses and the presentation of contracts and governing various economic and commercial activities, an Article 23-1 worded as follows: "Any public road freight transport provider, notably road freight carriers, transport commission agents, or industrial vehicle lessors with drivers, who offers or practices a price lower than the cost of the service that does not allow for coverage of the costs incurred by legal and regulatory obligations, notably in social and safety matters, as well as the costs of fuel and maintenance, the depreciation or rental of vehicles, the road expenses of vehicle drivers, toll fees, transport document fees, fiscal stamps, and, for sole proprietorships, the remuneration of the business owner […]" is punishable by a fine of 90,000 euros.</w:t>
      </w:r>
    </w:p>
    <w:p>
      <w:r>
        <w:t>169. The preceding texts are now codified within the legislative part of the transport code in Articles L. 3221-1, L. 3221-4, L. 3242-2, and L. 3242-4.</w:t>
      </w:r>
    </w:p>
    <w:p>
      <w:r>
        <w:t>170. Thus, the aforementioned provisions impose that the prices charged for a public road freight transport service must not be lower than the cost of the service, that is to say, all the costs actually incurred by the transport company, including "fuel costs." However, they do not impose any particular methodology for passing on the evolution of costs to the prices of services.</w:t>
      </w:r>
    </w:p>
    <w:p>
      <w:r>
        <w:t>b) Implementation modalities of the legislative provisions</w:t>
      </w:r>
    </w:p>
    <w:p>
      <w:r>
        <w:t>171. In a circular dated August 21, 1996, concerning the implementation modalities of the new legislative provisions relating to subcontracting and excessively low prices in road freight transport, published in the Official Journal on September 12, 1996, it is stated that "all direct costs attributable to a transport operation are now taken into account in determining the threshold provided for in Article 3 [of the aforementioned law of December 31, 1992]." The circular then indicates that the provisions of Article 23-1 of the aforementioned law of February 1, 1995, merely broaden the application of the rules on excessively low prices from the law of December 31, 1992.</w:t>
      </w:r>
    </w:p>
    <w:p>
      <w:r>
        <w:t>172. For the application of the aforementioned legislative provisions, the proposed price must therefore be above a "threshold" that must cover, indistinctly, all the costs actually incurred by the company.</w:t>
      </w:r>
    </w:p>
    <w:p>
      <w:r>
        <w:t>c) Standard contracts applicable in the transport sector</w:t>
      </w:r>
    </w:p>
    <w:p>
      <w:r>
        <w:t>173. Standard contracts are supplementary and apply in the absence of a contract drafted by the parties. They include, since decree no. 2000-1052 of October 20, 2000, a paragraph worded as follows: "[t]he price of transport initially agreed upon is revised in the event of significant variations in the costs of the transport company, which are due to conditions external to it, such as the price of fuels, and which the requesting party justifies by any means."</w:t>
      </w:r>
    </w:p>
    <w:p>
      <w:r>
        <w:rPr>
          <w:b/>
        </w:rPr>
        <w:t>[Pages 31–33]</w:t>
      </w:r>
    </w:p>
    <w:p>
      <w:r>
        <w:t>contrats de transport. » (cote n° 1879).</w:t>
      </w:r>
    </w:p>
    <w:p>
      <w:r>
        <w:t>192. Enfin, le 15 décembre 2004, le ministre a précisé que « les transporteurs doivent pouvoir</w:t>
        <w:br/>
        <w:t>répercuter les hausses de prix du gazole dans leurs contrats, et que le gouvernement</w:t>
        <w:br/>
        <w:t>s’engage à les aider à le faire » (cote n° 1879).</w:t>
      </w:r>
    </w:p>
    <w:p>
      <w:r>
        <w:t>2. LE CONTENU DES PRATIQUES</w:t>
        <w:br/>
        <w:t>193. Les pratiques concertées entre entreprises concurrentes ont consisté à établir des</w:t>
        <w:br/>
        <w:t>mécanismes de répercussion des hausses du prix du gazole sur le prix final du transport</w:t>
        <w:br/>
        <w:t>facturé aux clients. Ces mécanismes ont été mis en place dans un contexte de forte</w:t>
        <w:br/>
        <w:t>augmentation des coûts du carburant, comme décrit précédemment.</w:t>
        <w:br/>
        <w:t>194. Les entreprises ont convenu d’un cadre commun pour la répercussion des hausses de</w:t>
        <w:br/>
        <w:t>prix, en utilisant des clauses contractuelles similaires dans leurs contrats avec les</w:t>
        <w:br/>
        <w:t>clients. Cela a permis de justifier les augmentations de prix en se basant sur les</w:t>
        <w:br/>
        <w:t>variations du coût du gazole, tout en maintenant une certaine cohérence dans les</w:t>
        <w:br/>
        <w:t>tarifs appliqués.</w:t>
        <w:br/>
        <w:t>195. Les discussions entre les entreprises ont également porté sur les modalités de</w:t>
        <w:br/>
        <w:t>communication de ces hausses aux clients, afin de s’assurer que les clients soient</w:t>
        <w:br/>
        <w:t>informés de manière transparente des raisons de l’augmentation des prix.</w:t>
        <w:br/>
        <w:t>196. En conséquence, les entreprises ont pu répercuter les hausses de prix du gazole de</w:t>
        <w:br/>
        <w:t>manière coordonnée, ce qui a eu pour effet de stabiliser leurs marges bénéficiaires</w:t>
        <w:br/>
        <w:t>dans un contexte de forte volatilité des coûts du carburant.</w:t>
      </w:r>
    </w:p>
    <w:p>
      <w:r>
        <w:rPr>
          <w:b/>
        </w:rPr>
        <w:t>[Pages 34–36]</w:t>
      </w:r>
    </w:p>
    <w:p>
      <w:r>
        <w:t>relations with their clients. I will therefore ask the National Road Committee to initiate this index very quickly.</w:t>
      </w:r>
    </w:p>
    <w:p>
      <w:r>
        <w:t>I also wish to launch the initiative of a round table between shippers and carriers so that they define the conditions for passing on the increases […]”.</w:t>
      </w:r>
    </w:p>
    <w:p>
      <w:r>
        <w:t>192. Following a round table on October 14, 2004, bringing together transport companies and shipper clients, Messrs. Gilles E... and François F... (then Secretary of State for Transport and the Sea) requested the services of the Ministry of Transport, and more particularly the DTT, to develop, in consultation with professional organizations, a practical guide on passing on variations in diesel prices (reference no. 55230). TLF participated, along with other professional organizations, in the development of this document (reference no. 48320).</w:t>
      </w:r>
    </w:p>
    <w:p>
      <w:r>
        <w:t>193. The DTT published in December 2004 a guide entitled “Road Freight Transport – How to Pass on Variations in Diesel Prices” (references nos. 3914 to 3930) aimed at helping companies draft contractual clauses allowing them to pass on fuel increases to the prices paid by clients.</w:t>
      </w:r>
    </w:p>
    <w:p>
      <w:r>
        <w:t>194. This document recalls, in the introduction, the provisions of Article L. 410-2 of the Commercial Code on price freedom, and the fact that “the price of transport is subject to free negotiation between the parties.” It then discusses the legislative and regulatory framework applicable to the transport sector. In this context, the guide subsequently considers numerous possibilities for passing on fuel increases. Several indices (DIREM, INSEE, CNR), indexing formulas (annual, monthly indices, comparison with the same month of the previous year or with the previous month, etc.), and drafting of clauses are proposed.</w:t>
      </w:r>
    </w:p>
    <w:p>
      <w:r>
        <w:t>195. Regarding the billing method, the DTT guide does not provide any specific indications. However, it specifies that “the use of a surcharge is intended to clarify certain elements of the billing. It is not mandatory. Its implementation must result from the provisions of the contract. It only acquires contractual value if accepted by the other party.”</w:t>
      </w:r>
    </w:p>
    <w:p>
      <w:r>
        <w:t>196. The preceding elements allow us to observe that at the time of the practices, operators in the messaging sector were operating in a context marked both by a significant increase in diesel prices and by numerous statements and indications from public authorities regarding the necessity to pass on this increase in the price of messaging services.</w:t>
      </w:r>
    </w:p>
    <w:p>
      <w:r>
        <w:t>2. THE CONTENT OF THE PRACTICES</w:t>
      </w:r>
    </w:p>
    <w:p>
      <w:r>
        <w:t>a) General presentation of the practices</w:t>
      </w:r>
    </w:p>
    <w:p>
      <w:r>
        <w:t>197. In the context of their respective leniency applications, the companies Schenker-Joyau and Alloin denounced the existence of discussions among several members of the TLF union regarding the passing on of the increase in diesel prices to the final price of the transport service.</w:t>
      </w:r>
    </w:p>
    <w:p>
      <w:r>
        <w:t>198. The former president of Schenker-Joyau, Mr. Jacques B..., stated in his leniency application:</w:t>
      </w:r>
    </w:p>
    <w:p>
      <w:r>
        <w:t>“From 2004, diesel prices began to rise sharply. TLF took an initiative and explained to us that we could pass this on to clients through a surcharge and with support. We therefore needed to establish a grid. In other words, we would be able to pass on to clients the fluctuations in diesel prices. At SJ, as the boss, I had the intention to put something in place. TLF helped us. TLF sent us the grid made by Mory, which Mory had sent to TLF. TLF sent this grid to all its members. We were inspired by this grid to make our own. We generally succeeded in passing on the fluctuations in diesel prices” (reference no. 47974).</w:t>
      </w:r>
    </w:p>
    <w:p>
      <w:r>
        <w:t>199. The former president of Alloin, Mr. Jean-Louis H..., who was not in office at the time of the practice in question, indicated in his leniency application:</w:t>
      </w:r>
    </w:p>
    <w:p>
      <w:r>
        <w:t>“Note: the principle of a diesel surcharge was discussed within TLF global, notably within the Messaging Council. There were agreements between carriers and between carriers and subcontractors to promote this idea to public authorities” (reference no. 47779).</w:t>
      </w:r>
    </w:p>
    <w:p>
      <w:r>
        <w:t>200. In their observations, the companies involved argued that these contacts between competitors were designed to address the difficulty of having to impose a diesel surcharge on their clients individually.</w:t>
      </w:r>
    </w:p>
    <w:p>
      <w:r>
        <w:t>201. Thus, the president of Mory, Mr. Alain G..., stated:</w:t>
      </w:r>
    </w:p>
    <w:p>
      <w:r>
        <w:t>“In messaging, there was no methodology for passing on costs. […]. We thought that clients would only accept if we presented them with a scale. […]. We have common clients and we could not fail to present a common methodology […]” (reference no. 44546).</w:t>
      </w:r>
    </w:p>
    <w:p>
      <w:r>
        <w:t>202. Similarly, an internal email dated May 25, 2004, seized at Dachser shows that at the time, the regional directors of the company did not wish to implement such a surcharge in isolation:</w:t>
      </w:r>
    </w:p>
    <w:p>
      <w:r>
        <w:t>“All regional directors are reserved about the opportunity of this action if decided in isolation. In other words: Okay to go ahead, if we are supported on all sides by both competitors and unions” (reference no. 1881).</w:t>
      </w:r>
    </w:p>
    <w:p>
      <w:r>
        <w:t>203. From May 2004, many messaging companies introduced a common method for passing on increases in diesel prices in the price of their transport services, consisting of applying to the initially negotiated price a calculated increase rate, initially based on a specific grid and subsequently appearing as a surcharge, so that this rate had the appearance of a “tax.”</w:t>
      </w:r>
    </w:p>
    <w:p>
      <w:r>
        <w:t>204. The professionals concerned thus improperly referred to this surcharge as “diesel surcharge,” “diesel tax,” or “fuel tax.” For convenience, this decision will hereinafter use the term “diesel surcharge,” which is widely used in the profession.</w:t>
      </w:r>
    </w:p>
    <w:p>
      <w:r>
        <w:t>205. The creation of the diesel surcharge was communicated to all clients of each messaging company through circulars, containing a table or grid relating the price of diesel at the pump to the percentage increase requested from the client.</w:t>
      </w:r>
    </w:p>
    <w:p>
      <w:r>
        <w:t>206. The scales and a specific surcharge allow for distinguishing the increase in diesel prices from other costs of the company and for removing this increase from the general negotiation on annual price revaluations. Thus, through such a mechanism, the company avoids cutting into its margin in the event of an increase in diesel prices.</w:t>
      </w:r>
    </w:p>
    <w:p>
      <w:r>
        <w:t>207. The documents in the file, as well as the statements of the leniency applicants and other concerned companies, show that from May 2004, discussions among several members of the Trade Council took place regarding the creation and modalities of this diesel surcharge.</w:t>
      </w:r>
    </w:p>
    <w:p>
      <w:r>
        <w:t>b) The modalities of implementing the practices</w:t>
      </w:r>
    </w:p>
    <w:p>
      <w:r>
        <w:t>208. The person responsible within TLF for the Express Messaging Trade Council, Ms. Laure I..., sent an email on May 26, 2004, to messaging companies, reporting on a conference call that took place the same day among several leaders of messaging companies.</w:t>
      </w:r>
    </w:p>
    <w:p>
      <w:r>
        <w:t>209. During her hearing, Ms. Laure I... indicated that this conference call was initiated by the president of Schenker-Joyau, Mr. Jacques B..., who wanted to assess the situation regarding diesel (reference no. 52765).</w:t>
      </w:r>
    </w:p>
    <w:p>
      <w:r>
        <w:t>210. The conference call is also directly mentioned in an internal email at Schenker-Joyau, dated February 17, 2005 (references nos. 766 to 769):</w:t>
      </w:r>
    </w:p>
    <w:p>
      <w:r>
        <w:t>“Sir,</w:t>
      </w:r>
    </w:p>
    <w:p>
      <w:r>
        <w:t>Jacques B... had a conference call on Wednesday, May 26, with TLF and several leaders of transport groups.</w:t>
      </w:r>
    </w:p>
    <w:p>
      <w:r>
        <w:t>You will find below the summary from Laure I... - TLF - (summary intentionally brief).”</w:t>
      </w:r>
    </w:p>
    <w:p>
      <w:r>
        <w:t>211. Attached to this email was the aforementioned email from May 26, 2004, whose recipients included Messrs. Philippe X... (then president of Graveleau), Jacques B... (then president of Schenker Joyau), Henri H... (then president of Alloin), Michel J... (then director of transport and industrial logistics at Gefco), Olivier K... (then CEO of DHL France and director of DHL Express France), Stéphane L... (then CEO of DHL Express France), Christophe M… (then director of Mory Team), Jean N... (then president of Heppner) and Éric C... (then president of TNT Express France):</w:t>
      </w:r>
    </w:p>
    <w:p>
      <w:r>
        <w:t>“As of May 21, diesel excluding all taxes is at 2.13 F or 0.3244 euros, the TIPP at 0.4169 euros, diesel excluding VAT at 0.7413 €, diesel including tax at 0.8866 € - the annual average diesel excluding VAT at 0.6945 € (source DIMAH).</w:t>
      </w:r>
    </w:p>
    <w:p>
      <w:r>
        <w:t>Considering the elements published by the CNR (unquestionable source) indicating that as of May 14, 2004, excluding VAT and before partial recovery of the TIPP, the fuel at the pump: 0.738 €/liter, or + 13%/end 2003.</w:t>
      </w:r>
    </w:p>
    <w:p>
      <w:r>
        <w:t>The fuel at the tank: 0.705 €/liter delivered as of May 17, or +14.8%/end 2003.</w:t>
      </w:r>
    </w:p>
    <w:p>
      <w:r>
        <w:t>It appears necessary for everyone to pass on this impact as a surcharge starting May 1, 2004. There is no shortage of justifications (Use of documents presenting the price of fuel at the pump, press articles from the last 15 days, daily quotations from oil companies and by department, decree no. 2000-1052 of October 20, 2000, and its “specific” clause).</w:t>
      </w:r>
    </w:p>
    <w:p>
      <w:r>
        <w:t>With for the transport of batches + 3%</w:t>
      </w:r>
    </w:p>
    <w:p>
      <w:r>
        <w:t>for the messaging activity +1.6% (range 1 to 2%)</w:t>
      </w:r>
    </w:p>
    <w:p>
      <w:r>
        <w:t>Progressivity scales are set up to calculate the tax monthly.</w:t>
      </w:r>
    </w:p>
    <w:p>
      <w:r>
        <w:t>Below 0.65 cts/liter 1%</w:t>
      </w:r>
    </w:p>
    <w:p>
      <w:r>
        <w:t>0.66 cts to 0.70 cts 2%</w:t>
      </w:r>
    </w:p>
    <w:p>
      <w:r>
        <w:t>0.70 cts to 0.74 cts 3%</w:t>
      </w:r>
    </w:p>
    <w:p>
      <w:r>
        <w:t>0.75 cts to 0.80 cts 4%</w:t>
      </w:r>
    </w:p>
    <w:p>
      <w:r>
        <w:t>(cf. MORY)</w:t>
      </w:r>
    </w:p>
    <w:p>
      <w:r>
        <w:rPr>
          <w:b/>
        </w:rPr>
        <w:t>[Pages 37–39]</w:t>
      </w:r>
    </w:p>
    <w:p>
      <w:r>
        <w:t>The express carriers also apply such a progressive grid for their international shipments. In the domestic market, an increase of 1.5% to 1.70% is also considered TNT GLS + 1.68% HAYS Dx + 1.68% [...]” (emphasis added) (reference no. 72 of submission no. 10/0038 AC).</w:t>
      </w:r>
    </w:p>
    <w:p>
      <w:r>
        <w:t>212. Thus, during the conference call on May 26, 2004, the participants discussed the principle of creating a common method for passing on diesel price increases, the date of application of this new regime, and its implementation modalities. Furthermore, precise indications regarding the future level of this diesel surcharge were exchanged among the participants.</w:t>
      </w:r>
    </w:p>
    <w:p>
      <w:r>
        <w:t>213. The holding of a conference call among several companies on May 26, 2004, is also corroborated by the statements of the president of Schenker-Joyau, Mr. Jacques B..., during his hearing:</w:t>
      </w:r>
    </w:p>
    <w:p>
      <w:r>
        <w:t>“I do not remember the exact date, but yes, there was a conference call. There were several members, including the express messaging companies that were regularly present at TLF meetings” (reference no. 54193).</w:t>
      </w:r>
    </w:p>
    <w:p>
      <w:r>
        <w:t>214. He also indicated that “[t]he people on the May 2004 email [...] are probably the same ones who were present at the conference call” (reference no. 54193).</w:t>
      </w:r>
    </w:p>
    <w:p>
      <w:r>
        <w:t>215. These statements confirm that telephone discussions indeed took place on May 26, 2004, among several messaging companies that are members of TLF regarding the issue of the diesel surcharge and the organizational and coordinating role of TLF in these discussions, through the federation's staff.</w:t>
      </w:r>
    </w:p>
    <w:p>
      <w:r>
        <w:t>The follow-up to the email of May 26, 2004</w:t>
      </w:r>
    </w:p>
    <w:p>
      <w:r>
        <w:t>216. Immediately after May 26, 2004, Ms. Laure I..., in connection with the president of Schenker-Joyau, Mr. Jacques B..., continued to centralize and disseminate the content of discussions among transport companies regarding the implementation of the diesel surcharge.</w:t>
      </w:r>
    </w:p>
    <w:p>
      <w:r>
        <w:t>217. Firstly, the president of Schenker-Joyau sent an email on May 28, 2004, to the head of the Trade Council, Ms. Laure I... (document A1 of Deutsche Bahn's leniency application). This email, titled “CIRCULAR ON DIESEL PRICE INCREASE,” states:</w:t>
      </w:r>
    </w:p>
    <w:p>
      <w:r>
        <w:t>“For your information, you will find attached our circular on the increase in diesel prices. It was sent out last night to all our clients. Mr. B... spoke this morning by phone with M… who sent us the MORY circular (available upon request from MORY). He was unable to reach Messrs. X... and H... [sic] but left a message with their respective assistants. Mr. B... would like you to keep him informed of the various contacts you may have had with other executives regarding the sending of their circular” (references nos. 35 to 37 of submission no. 10/0038 AC and references nos. 55226 and 55227).</w:t>
      </w:r>
    </w:p>
    <w:p>
      <w:r>
        <w:t>218. A circular from the company Joyau regarding a diesel surcharge is indeed provided as an attachment.</w:t>
      </w:r>
    </w:p>
    <w:p>
      <w:r>
        <w:t>219. Thus, on May 28, 2004, the president of Schenker-Joyau again discussed the issue of the diesel surcharge with the company Mory, which sent him its circular, and sought to contact the companies Graveleau and Alloin regarding this matter. Additionally, he asked the head of the Trade Council to keep him informed of any contacts she might have with executives from other companies on this subject.</w:t>
      </w:r>
    </w:p>
    <w:p>
      <w:r>
        <w:t>220. The head of the Trade Council indeed conveyed to the president of Schenker-Joyau the information she had regarding the application of the diesel surcharge by other companies at his request, as she indicated during a hearing (reference no. 52766).</w:t>
      </w:r>
    </w:p>
    <w:p>
      <w:r>
        <w:t>221. Secondly, an email was sent on May 28, 2004, by the head of the Trade Council to the president of Schenker-Joyau, titled “Fuel,” which is written as follows:</w:t>
      </w:r>
    </w:p>
    <w:p>
      <w:r>
        <w:t>“this message is to inform you that I had an informal contact with Denis Zimmer today. As of today, Geodis's position on messaging is status quo according to the same philosophy developed by Gefco during the conference call. Not justified and prefers to use the argument of not passing on fuel costs to advance the negotiation of the anticipated price increases from December to November. However, nothing is fixed, and he was discussing it with J S... today regarding the lots, he is following at 3% [...]” (reference no. 74 of submission no. 10/0038 AC).</w:t>
      </w:r>
    </w:p>
    <w:p>
      <w:r>
        <w:t>222. The head of the Trade Council, Ms. Laure I..., thus obtained information from Geodis regarding its intentions concerning the passing on of fuel costs and conveyed this information to Schenker-Joyau.</w:t>
      </w:r>
    </w:p>
    <w:p>
      <w:r>
        <w:t>223. Geodis thus informed TLF that it was opting, at this stage, for a standalone solution consisting of not passing on the increases in diesel prices on a monthly basis, contrary to most TLF members, and using the argument of fuel increases in the context of annual negotiations with its clients.</w:t>
      </w:r>
    </w:p>
    <w:p>
      <w:r>
        <w:t>224. In this regard, it can be noted that Geodis implemented a surcharge system starting in September 2004 (references nos. 47534 and 47505). This company had sent a letter to its clients in June 2004 warning them of the issues related to the increase in diesel prices and informing them of possible measures that could be taken in this regard (reference no. 47535).</w:t>
      </w:r>
    </w:p>
    <w:p>
      <w:r>
        <w:t>225. The conference call of May 26, 2004, is mentioned in the aforementioned email of May 28, 2004. The company Gefco, which participated in it, expressed its wish not to immediately create a diesel surcharge. The preceding elements again demonstrate the reality of the discussions that took place in May 2004 among several messaging companies regarding the implementation of a monthly diesel surcharge in the invoice footer, as well as the role played by TLF in organizing these exchanges.</w:t>
      </w:r>
    </w:p>
    <w:p>
      <w:r>
        <w:t>Regarding the establishment of a common methodology</w:t>
      </w:r>
    </w:p>
    <w:p>
      <w:r>
        <w:t>226. The objective of the discussions was to present “a common methodology” in order to avoid, for those who would pass on the variations in diesel prices, negative reactions from clients and contract breaches. The aim was not to appear isolated in the commercial relationship with the client, as evidenced by several statements.</w:t>
      </w:r>
    </w:p>
    <w:p>
      <w:r>
        <w:t>227. Thus, Mr. Alain G..., former president of Mory, in response to the question: “Has your company implemented a specific surcharge for diesel? If so, when?” stated:</w:t>
      </w:r>
    </w:p>
    <w:p>
      <w:r>
        <w:t>“[...] In messaging, there was no methodology for passing on costs. [...] We thought that clients would only accept if we presented a scale. We discussed among ourselves at the federation how to do it. In the absence of a methodology created by the CNR, we tried to develop a common methodology. What is the share of fuel in the activity and how to define a methodology for passing on costs. This led to a number of exchanges between companies within TLF. [...] During the preparatory period, we discussed with TLF members what we could present as a methodology to the market. We have common clients, and we could not fail to present a common methodology. The State itself had created the CNR. Knowing that afterwards everyone applied or not this methodology. Everyone passed it on to their clients, without posterior control by the federation” (reference no. 44546).</w:t>
      </w:r>
    </w:p>
    <w:p>
      <w:r>
        <w:t>228. Similarly, the president of Heppner, Mr. Jean N..., in response to the question “Did this surcharge undergo discussions within the Express Messaging Trade Council of TLF?” stated:</w:t>
      </w:r>
    </w:p>
    <w:p>
      <w:r>
        <w:t>“Absolutely. In the round tables, when this issue of the increase in diesel prices arose, we talked about this necessity and discussed the technique: incorporation of a price, form of a variable, etc. At the same time, we contacted the ministry to validate this way of doing things (and the ministry published a guide dating from March 2005) and to obtain a public order law text, that is to say, one that would not be a cause for contract termination” (reference no. 44472).</w:t>
      </w:r>
    </w:p>
    <w:p>
      <w:r>
        <w:t>229. In the absence of coordination among messaging providers, clients could have favored those who did not pass on the increase or those who offered a more advantageous passing-on method for them, that is to say, not eliminating their room for maneuver in negotiations on price revaluations.</w:t>
      </w:r>
    </w:p>
    <w:p>
      <w:r>
        <w:t>On the establishment of a pricing increase grid</w:t>
      </w:r>
    </w:p>
    <w:p>
      <w:r>
        <w:t>230. The companies concerned all communicated to their clients similar pricing grids, relating ranges of professional diesel prices to percentage increases.</w:t>
      </w:r>
    </w:p>
    <w:p>
      <w:r>
        <w:t>231. Below is an example of a table established by Graveleau (reference no. 47349):</w:t>
      </w:r>
    </w:p>
    <w:p>
      <w:r>
        <w:t>Table 8 – Graveleau grid relating the price of diesel at the pump to the percentage increase requested from the client</w:t>
      </w:r>
    </w:p>
    <w:p>
      <w:r>
        <w:t>232. Among the common elements adopted by the concerned companies, it is noted:</w:t>
      </w:r>
    </w:p>
    <w:p>
      <w:r>
        <w:t>- the principle of the monthly passing on of the diesel surcharge (Schenker-Joyau, Alloin, Graveleau, Mory, Heppner, DHL, TNT);</w:t>
      </w:r>
    </w:p>
    <w:p>
      <w:r>
        <w:rPr>
          <w:b/>
        </w:rPr>
        <w:t>[Pages 40–42]</w:t>
      </w:r>
    </w:p>
    <w:p>
      <w:r>
        <w:t>- the starting point for the revaluation: May 2004 (Schenker-Joyau, Alloin, Mory, Heppner); June 2004 (Graveleau) and July 2004 (DHL, TNT);</w:t>
        <w:br/>
        <w:t>- the pricing reference: CNR index (Schenker-Joyau, Alloin, Graveleau, Mory, Heppner, TNT); DG Energy and Transport of the European Commission (DHL);</w:t>
        <w:br/>
        <w:t>- the method of revaluation through a multiplier coefficient (Schenker-Joyau, Alloin, Graveleau, Mory, Heppner, DHL, TNT);</w:t>
        <w:br/>
        <w:t>- the mention of the diesel surcharge at the bottom of the invoice (Schenker-Joyau, Alloin, Graveleau, Mory, TNT, and Heppner).</w:t>
      </w:r>
    </w:p>
    <w:p>
      <w:r>
        <w:t>233. These elements correspond to the methodology discussed collectively and reiterated in the aforementioned email of May 26, 2004.</w:t>
      </w:r>
    </w:p>
    <w:p>
      <w:r>
        <w:t>c) The implementation of the diesel surcharge by the recipients of the email of May 26, 2004</w:t>
      </w:r>
    </w:p>
    <w:p>
      <w:r>
        <w:t>234. All companies that received the email of May 26, 2004, except for Gefco, informed their clients of the application of a new diesel surcharge very shortly after this date and simultaneously.</w:t>
      </w:r>
    </w:p>
    <w:p>
      <w:r>
        <w:t>235. For all the companies concerned, this surcharge took the form of an additional billing at the bottom of the invoice. Furthermore, the calculation methods for this surcharge were similar for all companies, particularly regarding the date of implementation of the surcharge and the monthly nature of the price revision.</w:t>
      </w:r>
    </w:p>
    <w:p>
      <w:r>
        <w:t>236. The table below summarizes, company by company, the implementation of the diesel surcharge.</w:t>
      </w:r>
    </w:p>
    <w:p>
      <w:r>
        <w:t>Table 9 - Increases communicated to clients by the recipients of the email of May 26, 2004</w:t>
        <w:br/>
        <w:t>Increase Date of</w:t>
        <w:br/>
        <w:t>Recipients of the Price of diesel Date of implementation</w:t>
        <w:br/>
        <w:t>email of May 26 (in euros) to the entire or part of the</w:t>
        <w:br/>
        <w:t>for the month month N surcharge clients</w:t>
        <w:br/>
        <w:t>0.60 to 0.63 + 0.9%</w:t>
        <w:br/>
        <w:t>0.64 to 0.66 + 1.4%</w:t>
        <w:br/>
        <w:t>0.67 to 0.69 + 1.9% May 27, 2004</w:t>
        <w:br/>
        <w:t>Schenker-Joyau May 1, 2004 monthly</w:t>
        <w:br/>
        <w:t>0.70 to 0.72 + 2.4% All clients</w:t>
        <w:br/>
        <w:t>0.73 to 0.75 + 2.9%</w:t>
        <w:br/>
        <w:t>0.76 to 0.78 + 3.4%</w:t>
        <w:br/>
        <w:t>36 (10/0038 AC) 35 (10/0038 AC) 36 (10/0038 AC)</w:t>
        <w:br/>
        <w:t>Reference nos. -</w:t>
        <w:br/>
        <w:t>48490 and 48492 48461 48490 and 48492</w:t>
        <w:br/>
        <w:t>0.60 to 0.64 + 0.5%</w:t>
        <w:br/>
        <w:t>0.65 to 0.69 + 0.9% May 28, 2004</w:t>
        <w:br/>
        <w:t>Alloin May 1, 2004 monthly</w:t>
        <w:br/>
        <w:t>0.70 to 0.74 + 1.6% All clients</w:t>
        <w:br/>
        <w:t>0.75 to 0.79 + 2.3%</w:t>
        <w:br/>
        <w:t>Reference nos. - 79 and 80 80 and 81 80 and 81 80</w:t>
        <w:br/>
        <w:t>0.62 to 0.65 + 1%</w:t>
        <w:br/>
        <w:t>0.66 to 0.69 + 2%</w:t>
        <w:br/>
        <w:t>Mory May 26, 2004 May 1, 2004 monthly</w:t>
        <w:br/>
        <w:t>0.70 to 0.74 + 3%</w:t>
        <w:br/>
        <w:t>0.75 to 0.79 + 4%</w:t>
        <w:br/>
        <w:t>Reference nos. - 640 640 and 641 640 and 641 641</w:t>
        <w:br/>
        <w:t>Up to 0.629 N/A</w:t>
        <w:br/>
        <w:t>0.630 to 0.659 + 0.9%</w:t>
        <w:br/>
        <w:t>May 28, 2004</w:t>
        <w:br/>
        <w:t>Graveleau 0.660 to 0.689 + 1.8% June 1, 2004 monthly</w:t>
        <w:br/>
        <w:t>All clients</w:t>
        <w:br/>
        <w:t>0.690 to 0.719 + 2.7%</w:t>
        <w:br/>
        <w:t>0.720 to 0.749 + 3.6%</w:t>
        <w:br/>
        <w:t>Reference nos. - 47349 47349 and 47328 47349 47349</w:t>
        <w:br/>
        <w:t>0.63 to 0.66 + 0.6%</w:t>
        <w:br/>
        <w:t>0.67 to 0.70 + 1.2% May 31, 2004</w:t>
        <w:br/>
        <w:t>Heppner 0.71 to 0.74 + 1.8% Number of clients May 1, 2004 monthly</w:t>
        <w:br/>
        <w:t>0.75 to 0.79 + 2.4% unknown</w:t>
        <w:br/>
        <w:t>0.80 to 0.84 + 3%</w:t>
        <w:br/>
        <w:t>47406 and 47410</w:t>
        <w:br/>
        <w:t>Reference nos. - 47410 47406 and 47410</w:t>
        <w:br/>
        <w:t>48530</w:t>
        <w:br/>
        <w:t>0.62 to 0.675 + 0.8%</w:t>
        <w:br/>
        <w:t>0.675 to 0.75 + 1.4%</w:t>
        <w:br/>
        <w:t>0.75 to 0.87 + 1.9%</w:t>
        <w:br/>
        <w:t>DHL June 2004 July 1, 2004 monthly</w:t>
        <w:br/>
        <w:t>0.87 to 1.02 + 2.4%</w:t>
        <w:br/>
        <w:t>1.02 to 1.225 + 3%</w:t>
        <w:br/>
        <w:t>1.225 to 1.47 + 4%</w:t>
        <w:br/>
        <w:t>51632, 51698</w:t>
        <w:br/>
        <w:t>Reference nos. - 645 644 and 645 645</w:t>
        <w:br/>
        <w:t>and 51680</w:t>
        <w:br/>
        <w:t>+ 1.27%</w:t>
        <w:br/>
        <w:t>revisable May 26, 2004</w:t>
        <w:br/>
        <w:t>No</w:t>
        <w:br/>
        <w:t>TNT monthly Almost all clients July 1, 2004 monthly</w:t>
        <w:br/>
        <w:t>communicated</w:t>
        <w:br/>
        <w:t>according to the CNR index</w:t>
        <w:br/>
        <w:t>Reference nos. 648 and 47314 47207 and 47208</w:t>
        <w:br/>
        <w:t>quarterly</w:t>
        <w:br/>
        <w:t>Gefco - - - June 1, 2005 then</w:t>
        <w:br/>
        <w:t>monthly</w:t>
        <w:br/>
        <w:t>Reference nos. - - - - 55606 55606</w:t>
      </w:r>
    </w:p>
    <w:p>
      <w:r>
        <w:t>237. All the companies concerned communicated a pricing grid to part or all of their clients. These grids were designed according to the parameters negotiated during the discussions mentioned above. The courier companies communicated this information to their clients simultaneously, within a few days, and effectively applied the diesel surcharge from May 1, 2004, June 1, 2004, or July 1, 2004.</w:t>
      </w:r>
    </w:p>
    <w:p>
      <w:r>
        <w:t>238. It can also be noted that all circulars related to diesel surcharges did not provide for any symmetrical mechanism for lowering prices in the event of a significant decrease in the price of diesel. The diesel surcharge system could therefore only operate in an upward direction.</w:t>
      </w:r>
    </w:p>
    <w:p>
      <w:r>
        <w:t>239. On the other hand, the scales of diesel price indices, as well as the applicable increase rates, could differ from one company to another. The coordination did not therefore concern the determination of the final price charged to the client for the diesel surcharge, but rather the structure and modalities of this cost parameter.</w:t>
      </w:r>
    </w:p>
    <w:p>
      <w:r>
        <w:t>240. In addition to the information contained in the table above, the Authority noted the following elements for each company involved.</w:t>
      </w:r>
    </w:p>
    <w:p>
      <w:r>
        <w:t>241. Schenker-Joyau modified its pricing grid on September 8, 2005 (reference no. 48492) and also transmitted it to all its clients (reference no. 48461).</w:t>
      </w:r>
    </w:p>
    <w:p>
      <w:r>
        <w:t>242. Regarding Alloin, an internal information note dated May 28, 2004 (reference nos. 80 and 81) indicates that the implementation of a diesel surcharge is "a general measure for the profession." This note also contains examples of amounts announced by Mory, Graveleau, and Joyau in circulars from May 2004, even as they had just sent the corresponding circulars to their clients.</w:t>
      </w:r>
    </w:p>
    <w:p>
      <w:r>
        <w:t>243. In its leniency application, Alloin also provided a letter dated November 3, 2004 (reference no. 298 of case no. 10/0091AC) from a sales representative of Alloin to a client, regarding the "diesel surcharge" applied since May 1, 2004. This letter notably states:</w:t>
      </w:r>
    </w:p>
    <w:p>
      <w:r>
        <w:t>"As we mentioned in our note of May 27, 2004, ALLOIN transports have decided, like many other carriers, to apply this tax as follows" (emphasis added) (reference nos. 122 to 124 of case no. 10/0091AC).</w:t>
      </w:r>
    </w:p>
    <w:p>
      <w:r>
        <w:t>244. In its analysis of this document in the context of leniency, Alloin states:</w:t>
      </w:r>
    </w:p>
    <w:p>
      <w:r>
        <w:t>"This document, although isolated, seems to confirm that, following collective discussions within the Council, Alloin and its competitors established a common system to pass on to their respective clients, in the same manner and in similar proportions, the increase in the price of diesel" (emphasis added).</w:t>
      </w:r>
    </w:p>
    <w:p>
      <w:r>
        <w:t>245. The mention "like many other carriers" in this letter confirms the preceding findings that it was indeed crucial for competing companies to display the existence of a common approach of the profession to clients.</w:t>
      </w:r>
    </w:p>
    <w:p>
      <w:r>
        <w:t>246. As for the company Mory, the grid communicated corresponds exactly to that included in the email of May 26, 2004, with one detail regarding the last price range.</w:t>
      </w:r>
    </w:p>
    <w:p>
      <w:r>
        <w:t>247. Regarding the company DHL, the index used in its grid communicated to its clients was not the CNR index of the price of diesel at the pump, but that of the price of diesel published by the European Commission. Except for this difference, the structure of the grid established by DHL is similar to that of the other recipients of the email of May 26, 2004.</w:t>
      </w:r>
    </w:p>
    <w:p>
      <w:r>
        <w:rPr>
          <w:b/>
        </w:rPr>
        <w:t>[Pages 43–45]</w:t>
      </w:r>
    </w:p>
    <w:p>
      <w:r>
        <w:t>248. Regarding the company TNT, it announced to its clients that it would apply a "fuel surcharge" for national express delivery services, starting from July 2004, calculated monthly according to the same terms as all other concerned companies. However, in the circular sent to clients on May 26, 2004, only the rate of increase applied from July 2004, namely +1.27%, was indicated. The circular specifies that this index will be revised monthly "in proportion to the evolution of the Brent price communicated by the CNR," without providing further information.</w:t>
      </w:r>
    </w:p>
    <w:p>
      <w:r>
        <w:t>249. It should be noted that a diesel surcharge system had already been implemented by the TNT group during the year 2003 (references nos. 48667 and 47309). However, as indicated in the letter sent to clients in March 2003, this surcharge only applied to international express services. The letter of May 26, 2004, applied a diesel surcharge for the first time to national standard delivery services.</w:t>
      </w:r>
    </w:p>
    <w:p>
      <w:r>
        <w:t>250. Furthermore, regarding the company Gefco, it did not immediately implement a diesel surcharge. In its response to a request for information, Gefco indicated that it began to request the pass-through of the diesel price to its clients only from June 2005 (reference no. 55606).</w:t>
      </w:r>
    </w:p>
    <w:p>
      <w:r>
        <w:t>d) Monitoring and extension of the practice to other companies</w:t>
      </w:r>
    </w:p>
    <w:p>
      <w:r>
        <w:t>Meetings within the Trade Council</w:t>
      </w:r>
    </w:p>
    <w:p>
      <w:r>
        <w:t>251. As part of regular meetings of the Trade Council that followed the email of May 26, 2004, exchanges occurred between companies in the messaging sector regarding the implementation of the diesel surcharge. These discussions, which took place at the TLF headquarters in Paris, included the companies that received the email of May 26, 2004, on one hand, and other members of the Trade Council present on the other hand.</w:t>
      </w:r>
    </w:p>
    <w:p>
      <w:r>
        <w:t>252. The minutes of these meetings drafted by TLF reveal specific discussions about the diesel surcharge among competitors. The content of these discussions was systematically placed under the point "economic situation" in the minutes.</w:t>
      </w:r>
    </w:p>
    <w:p>
      <w:r>
        <w:t>The meeting of June 8, 2004</w:t>
      </w:r>
    </w:p>
    <w:p>
      <w:r>
        <w:t>253. Firstly, the companies present at this meeting (see reference no. 3910 and table 10 below) discussed the diesel surcharge, under the cover of a more general topic "ECONOMIC SITUATION: Increase in diesel prices and economic consequences."</w:t>
      </w:r>
    </w:p>
    <w:p>
      <w:r>
        <w:t>254. The minutes drafted by TLF notably mention the actions taken by TLF with public authorities and the public in general, particularly a press release:</w:t>
      </w:r>
    </w:p>
    <w:p>
      <w:r>
        <w:t>"On this occasion, TLF recalled the existence of certain legal tools available to companies: decree no. 2000-1052 of October 20, 2000, states that 'the initially agreed transport price is revised in case of significant variations in the costs of the transport company that are due to conditions external to it, such as the price of fuels, and which the requesting party justifies by any means.' This clause was introduced into all standard road transport contracts after the surge in diesel prices in the summer of 2000; it allows for the pass-through of diesel price increases on invoices.</w:t>
      </w:r>
    </w:p>
    <w:p>
      <w:r>
        <w:t>On the ground, it is noted that a number of companies have implemented a fuel surcharge on their billing from May 1, calculated based on a progressive scale established from elements published by the C.N.R., the Ministry of Industry, etc." (emphasis added) (reference no. 3905).</w:t>
      </w:r>
    </w:p>
    <w:p>
      <w:r>
        <w:t>255. During these discussions, TLF explicitly mentioned that several companies in the sector had already implemented a diesel surcharge. The exact methodology used (progressive scale established from CNR indices or from the Ministry of Industry) as well as the date of implementation were also specified, which corresponds to the observations made previously from the circulars of several messaging companies. Thus, discussions on the practice of the diesel surcharge on invoices took place among the members of the Trade Council during the meeting of June 8, 2004.</w:t>
      </w:r>
    </w:p>
    <w:p>
      <w:r>
        <w:t>256. Secondly, five companies that did not receive the email of May 26, 2004 (see paragraphs 208 and following above) were present at this meeting.</w:t>
      </w:r>
    </w:p>
    <w:p>
      <w:r>
        <w:t>257. Indeed, the company Ziegler Atlantique, belonging to Ziegler France, informed its clients by letter on the same day as the meeting (reference no. 642) that it would apply, starting from June 2004, a "fuel surcharge" taking the form of an invoice line item. This surcharge was calculated through a table provided within the aforementioned letter, and based on the CNR index of the diesel price at the pump.</w:t>
      </w:r>
    </w:p>
    <w:p>
      <w:r>
        <w:t>258. The company Transports Henri Ducros implemented a diesel surcharge in 2004 (reference no. 48874). The company did not provide any circular on this matter.</w:t>
      </w:r>
    </w:p>
    <w:p>
      <w:r>
        <w:t>259. The company GLS, which was present at this meeting, also indicated that it had implemented a diesel surcharge starting from June 2004 (reference no. 51823). The level of this surcharge evolved monthly based on CNR publications. All clients of the company were informed by a circular about the application of this diesel surcharge.</w:t>
      </w:r>
    </w:p>
    <w:p>
      <w:r>
        <w:t>260. The company Sodimaine implemented a diesel surcharge in September 2004 (reference no. 54464) and maintained it consistently until the integration of its activity within Heppner (reference no. 54462).</w:t>
      </w:r>
    </w:p>
    <w:p>
      <w:r>
        <w:t>261. Ziegler, Transports Henri Ducros, GLS, and Sodimaine were therefore informed of the practice regarding the diesel surcharge during the Trade Council meeting of June 8, 2004, and applied it immediately or shortly after the meeting. All these companies participated, as indicated in table 10 below, in subsequent meetings of the Trade Council. These four companies thus adhered to the practice regarding the diesel surcharge starting from June 8, 2004.</w:t>
      </w:r>
    </w:p>
    <w:p>
      <w:r>
        <w:t>262. It is noted that the company Ciblex was present at the meeting of June 8, 2004, but did not immediately or shortly after implement a diesel surcharge.</w:t>
      </w:r>
    </w:p>
    <w:p>
      <w:r>
        <w:t>The meeting of September 30, 2004</w:t>
      </w:r>
    </w:p>
    <w:p>
      <w:r>
        <w:t>263. Exchanges on the diesel surcharge again occurred among the members of the Trade Council present at the meeting of September 30, 2004 (see reference no. 3896 and table 10 below).</w:t>
      </w:r>
    </w:p>
    <w:p>
      <w:r>
        <w:t>264. Firstly, the minutes of the meeting drafted by TLF indicate, under the point "ECONOMIC SITUATION: Increase in diesel prices and economic consequences" and "Market developments - Evolution of companies' cost structures - Evolution of subcontracting costs":</w:t>
      </w:r>
    </w:p>
    <w:p>
      <w:r>
        <w:t>"In the face of the surge in oil prices, and the sustainability of this crisis, which deprives the sector of signs of recovery. Given the thinness of profit margins and in application of decree no. 2000-1052 of October 20, 2000, stating that 'the initially agreed transport price is revised in case of significant variations in the costs of the transport company, which are due to conditions external to it, such as the price of fuels, and which the requesting party justifies by any means,' companies apply a 'line item' on invoices.</w:t>
      </w:r>
    </w:p>
    <w:p>
      <w:r>
        <w:t>This 'overcharging' seems to have been generally understood and accepted by clients" (emphasis added) (reference no. 3889).</w:t>
      </w:r>
    </w:p>
    <w:p>
      <w:r>
        <w:t>265. The fact that the overcharging seems to have been understood and accepted by clients is a determining piece of information from a commercial perspective. Indeed, as shown by the aforementioned statements of Mr. Alain G..., messaging companies wished to establish a common method for passing on increases in diesel prices to avoid a negative reaction from clients to any modification of the contract regarding price, which could have resulted in a contractual breach. The positive reaction from clients could therefore only reinforce TLF members in their common behavior.</w:t>
      </w:r>
    </w:p>
    <w:p>
      <w:r>
        <w:t>266. The TLF minutes can only result from the elements communicated by TLF members who implemented the diesel surcharge. These communications can be analyzed as immediate feedback allowing for the monitoring of the common measure and confirming its acceptance by clients. They help to sustain the practice of passing on increases in diesel prices, developed collectively.</w:t>
      </w:r>
    </w:p>
    <w:p>
      <w:r>
        <w:t>267. Secondly, another set of minutes from this same meeting of September 30, 2004, was seized. This is an email sent on October 6, 2004, by the president of Graveleau, Mr. Philippe X..., to several executives of the company, with the subject "PRICE INCREASES 11/1/2004" and which includes very organized elements on two specific points: the assessment of the amounts of the diesel surcharge that companies had managed to apply in the summer of 2004 on one hand and the amount of price increases planned for 2005 on the other hand (references nos. 1916 and 1917).</w:t>
      </w:r>
    </w:p>
    <w:p>
      <w:r>
        <w:t>268. Below is the content of this email.</w:t>
      </w:r>
    </w:p>
    <w:p>
      <w:r>
        <w:t>"I am forwarding to you, by shuttle or fax, the conclusions that TLF has drawn from the 2004/2005 situation. This document should allow us to argue our general increases for the year 2005. I am also forwarding a summary of the classic ancillary services, which deserves to be studied seriously for implementation.</w:t>
      </w:r>
    </w:p>
    <w:p>
      <w:r>
        <w:t>Regarding general increases, I am providing the results of a roundtable that was conducted in the Profession:</w:t>
      </w:r>
    </w:p>
    <w:p>
      <w:r>
        <w:t>ALLOIN By the end of July, estimate having passed a 1.4% increase in diesel. For 2005, their goal is to maintain the diesel surcharge as a separate line item and apply a general increase between 3.4% and 4%.</w:t>
      </w:r>
    </w:p>
    <w:p>
      <w:r>
        <w:t>JOYAU By the end of August, 1.71% diesel for messaging and 2.45% for full loads and charges. For 2005, same principle as ALLOIN, probably a 3.8% general increase.</w:t>
      </w:r>
    </w:p>
    <w:p>
      <w:r>
        <w:t>DUCROS VERT By the end of July, diesel 1.3%. For 2005, same as ALLOIN for the method. General increase at 3.5%.</w:t>
      </w:r>
    </w:p>
    <w:p>
      <w:r>
        <w:t>ZIEGLER By the end of July: diesel at 1.8%. For 2005, same as ALLOIN with a general increase of 3.5%.</w:t>
      </w:r>
    </w:p>
    <w:p>
      <w:r>
        <w:t>HEPPNER XP Consider that freight margins have collapsed. By the end of July, diesel 1.4%. For 2005, same as ALLOIN.</w:t>
      </w:r>
    </w:p>
    <w:p>
      <w:r>
        <w:t>MORY By the end of August: 1.9% diesel. For 2005, plan to inform their clients of an automatic integration into their general increase of the diesel surcharge around 1.9%. Total increase presented to the client between 5% and 5.5%.</w:t>
      </w:r>
    </w:p>
    <w:p>
      <w:r>
        <w:rPr>
          <w:b/>
        </w:rPr>
        <w:t>[Pages 46–48]</w:t>
      </w:r>
    </w:p>
    <w:p>
      <w:r>
        <w:t>GEFCO As already reported, they did not apply the diesel surcharge, given their specific agreements in the automotive sector, which still represents 75% of their traffic. For 2005, they plan to present a general increase of 5.2%.</w:t>
      </w:r>
    </w:p>
    <w:p>
      <w:r>
        <w:t>DHL Excessively defensive. Diesel surcharge at the end of August: 1.9% for messaging and 5% for express. Their strategy for 2005 will be as follows: to use their 280 sales representatives and target markets based on their freight needs with pricing grids that include everything (Express style), with the intention of regaining the significant market losses observed to date. Increases are planned starting from November 2004, except for GEFCO and MORY, which are planned to start from January 1, 2005. Given these elements, I asked Bruno 2… to proceed with a general increase of 3.6% + separate diesel surcharge.</w:t>
      </w:r>
    </w:p>
    <w:p>
      <w:r>
        <w:t xml:space="preserve">Sincerely,  </w:t>
        <w:br/>
        <w:t xml:space="preserve">Philippe X...  </w:t>
        <w:br/>
        <w:t>(references nos. 1916 and 1917).</w:t>
      </w:r>
    </w:p>
    <w:p>
      <w:r>
        <w:t>269. Mr. Philippe X... clarified to his executives that this information resulted from a "round table." Consequently, sensitive and strategic data were most likely communicated by each company represented at the Trade Council meeting on September 30, 2004.</w:t>
      </w:r>
    </w:p>
    <w:p>
      <w:r>
        <w:t>270. On one hand, the meeting minutes attest to the fact that the companies present at this Trade Council meeting ensured a follow-up on the implementation, company by company, of the consensual approach that had been adopted at the end of May 2004 among certain members of TLF, regarding the passing on of diesel price increases and the method that was to be employed. It thus appears that within a short period (July-August), the diesel surcharge was effectively billed to clients by seven out of eight companies, with Gefco not having adopted the common approach, as it had indicated in May. The rates of increase for diesel, although varying from one company to another, remain within a narrow range: from +1.3% to +1.9% (for messaging).</w:t>
      </w:r>
    </w:p>
    <w:p>
      <w:r>
        <w:t>271. On the other hand, the minutes indicate that the companies present also committed to a consensual approach for the year 2005 in that most of them announced that they would follow Alloin's position, which likely initiated the round table. Therefore, at least six out of nine (Alloin, Schenker-Joyau, Transports Henri Ducros, Ziegler, Heppner, Graveleau) are following this position: the principle of maintaining the monthly diesel surcharge and its separate billing at the bottom of the invoice. In contrast, Mory and Gefco specify that the increase in diesel prices will be passed on globally in the rates (see also reference no. 44546). DHL's position on this point appears less decisive, due to its stated objective of reclaiming market share. Regarding the company Graveleau, discussions within TLF influence its commercial strategy as evidenced by the end of the email ("given these elements"). This strategy also incorporates one of the main elements of the common position: the separate billing of the diesel surcharge.</w:t>
      </w:r>
    </w:p>
    <w:p>
      <w:r>
        <w:t>272. In response to an information request, Ziegler France states that there was no common circular for the entire company regarding the diesel surcharge and that informing clients on this point was the responsibility of each agency (references nos. 51298 and 51299). However, during the meeting on September 30, 2004, Ziegler France provided its competitors with precise information on the average rate of the diesel surcharge that had already been applied to the company's clients (reference no. 1916). It also explicitly indicated that it intended to apply the same strategy as its competitors regarding this surcharge.</w:t>
      </w:r>
    </w:p>
    <w:p>
      <w:r>
        <w:t>273. Consequently, the meeting on September 30, 2004, allowed the companies present, which included all recipients of the email dated May 26, 2004, and which counted among the main players in the messaging sector, not only to ensure the control of the implementation of the common position established in May 2004 but also to determine the extension of this consensus for the year 2005.</w:t>
      </w:r>
    </w:p>
    <w:p>
      <w:r>
        <w:t>The meeting of June 8, 2005</w:t>
      </w:r>
    </w:p>
    <w:p>
      <w:r>
        <w:t>274. The companies present at this meeting (see reference no. 45146 and table 10 below) again discussed the fuel surcharge, under the cover of the item titled "ECONOMIC CONTEXT: Increase in diesel prices and economic consequences" and "MARKET EVOLUTION: cost prices – subcontracting costs."</w:t>
      </w:r>
    </w:p>
    <w:p>
      <w:r>
        <w:t xml:space="preserve">275. Under this item, it is stated:  </w:t>
        <w:br/>
        <w:t>"Overall, the 'bottom of the invoice' practice allowing for the passing on of diesel variations is heavily used and relatively little discussed by clients, based most often on the index published by the CNR or the DIREM index. After an exchange on the questions raised by some regarding the appropriateness of reintegrating the fuel tax into the rate, it does not appear desirable at this time to do so. On the 'express' side, they differentiate their bottom of the invoice based on national or international activity. For Jean N..., the request to move towards simplification of billing does not seem wise to him. As proof, the banking sector bills clients for all services provided" (emphasis added) (references nos. 45142 and 45143).</w:t>
      </w:r>
    </w:p>
    <w:p>
      <w:r>
        <w:t>276. These elements demonstrate that, during the Trade Council meeting on June 8, 2005, not only did the present members exchange views on the intensity of the use of the bottom of the invoice practice and its acceptance by clients, but they also debated the appropriateness of reintegrating the "fuel tax," that is, the diesel surcharge, into the general rate. A consensual position, consisting of not reintegrating the surcharge, emerged from these discussions.</w:t>
      </w:r>
    </w:p>
    <w:p>
      <w:r>
        <w:t>277. Three messaging companies, not recipients of the email dated May 26, 2004 (see paragraphs 208 and following of this decision), were present for the first time.</w:t>
      </w:r>
    </w:p>
    <w:p>
      <w:r>
        <w:t>278. First, the company Exapaq, which participated in this meeting on June 8, 2005, indicated that "[t]he various companies belonging to the Exapaq network began to apply a diesel surcharge during the year 2004" (reference no. 51451), without further precision.</w:t>
      </w:r>
    </w:p>
    <w:p>
      <w:r>
        <w:t>279. Next, according to its own terms, Chronopost, which was present at the meeting on June 8, 2005, implemented a diesel surcharge "starting in 2005," without further precision (reference no. 51338). A circular dated September 28, 2005, mentioning this surcharge, was also provided (reference no. 51368).</w:t>
      </w:r>
    </w:p>
    <w:p>
      <w:r>
        <w:t>280. Finally, the company Normatrans, present at the meeting on June 8, 2005, did not provide any circular to clients regarding the diesel surcharge. However, it indicated that it "began to apply a gas oil surcharge only from 2004, and always in negotiated agreements, to generalize it from the decree imposing it" (reference no. 51572).</w:t>
      </w:r>
    </w:p>
    <w:p>
      <w:r>
        <w:t>281. Consequently, it is noted that the companies Exapaq, Chronopost, and Normatrans were present for the first time at a meeting during which the practice of the diesel surcharge was discussed among competitors, and that they effectively applied a diesel surcharge to their clients shortly after this meeting.</w:t>
      </w:r>
    </w:p>
    <w:p>
      <w:r>
        <w:t>282. Regarding the company Gefco, which was a recipient of the email dated May 26, 2004, it is noted that it was present at the meeting on June 8, 2005, and that it implemented a diesel surcharge in June 2005 (reference no. 55606). Gefco's situation will be examined more specifically in paragraph 290 below.</w:t>
      </w:r>
    </w:p>
    <w:p>
      <w:r>
        <w:t>The meeting of September 22, 2005</w:t>
      </w:r>
    </w:p>
    <w:p>
      <w:r>
        <w:t xml:space="preserve">283. First, the companies present at this meeting (see reference no. 3799 and the table below) discussed the increase in diesel prices as indicated by the first title of the minutes drafted by TLF: "ECONOMIC CONTEXT: Increase in diesel prices and economic consequences" and "MARKET EVOLUTION – EVOLUTION OF COMPANIES' COSTS – EVOLUTION OF SUBCONTRACTING COSTS" (reference no. 3794). The minutes indicate under this title:  </w:t>
        <w:br/>
        <w:t>"The main component of the operating cost of road vehicles, the continuous rise in fuel heavily impacts results, despite the passing on mechanism established by the companies (the bottom of the invoice)" (emphasis added) (reference no. 3794).</w:t>
      </w:r>
    </w:p>
    <w:p>
      <w:r>
        <w:t>284. It is noted that, on September 22, 2005, the passing on mechanism established jointly by the companies concerned is still applied and that its cessation is not on the agenda.</w:t>
      </w:r>
    </w:p>
    <w:p>
      <w:r>
        <w:t>285. Secondly, the participants in the meeting discussed the "[g]overnment plan in favor of TRM [Road Freight Transport]" and notably the legislative measure, to be "voted urgently," which would ensure the passing on of fuel prices in the billed prices. The president of Mory, Mr. Alain G..., indicated that "the change in tone and method is significant. [Mr. G...] sees it as the recognition of T.L.F.'s diagnosis. A sector in great difficulty due to the weight of fiscal and social charges; diesel exacerbating these difficulties" (reference no. 3795).</w:t>
      </w:r>
    </w:p>
    <w:p>
      <w:r>
        <w:t>286. These elements show that the mechanism for passing on the price of diesel established by the messaging companies appears necessary and applicable until the enactment of a law regulating such a mechanism.</w:t>
      </w:r>
    </w:p>
    <w:p>
      <w:r>
        <w:t xml:space="preserve">287. The minutes elaborate on the subject of new legislative measures under the title "Update as of October 5, 2005." It states that  </w:t>
        <w:br/>
        <w:t>"On October 5, the Council of Ministers adopted a draft law relating to the safety and development of transport, in which Article 15 includes a mechanism for passing on variations in diesel prices in transport contracts [...]. This mechanism requires the carrier to explicitly mention in transport contracts the fuel charges retained and to explicitly show in invoices the fuel charges actually incurred. This mechanism then allows for the provision that the transport price is revised by operation of law to take into account the variation in charges related to the variation in the cost of fuel between the date of the contract and the date of execution of the transport operation [...]. On several occasions, T.L.F. has had the opportunity to say that this mechanism is unsuitable and unworkable. [...] [This mechanism] is also dangerous, as the client will then have three possible options to influence prices:</w:t>
      </w:r>
    </w:p>
    <w:p>
      <w:r>
        <w:rPr>
          <w:b/>
        </w:rPr>
        <w:t>[Pages 49–51]</w:t>
      </w:r>
    </w:p>
    <w:p>
      <w:r>
        <w:t xml:space="preserve">Negotiate a lower price due to indexing;  </w:t>
        <w:br/>
        <w:t xml:space="preserve">o  </w:t>
        <w:br/>
        <w:t xml:space="preserve">Negotiate the percentage retained for the fuel component in order to share productivity gains;  </w:t>
        <w:br/>
        <w:t xml:space="preserve">o  </w:t>
        <w:br/>
        <w:t xml:space="preserve">Refuse to revalue prices based on increases in items other than diesel.  </w:t>
        <w:br/>
        <w:t>This law will give the client the opportunity to interfere in the accounting of their supplier (emphasis added) (references nos. 3795 and 3796).</w:t>
      </w:r>
    </w:p>
    <w:p>
      <w:r>
        <w:t>288. Thus, the mechanism established by the courier companies undermines the objective intended by the legislator, which leads to restoring a certain negotiating power to clients. Beyond the mere possibility of passing on increases in diesel prices to the final price, which was indeed provided for by law no. 82-1153 of December 30, 1982 (see paragraphs 166 and following above), the courier companies were interested in a mechanism that left no room for negotiation for clients, such as the one they had put in place, which suggests that they were not inclined to abandon it until, at least, the entry into force of a new law. The law resulting from the aforementioned draft law was adopted and came into force on January 5, 2006.</w:t>
      </w:r>
    </w:p>
    <w:p>
      <w:r>
        <w:t>289. The company Ciblex, which was present at the Trade Council meetings on June 8, 2004, and September 22, 2005, implemented a diesel surcharge during the year 2005, as indicated by a price revaluation circular provided by the company (reference no. 54480).</w:t>
      </w:r>
    </w:p>
    <w:p>
      <w:r>
        <w:t>290. Specifically regarding the company Gefco, which participated in the meetings of June 8, 2004, June 8, 2005, and September 22, 2005, the aforementioned email from May 28 from Ms. Laure I... to Mr. Jacques B... (reference no. 74 of referral no. 10/0038AC) shows that, during the conference call on May 26, 2004, this company explicitly distanced itself from the practice of implementing a diesel surcharge, stating that it did not intend to implement this surcharge. This refusal was reiterated during the Trade Council meeting on September 30, 2004. Gefco did not actually implement a diesel surcharge at that time. However, as indicated in paragraph 281 of this decision, Gefco decided to apply a diesel surcharge to its clients at the time of the meeting on June 8, 2005, and did not cease the practice at the time of the meeting on September 22, 2005. It also participated in informal exchanges in September and October 2005 (see paragraph 364 and following).</w:t>
      </w:r>
    </w:p>
    <w:p>
      <w:r>
        <w:t>291. Thus, during the years 2004 and 2005, many operators in the sector, other than the participants in the conference call on May 26, 2004, participated in the meetings during which the issue of the diesel surcharge was discussed and gradually adopted the same pricing policy towards their clientele on this issue. These include the companies Ziegler, GLS, Transports Henri Ducros, Sodimaine, Exapaq, Chronopost, Normatrans, Ciblex, and Gefco.</w:t>
      </w:r>
    </w:p>
    <w:p>
      <w:r>
        <w:t xml:space="preserve">Summary of the presence of companies at meetings  </w:t>
        <w:br/>
        <w:t xml:space="preserve">Table 10 - Presence of companies at various exchanges  </w:t>
        <w:br/>
        <w:t xml:space="preserve">Company Email recipients Meeting of June 8 Meeting of September Meeting of June 8 Meeting of September  </w:t>
        <w:br/>
        <w:t xml:space="preserve">of the email of 2004 30, 2004 2005 22, 2005  </w:t>
        <w:br/>
        <w:t xml:space="preserve">May 26, 2004  </w:t>
        <w:br/>
        <w:t xml:space="preserve">Heppner x x x x x  </w:t>
        <w:br/>
        <w:t xml:space="preserve">TNT Express x x x x  </w:t>
        <w:br/>
        <w:t xml:space="preserve">France  </w:t>
        <w:br/>
        <w:t xml:space="preserve">Alloin x x x x x  </w:t>
        <w:br/>
        <w:t xml:space="preserve">Mory x x x x x  </w:t>
        <w:br/>
        <w:t xml:space="preserve">DHL Express x x x x x  </w:t>
        <w:br/>
        <w:t xml:space="preserve">Chronopost x x  </w:t>
        <w:br/>
        <w:t xml:space="preserve">Transports Henri x x x x  </w:t>
        <w:br/>
        <w:t xml:space="preserve">Ducros  </w:t>
        <w:br/>
        <w:t xml:space="preserve">Exapaq x x  </w:t>
        <w:br/>
        <w:t xml:space="preserve">Schenker-Joyau x x x x x  </w:t>
        <w:br/>
        <w:t xml:space="preserve">Sodimaine x x x  </w:t>
        <w:br/>
        <w:t xml:space="preserve">Ziegler x x x  </w:t>
        <w:br/>
        <w:t xml:space="preserve">Ciblex France, x x  </w:t>
        <w:br/>
        <w:t xml:space="preserve">formerly  </w:t>
        <w:br/>
        <w:t xml:space="preserve">HAYS DX  </w:t>
        <w:br/>
        <w:t xml:space="preserve">GLS x x x x  </w:t>
        <w:br/>
        <w:t xml:space="preserve">Transports x  </w:t>
        <w:br/>
        <w:t xml:space="preserve">Peronnet  </w:t>
        <w:br/>
        <w:t xml:space="preserve">Graveleau x x x x  </w:t>
        <w:br/>
        <w:t xml:space="preserve">Normatrans x  </w:t>
        <w:br/>
        <w:t xml:space="preserve">Gefco x x x x x  </w:t>
        <w:br/>
        <w:t>Syndicat TLF x x x x x</w:t>
      </w:r>
    </w:p>
    <w:p>
      <w:r>
        <w:t>292. All the factual elements that precede show that, starting from the end of May 2004, and at least on five occasions (May, June, and September 2004, June and September 2005), the courier companies adhering to TLF exchanged, notably during the meetings of the Trade Council, on the principle of passing on increases in diesel prices and on the common method to be used to achieve this, while ensuring a follow-up of this pass-through.</w:t>
      </w:r>
    </w:p>
    <w:p>
      <w:r>
        <w:t>293. It is noted that some members of TLF publicly informed their competitors that they would not follow the common approach, such as Gefco, or that they were abandoning it, such as Mory (see paragraph 268 above). This information about their commercial strategy provided sensitive market data to their competitors.</w:t>
      </w:r>
    </w:p>
    <w:p>
      <w:r>
        <w:t>Exchanges between companies outside the Trade Council</w:t>
      </w:r>
    </w:p>
    <w:p>
      <w:r>
        <w:t>294. First of all, discussions on the diesel surcharge took place outside the Trade Council between several companies in the sector in September 2005.</w:t>
      </w:r>
    </w:p>
    <w:p>
      <w:r>
        <w:t xml:space="preserve">295. Indeed, an email dated September 13, 2005, sent on behalf of the president of Schenker-Joyau, Mr. Jacques B..., to two executives of the same company, Messrs. Jacques P... and Laurent Q..., was written as follows:  </w:t>
        <w:br/>
        <w:t xml:space="preserve">"I inform you that several courier companies will intensify their diesel surcharge, particularly by focusing their updating efforts on the 'big clients.'  </w:t>
        <w:br/>
        <w:t xml:space="preserve">Indeed, the leaders of these companies believe that it is with the 'big clients' that one can quickly make 'the difference':  </w:t>
        <w:br/>
        <w:t xml:space="preserve">minimum objectives set by these companies:  </w:t>
        <w:br/>
        <w:t xml:space="preserve">the big clients who have 0 in the surcharge must have between 2 and 5% increase.  </w:t>
        <w:br/>
        <w:t xml:space="preserve">the big clients who have between 2 and 5% in the surcharge must be further increased.  </w:t>
        <w:br/>
        <w:t xml:space="preserve">for all other clients, the objective is to reach the maximum rate.  </w:t>
        <w:br/>
        <w:t>Wishing you good reception of this information" (emphasis added) (reference no. 772).</w:t>
      </w:r>
    </w:p>
    <w:p>
      <w:r>
        <w:t>296. This email was sent outside the framework of the Trade Council and several days before the Trade Council meeting of September 22, 2005.</w:t>
      </w:r>
    </w:p>
    <w:p>
      <w:r>
        <w:t>297. Given the chronological proximity of this email from September 13, 2005, to the Trade Council meeting of September 22, 2005, it is likely that the exchanges between "several companies" were preparatory to the meeting of September 22, 2005.</w:t>
      </w:r>
    </w:p>
    <w:p>
      <w:r>
        <w:t>298. This email demonstrates that several courier companies continued at that time to discuss the application of the diesel surcharge and adopted a common position on the target clientele – essentially the "big clients" – and on minimum relative increase objectives.</w:t>
      </w:r>
    </w:p>
    <w:p>
      <w:r>
        <w:t>299. The stated objective of this targeted measure was to "make the difference" on the "big clients." In other words, it was by passing on significant increases on invoices showing the highest amounts that companies could be able to absorb the increases in diesel prices, which the minutes of the aforementioned meeting of September 22, 2005, indicate were "heavily impacting results."</w:t>
      </w:r>
    </w:p>
    <w:p>
      <w:r>
        <w:t>300. This new strategy is illuminated by a statement from the president of Alloin, Mr. Jean-Louis H..., who, regarding the diesel surcharge, stated: "[i]n 2004 we […] applied [the diesel surcharge] on 30 to 40% of turnover because all the big clients refused it" (reference no. 47779).</w:t>
      </w:r>
    </w:p>
    <w:p>
      <w:r>
        <w:t>301. Subsequently, these discussions were followed by new exchanges of information. Schenker-Joyau issued a circular, dated September 8, 2005, announcing a modification of the diesel surcharge (reference no. 48492) sent to all its clients (reference no. 48461). In an email dated September 14, 2005, the president of Schenker-Joyau sent the following message to "JG ORANGE": "Diesel circulars well transmitted today on confidential fax to the assistants of Heppner, Gefco, and Alloin" (reference no. 773). Thus, less than a week after distributing its "diesel circulars" to its clientele, Schenker-Joyau sent them to three of its competitors (Heppner, Gefco, and Alloin).</w:t>
      </w:r>
    </w:p>
    <w:p>
      <w:r>
        <w:rPr>
          <w:b/>
        </w:rPr>
        <w:t>[Pages 52–54]</w:t>
      </w:r>
    </w:p>
    <w:p>
      <w:r>
        <w:t>302. Finally, these exchanges were followed by concrete actions implemented by the companies involved. By a note dated September 20, 2005, Mr. Jacques B... requested one of his executives to provide him with the list of the top ten clients of each agency, along with the methods of passing on the diesel surcharge that were applicable to them and "to act with the Sales Directors and Agency Directors in charge of important accounts who, on the one hand, benefit from fairly 'tight' rates and, on the other hand, would not have a significant diesel surcharge passed on to date" (reference no. 775).</w:t>
      </w:r>
    </w:p>
    <w:p>
      <w:r>
        <w:t>303. Thus, by the end of summer 2005, several companies in the sector exchanged information, outside of the Trade Council, regarding their willingness to intensify the application of the diesel surcharge, particularly with important clients.</w:t>
      </w:r>
    </w:p>
    <w:p>
      <w:r>
        <w:t>e) Summary of observed events</w:t>
      </w:r>
    </w:p>
    <w:p>
      <w:r>
        <w:t>Table 11 - Main observed events related to the diesel surcharge</w:t>
      </w:r>
    </w:p>
    <w:p>
      <w:r>
        <w:t>| Reference No. or Date | Event | Content and excerpts from paragraph |</w:t>
        <w:br/>
        <w:t>|-----------------------|-------|-------------------------------------|</w:t>
        <w:br/>
        <w:t>| Sending an email from a TLF manager to executives of messaging companies. | Report of a conference call between executives of messaging companies. | (10/0038AC) |</w:t>
        <w:br/>
        <w:t>| May 26, 2004 | Sending an email from Mr. Jacques B..., president of Schenker-Joyau to the TLF manager | Transmission of information from Schenker-Joyau to TLF regarding the diesel surcharge circulars of Schenker-Joyau and other companies. | 55226 and 55227 |</w:t>
        <w:br/>
        <w:t>| Sending an email from a TLF manager to Mr. Jacques B..., president of Schenker-Joyau | Transmission of information regarding Geodis to Schenker-Joyau: Geodis indicated to TLF that it did not wish to implement a diesel surcharge for messaging. | (10/0038AC) |</w:t>
        <w:br/>
        <w:t>| Public distancing from Gefco. | | |</w:t>
        <w:br/>
        <w:t>| Beginning of the implementation of the diesel surcharge | | |</w:t>
        <w:br/>
        <w:t>| May 2004 | Meeting of the Trade Council | "[T]he observation is made that a number of companies have implemented a fuel surcharge on their billing from May 1, calculated based on a progressive scale established from elements published by the C.N.R., the Ministry of Industry." | 3905 |</w:t>
        <w:br/>
        <w:t>| | Meeting of the Trade Council | "[T]he companies apply a 'surcharge'." This 'overcharging' seems to have been generally understood and accepted by clients." | 3889 |</w:t>
        <w:br/>
        <w:t>| September 30, 2004 | Report of the meeting of the Trade Council | Summary of the first months of implementation of the diesel surcharge by eight companies. | 1916 and 1917 |</w:t>
        <w:br/>
        <w:t>| October 6, 2004 | Sending an internal email at Schenker-Joyau | Email informing about the conference call of May 26, 2004. | 766 to 769 |</w:t>
        <w:br/>
        <w:t>| February 17, 2005 | | |</w:t>
        <w:br/>
        <w:t>| | | "Overall, the 'surcharge' practice allowing the passing on of diesel variations is heavily used and relatively little discussed by clients [...] After an exchange on the question raised by some about the opportunity or not to reintegrate the fuel tax into the tariff, it does not appear desirable at this time to do so." | 45142 and 45143 |</w:t>
        <w:br/>
        <w:t>| June 8, 2005 | | "I inform you that several messaging companies will intensify their diesel surcharge, particularly by focusing their updating efforts on 'large clients [...]'." | 772 |</w:t>
        <w:br/>
        <w:t>| September 13, 2005 | Sending an email from Schenker-Joyau to a third party | "Diesel circulars well transmitted today via confidential fax to the assistants of Heppner, Gefco, and Alloin." | 773 |</w:t>
        <w:br/>
        <w:t>| September 20, 2005 | Note from Schenker-Joyau | "To act with the Sales Directors and Agency Directors in charge of important accounts who, on the one hand, benefit from fairly 'tight' rates and, on the other hand, would not have a significant diesel surcharge passed on to date." | 775 |</w:t>
        <w:br/>
        <w:t>| September 22, 2005 | Meeting of the Trade Council | The mechanism for passing on costs established jointly by the companies involved is still applied, appears necessary for the companies, and is applicable until the enactment of a law regulating such a mechanism and is seen as more advantageous than that provided for in the draft law. | 3794 |</w:t>
      </w:r>
    </w:p>
    <w:p>
      <w:r>
        <w:t>3. THE CONTINUATION OF THE DIESEL SURCHARGE OVER TIME</w:t>
      </w:r>
    </w:p>
    <w:p>
      <w:r>
        <w:t>304. The minutes of the meetings of the Trade Council established by TLF show that during the years 2004 and 2005, the companies adhering to the practice continued to discuss among themselves the issue of the diesel surcharge and that, until the beginning of 2006, this surcharge was consistently applied by companies in the sector.</w:t>
      </w:r>
    </w:p>
    <w:p>
      <w:r>
        <w:t>305. The table below summarizes factual elements allowing for the establishment of this continuation of the diesel surcharge over time.</w:t>
      </w:r>
    </w:p>
    <w:p>
      <w:r>
        <w:t>Table 12 – Continuation of the diesel surcharge over time</w:t>
      </w:r>
    </w:p>
    <w:p>
      <w:r>
        <w:t>| Document | Content | Reference Nos. |</w:t>
        <w:br/>
        <w:t>|----------|---------|----------------|</w:t>
        <w:br/>
        <w:t>| "[O]n the ground, the observation is made that a number of companies have implemented a fuel surcharge on their billing from May 1, calculated based on a progressive scale established from elements published by the C.N.R., the Ministry of Industry, etc..." | Report of the meeting of the Trade Council on June 8, 2004 | 3905 |</w:t>
        <w:br/>
        <w:t>| "[...] the companies apply a 'surcharge'. This 'overcharging' seems to have been generally understood and accepted by clients." | Report of the meeting of the Trade Council on September 30, 2004 | 3889 |</w:t>
        <w:br/>
        <w:t>| "[O]verall, the 'surcharge' practice allowing the passing on of diesel variations is heavily used and relatively little discussed by clients, based most often on the index published by the CNR or the DIREM index." | Report of the meeting of the Trade Council on June 8, 2005 | 45142 and 45143 |</w:t>
        <w:br/>
        <w:t>| "The continuous rise in fuel, the main component of the operating cost of road vehicles, heavily impacts results, despite the passing on mechanism established by the companies (the surcharges)." | Report of the meeting of the Trade Council on September 22, 2005 | 3794 |</w:t>
        <w:br/>
        <w:t>| Internal report at Schenker-Joyau from a meeting of the Trade Council on February 14, 2006 | "Finally, regarding diesel indexing, all present companies stated that they had a functioning surcharge and that it should be preserved." | 76 and 77 (10/0038AC) |</w:t>
        <w:br/>
        <w:t>| "At the end of 2004, I decided to integrate diesel into the tariff, but in March 2005, I realized that it was not working." | Hearing of the president of Mory, Mr. Alain G... | 44547 |</w:t>
      </w:r>
    </w:p>
    <w:p>
      <w:r>
        <w:t>306. The company Mory attempted, for only a few months, to end the practice in question, as shown by the last line of the table.</w:t>
      </w:r>
    </w:p>
    <w:p>
      <w:r>
        <w:t>307. Thus, from the moment they implemented it, most companies participating in the meetings of the Trade Council continued to consistently apply a diesel surcharge as a line item, with the exception of the company Mory, which attempted for only a few months to reintegrate this surcharge into the general tariff before re-adhering to the practice.</w:t>
      </w:r>
    </w:p>
    <w:p>
      <w:r>
        <w:t>4. THE APPLICABILITY OF THE DIESEL SURCHARGE TO CLIENTS</w:t>
      </w:r>
    </w:p>
    <w:p>
      <w:r>
        <w:t>308. As previously indicated, the messaging companies considered in May 2004 that they could not individually implement a system for passing on the rise in fuel prices in their tariffs. However, the discussions that took place on May 26, 2004, directly led to the simultaneous receipt by almost all messaging clients located in France of one or more circulars requesting the application of a diesel surcharge, with many clients using several carriers for their messaging needs.</w:t>
      </w:r>
    </w:p>
    <w:p>
      <w:r>
        <w:t>309. Several companies interviewed indicated that they had, in practice, managed to pass on this surcharge to at least some of their clients.</w:t>
      </w:r>
    </w:p>
    <w:p>
      <w:r>
        <w:rPr>
          <w:b/>
        </w:rPr>
        <w:t>[Pages 55–57]</w:t>
      </w:r>
    </w:p>
    <w:p>
      <w:r>
        <w:t>de novembre), il était convenu de ne pas aborder les hausses tarifaires. Cela a été un point de consensus entre les membres du Conseil. »</w:t>
      </w:r>
    </w:p>
    <w:p>
      <w:r>
        <w:t>333. Ces éléments montrent que les entreprises ont délibérément cherché à dissimuler leurs échanges concernant les hausses tarifaires, ce qui témoigne de la nature secrète de leurs pratiques.</w:t>
      </w:r>
    </w:p>
    <w:p>
      <w:r>
        <w:t>2. DÉROULEMENT DES PRATIQUES</w:t>
        <w:br/>
        <w:t>334. Les pratiques concertées relatives aux revalorisations tarifaires se sont déroulées de manière structurée et organisée. Les entreprises ont mis en place des réunions régulières pour discuter des augmentations de prix et ont échangé des informations sur leurs stratégies respectives.</w:t>
      </w:r>
    </w:p>
    <w:p>
      <w:r>
        <w:t>335. Ces réunions ont permis aux entreprises de coordonner leurs actions et de s'assurer que leurs augmentations de prix étaient alignées, ce qui a eu pour effet de réduire la concurrence sur le marché.</w:t>
      </w:r>
    </w:p>
    <w:p>
      <w:r>
        <w:t>336. En outre, les entreprises ont également utilisé des canaux de communication informels pour échanger des informations sur les hausses tarifaires, renforçant ainsi la nature concertée de leurs pratiques.</w:t>
      </w:r>
    </w:p>
    <w:p>
      <w:r>
        <w:t>337. Les preuves recueillies montrent que ces pratiques ont eu un impact significatif sur le marché, entraînant une augmentation des prix pour les clients et une réduction de la concurrence entre les entreprises du secteur.</w:t>
      </w:r>
    </w:p>
    <w:p>
      <w:r>
        <w:t>338. En conclusion, les pratiques concertées relatives aux revalorisations tarifaires ont été mises en œuvre de manière systématique et ont eu pour effet de fausser le marché, ce qui justifie l'intervention des autorités de concurrence.</w:t>
      </w:r>
    </w:p>
    <w:p>
      <w:r>
        <w:rPr>
          <w:b/>
        </w:rPr>
        <w:t>[Pages 58–60]</w:t>
      </w:r>
    </w:p>
    <w:p>
      <w:r>
        <w:t>November), in addition to discussions on the topics on the agenda, discussions on the percentage of price increases contemplated by each competitor also took place each time.</w:t>
      </w:r>
    </w:p>
    <w:p>
      <w:r>
        <w:t>2. THE CONDUCT OF PRACTICES</w:t>
      </w:r>
    </w:p>
    <w:p>
      <w:r>
        <w:t>333. The courier companies exchanged information each year before the start of the annual negotiations, and then reviewed the situation during the negotiations.</w:t>
      </w:r>
    </w:p>
    <w:p>
      <w:r>
        <w:t>334. The statements from Schenker-Joyau indicate that the exchanges in question would have taken place at least since the year 2003. However, no additional elements have been identified to corroborate this statement and confirm the existence of these behaviors for the year 2003; the presentation of practices will therefore begin from the year 2004.</w:t>
      </w:r>
    </w:p>
    <w:p>
      <w:r>
        <w:t>335. As negotiations take place each year, the exchanges that occurred between companies will be examined separately for each negotiation campaign.</w:t>
      </w:r>
    </w:p>
    <w:p>
      <w:r>
        <w:t>336. The practices each year follow the same pattern:</w:t>
        <w:br/>
        <w:t>(1) during the summer and/or autumn of each year, the companies involved exchange information via emails, letters, and during one or more meetings;</w:t>
        <w:br/>
        <w:t>(2) the companies adopt market behavior consistent with the information previously exchanged;</w:t>
        <w:br/>
        <w:t>(3) the companies monitor the outcome of the pricing negotiations and the effective implementation with clients of what has been decided collectively.</w:t>
      </w:r>
    </w:p>
    <w:p>
      <w:r>
        <w:t>337. Consequently, the practices will always be examined according to this plan.</w:t>
      </w:r>
    </w:p>
    <w:p>
      <w:r>
        <w:t>a) The 2004-2005 Campaign</w:t>
      </w:r>
    </w:p>
    <w:p>
      <w:r>
        <w:t>Information exchanges during autumn 2004</w:t>
      </w:r>
    </w:p>
    <w:p>
      <w:r>
        <w:t>338. A meeting of the Trade Council took place on September 30, 2004, during which the companies present (see reference no. 183 of submission no. 10/0091AC and table 20 below) exchanged commercial information on prices.</w:t>
      </w:r>
    </w:p>
    <w:p>
      <w:r>
        <w:t>339. Indeed, a report of a meeting of the Trade Council was sent by email on October 6, 2004, by the president of Graveleau, Mr. Philippe X..., to several of his executives (references nos. 1916 and 1917) with the subject: "PRICE INCREASE 11/01/2004". The body of this email contains the following table:</w:t>
      </w:r>
    </w:p>
    <w:p>
      <w:r>
        <w:t>ALLOIN By the end of July, estimate a 1.4% increase in diesel. For 2005, their goal is to maintain the diesel surcharge as a separate item and to apply a general increase between 3.4% and 4%.</w:t>
      </w:r>
    </w:p>
    <w:p>
      <w:r>
        <w:t>JOYAU By the end of August, 1.71% diesel for courier services and 2.45% for full loads. For 2005, same principle as ALLOIN, probably a 3.8% general increase.</w:t>
      </w:r>
    </w:p>
    <w:p>
      <w:r>
        <w:t>DUCROS VERT By the end of July, diesel 1.3%. For 2005, same as ALLOIN for the method. General increase to 3.5%.</w:t>
      </w:r>
    </w:p>
    <w:p>
      <w:r>
        <w:t>ZIEGLER By the end of July: diesel at 1.8%. For 2005, same as ALLOIN with a general increase of 3.5%.</w:t>
      </w:r>
    </w:p>
    <w:p>
      <w:r>
        <w:t>HEPPNER XP Consider that freight margins have collapsed. By the end of July, diesel 1.4%. For 2005, same as ALLOIN.</w:t>
      </w:r>
    </w:p>
    <w:p>
      <w:r>
        <w:t>MORY By the end of August: 1.9% diesel. For 2005, plan to inform their clients of an automatic integration into their general increase of the diesel surcharge around 1.9%. Total increase presented to the client between 5% and 5.5%.</w:t>
      </w:r>
    </w:p>
    <w:p>
      <w:r>
        <w:t>GEFCO As already reported, they did not apply the diesel surcharge, given their specific agreements in the automotive sector, which still represents 75% of their traffic. For 2005, they plan to present a general increase of 5.2%.</w:t>
      </w:r>
    </w:p>
    <w:p>
      <w:r>
        <w:t>DHL Excessively defensive. Diesel surcharge at the end of August: 1.9% for courier services and 5% for express. Their 2005 strategy will be as follows: use their 280 salespeople and attack markets based on their freight needs with pricing grids including everything (like Express), with the intention of regaining significant market losses observed to date.</w:t>
      </w:r>
    </w:p>
    <w:p>
      <w:r>
        <w:t>340. In addition to the issue of the diesel surcharge mentioned above, precise and individualized information regarding future price increases for the year 2005 was exchanged among the companies present at the meeting on September 30, 2004, during a "round table". These exchanges concerned both precise and relatively similar percentage increases (3.4% to 4% for most companies and about 5% for Gefco and Mory).</w:t>
      </w:r>
    </w:p>
    <w:p>
      <w:r>
        <w:t>341. The company Alloin likely spoke first and was followed by four companies (Joyau, Transports Henri Ducros, Ziegler, and Heppner), which indicated "same principle as Alloin" or "Same as Alloin" and proposed increase rates within the range announced by Alloin.</w:t>
      </w:r>
    </w:p>
    <w:p>
      <w:r>
        <w:t>342. An internal note from Alloin (references nos. 51241 to 51248), presenting arguments for the company's sales forces for negotiating price increases for 2004-2005, reports precise information on the price revaluation rates requested by Heppner, BMV, and Calberson (Geodis), DHL, Gefco, Graveleau, Schenker-Joyau, GLS, and TNT. This information is consistent with that mentioned in the email from the president of Graveleau dated October 6, 2004, reproduced above, sometimes with more precision for certain companies. Exchanges between competitors regarding the levels of price increases contemplated for the year 2005 therefore took place outside the meeting on September 30, 2004.</w:t>
      </w:r>
    </w:p>
    <w:p>
      <w:r>
        <w:t>343. This note thus attests to the existence of exchanges between competitors regarding the levels of price increases contemplated for the year 2005. Indeed, the information concerning several competitors, available to Alloin in October 2004, just a few days before the sending of circulars to clients, can only have come from the competing companies themselves.</w:t>
      </w:r>
    </w:p>
    <w:p>
      <w:r>
        <w:t>344. Regarding the company Graveleau in particular, it took into account the indications given by its competitors during the meeting to establish the rate of increase requested by its company to its clients, as evidenced by the end of the email.</w:t>
      </w:r>
    </w:p>
    <w:p>
      <w:r>
        <w:t>345. Thus, the companies Graveleau, Alloin, Schenker-Joyau, Transports Henri Ducros, Ziegler, Heppner, Mory, Gefco, and DHL exchanged commercially sensitive information allowing them to align their pricing terms for their transport services. This data has a high degree of precision since the rate of increase is indicated as a percentage, sometimes as a range, the date of the increase is specified, and the names of the companies that will implement this increase are mentioned very clearly. They also present a future character.</w:t>
      </w:r>
    </w:p>
    <w:p>
      <w:r>
        <w:t>The consistency of the exchanged information with market behavior</w:t>
      </w:r>
    </w:p>
    <w:p>
      <w:r>
        <w:t>346. The pricing orientations contemplated and communicated between competitors were largely implemented, as evidenced notably by the pricing circulars actually sent to clients for the 2004-2005 campaign. The information thus exchanged had a high degree of reliability for each participant. They therefore allowed for a certain certainty in predicting the future behavior of competing companies regarding requests for price increases.</w:t>
      </w:r>
    </w:p>
    <w:p>
      <w:r>
        <w:t>Table 14 - Consistency between exchanged information and market behavior (2004-2005 campaign)</w:t>
      </w:r>
    </w:p>
    <w:p>
      <w:r>
        <w:t>Previously exchanged increase Increase communicated to Date</w:t>
        <w:br/>
        <w:t>Company between companies and date of clients by circular and date of the circular</w:t>
        <w:br/>
        <w:t>the exchange date of the circular</w:t>
        <w:br/>
        <w:t>Between + 3.4 and + 4% + 3.8%</w:t>
        <w:br/>
        <w:t>Internal argument note November 1</w:t>
        <w:br/>
        <w:t>Alloin regarding the sending of</w:t>
        <w:br/>
        <w:t>October 30, 2004 the circular dated October 25, 2004</w:t>
        <w:br/>
        <w:t>References nos. 48961</w:t>
        <w:br/>
        <w:t>- 1916 and 1917 48961</w:t>
        <w:br/>
        <w:t>reference 51241 to 51248</w:t>
        <w:br/>
        <w:t>+ 3.6% + 3.6%</w:t>
        <w:br/>
        <w:t>November 2</w:t>
        <w:br/>
        <w:t>Graveleau</w:t>
        <w:br/>
        <w:t>2004</w:t>
        <w:br/>
        <w:t>Before October 25, 2004 October 29, 2004</w:t>
        <w:br/>
        <w:t>References nos.</w:t>
        <w:br/>
        <w:t>- 51241 to 51248 47338</w:t>
        <w:br/>
        <w:t>reference</w:t>
        <w:br/>
        <w:t>+ 3.9% + 3.9%</w:t>
        <w:br/>
        <w:t>December 1</w:t>
        <w:br/>
        <w:t>Geodis</w:t>
        <w:br/>
        <w:t>2004</w:t>
        <w:br/>
        <w:t>Before October 25, 2004 October 27, 2004</w:t>
        <w:br/>
        <w:t>References nos.</w:t>
        <w:br/>
        <w:t>- 51241 to 51248 47478 and 55670</w:t>
      </w:r>
    </w:p>
    <w:p>
      <w:r>
        <w:rPr>
          <w:b/>
        </w:rPr>
        <w:t>[Pages 61–63]</w:t>
      </w:r>
    </w:p>
    <w:p>
      <w:r>
        <w:t>Increase previously exchanged Increase communicated to Date</w:t>
        <w:br/>
        <w:t>Company between companies and date of clients by circular and of application</w:t>
        <w:br/>
        <w:t>Graveleau's email: + 3.4 to + 4% + 3.4%</w:t>
        <w:br/>
        <w:t>December 1</w:t>
        <w:br/>
        <w:t>Heppner Internal note from Alloin: +3.5%</w:t>
        <w:br/>
        <w:t>2004</w:t>
        <w:br/>
        <w:t>September 30, 2004 October 28, 2004</w:t>
        <w:br/>
        <w:t>Nos of 1916 and 1917</w:t>
        <w:br/>
        <w:t>- 47393 and 55644</w:t>
        <w:br/>
        <w:t>reference 51241 to 51248</w:t>
        <w:br/>
        <w:t>Graveleau's email: + 3.8%</w:t>
        <w:br/>
        <w:t>Alloin's note: between + 3.5 and + 4%</w:t>
        <w:br/>
        <w:t>Schenker-Joyau 1 December</w:t>
        <w:br/>
        <w:t>2004</w:t>
        <w:br/>
        <w:t>September 30, 2004</w:t>
        <w:br/>
        <w:t>November 15, 2004</w:t>
        <w:br/>
        <w:t>Before October 25, 2004</w:t>
        <w:br/>
        <w:t>Nos of 1916 and 1917</w:t>
        <w:br/>
        <w:t>- 48474</w:t>
        <w:br/>
        <w:t>reference 51241 to 51248</w:t>
        <w:br/>
        <w:t>+ 3.9% + 3.9%</w:t>
        <w:br/>
        <w:t>TNT 1 October</w:t>
        <w:br/>
        <w:t>Express 2004</w:t>
        <w:br/>
        <w:t>Before October 25, 2004 August 25 and 31, 2004</w:t>
        <w:br/>
        <w:t>Nos of</w:t>
        <w:br/>
        <w:t>- 51241 to 51248 47222 and 47224</w:t>
        <w:br/>
        <w:t>reference</w:t>
        <w:br/>
        <w:t>Graveleau's email: N/A except for the service</w:t>
        <w:br/>
        <w:t>increase</w:t>
        <w:br/>
        <w:t>Europlus</w:t>
        <w:br/>
        <w:t>Internal note from Alloin: + 4%</w:t>
        <w:br/>
        <w:t>DHL -</w:t>
        <w:br/>
        <w:t>September 30, 2004</w:t>
        <w:br/>
        <w:t>-</w:t>
        <w:br/>
        <w:t>Before October 25, 2004</w:t>
        <w:br/>
        <w:t>Nos of 1916 and 1917</w:t>
        <w:br/>
        <w:t>- 51642 and 51643 -</w:t>
        <w:br/>
        <w:t>reference 51241 to 51248</w:t>
        <w:br/>
        <w:t>Graveleau's email: + 5.2%</w:t>
        <w:br/>
        <w:t>(diesel included) November 1</w:t>
        <w:br/>
        <w:t>+ 5%</w:t>
        <w:br/>
        <w:t>Internal note from Alloin: + 5% 2004</w:t>
        <w:br/>
        <w:t>Gefco (diesel included) essentially,</w:t>
        <w:br/>
        <w:t>exceptions to</w:t>
        <w:br/>
        <w:t>September 30, 2004 Between October 14, 2004 and</w:t>
        <w:br/>
        <w:t>January 1, 2005</w:t>
        <w:br/>
        <w:t>Before October 25, 2004 November 25, 2004</w:t>
        <w:br/>
        <w:t>Nos of 1916 and 1917</w:t>
        <w:br/>
        <w:t>- 51972 to 51976</w:t>
        <w:br/>
        <w:t>reference 51241 to 51248</w:t>
        <w:br/>
        <w:t>+ 4.1% + 4.08%</w:t>
        <w:br/>
        <w:t>November 1</w:t>
        <w:br/>
        <w:t>GLS</w:t>
        <w:br/>
        <w:t>Before October 25, 2004 October 4, 2004 2004</w:t>
        <w:br/>
        <w:t>Nos of</w:t>
        <w:br/>
        <w:t>- 51241 to 51248 52209</w:t>
        <w:br/>
        <w:t>reference</w:t>
        <w:br/>
        <w:t>Graveleau's email: + 3.5%</w:t>
        <w:br/>
        <w:t>Ziegler</w:t>
        <w:br/>
        <w:t>September 30, 2004</w:t>
        <w:br/>
        <w:t>Nos of</w:t>
        <w:br/>
        <w:t>- 1916 and 1917</w:t>
        <w:br/>
        <w:t>reference</w:t>
        <w:br/>
        <w:t>347. This table shows a great consistency between, on the one hand, the information contained in Graveleau's email and Alloin's internal note and, on the other hand, the content of the circulars actually sent to clients by the companies concerned.</w:t>
        <w:br/>
        <w:t>348. However, two particularities can be noted.</w:t>
      </w:r>
    </w:p>
    <w:p>
      <w:r>
        <w:t>349. First, there are some discrepancies regarding the anticipated application dates of the price increases (December 2004 instead of November 2004, for example).</w:t>
        <w:br/>
        <w:t>350. Secondly, concerning DHL, while a rate of 4% was mentioned in Alloin's internal note, no circular seems to have been sent to clients, in accordance with what was said during the meeting on September 30, 2004.</w:t>
      </w:r>
    </w:p>
    <w:p>
      <w:r>
        <w:t>Monitoring of pricing negotiations</w:t>
      </w:r>
    </w:p>
    <w:p>
      <w:r>
        <w:t>351. A careful monitoring of the market was carried out by the members of the Trade Council, as evidenced by the following two elements.</w:t>
        <w:br/>
        <w:t>352. Firstly, handwritten notes written by the president of TNT, Mr. Éric C..., titled "TLF", contain indications on price increases (references nos. 1680 and 1681). These notes are probably dated from the end of 2004 as they are preceded by notes from November 2, 2004 (reference no. 1662).</w:t>
      </w:r>
    </w:p>
    <w:p>
      <w:r>
        <w:t>353. On the one hand, under a mention "Market", the notes mention names of companies and percentages, which correspond exactly either to the previously stated revaluation objective or to the rate indicated in the circular sent to clients:</w:t>
        <w:br/>
        <w:t>- "4.08%" for GLS;</w:t>
        <w:br/>
        <w:t>- "3.9%" for TNT;</w:t>
        <w:br/>
        <w:t>- "3.5%" for Heppner;</w:t>
        <w:br/>
        <w:t>- "3.8%" for Schenker-Joyau.</w:t>
      </w:r>
    </w:p>
    <w:p>
      <w:r>
        <w:t>354. The objectives of companies not present at the meeting on September 30, 2004, are also indicated: 4.7% for Ciblex and 4.02% for Chronopost. In this regard, it can be noted that Ciblex did indeed send its clients a circular announcing a price increase of 4.7% (reference no. 54479).</w:t>
        <w:br/>
        <w:t>355. On the other hand, the notes contain a two-column table, one named "target" and the other "achieved". In the latter column, percentages for the companies Heppner, Mory, Schenker-Joyau, Exapaq, and GLS are mentioned. During the meeting at which these notes were taken, the companies thus compared the revaluations they wished to achieve with those ultimately obtained.</w:t>
        <w:br/>
        <w:t>356. Secondly, on December 3, 2004, an email was sent by the president of the company Graveleau and of the Trade Council, Mr. Philippe X..., to the president of Mory, Mr. Alain G...:</w:t>
      </w:r>
    </w:p>
    <w:p>
      <w:r>
        <w:t>"I am sending you this email to express the strong dissatisfaction of all members of the TLF Express Messaging Trade Council regarding your price increase circular for 2005 dated November 15. It does not correspond at all to what was discussed together around the table at our meeting, and it completely deviates from the spirit that has always been, it seems, yours and that we have all defended vigorously. We are all questioning the necessity of continuing our collaboration in the TLF Messaging Council" (emphasis added) (reference no. 39 of submission no. 10/0038AC).</w:t>
      </w:r>
    </w:p>
    <w:p>
      <w:r>
        <w:t>357. According to this email, Mory sent a price increase circular to its clients that did not correspond to what had been discussed among competitors during a previous meeting, probably that of September 30, 2004. Indeed, Mory implemented a price increase of 3.9% (reference no. 2904), whereas this company had announced a general price increase between 5 and 5.5%.</w:t>
        <w:br/>
        <w:t>358. This email raises three remarks.</w:t>
        <w:br/>
        <w:t>359. First, the reaction of the president of the Trade Council shows that announcements of price increases are considered as real commitments towards competitors.</w:t>
        <w:br/>
        <w:t>360. Secondly, Mory's breach of commitment generates a very clear threat of exclusion from the organization, formulated on behalf of all members of the Trade Council: "We are all questioning the necessity of continuing our collaboration in the TLF Messaging Council."</w:t>
        <w:br/>
        <w:t>361. Finally, the email led Mory to modify its attitude in the context of negotiations with its clients, by recommending its sales forces to comply with the rate of increase it had announced in the meeting with its competitors. Indeed, in a note dated December 8, 2004, addressed to regional directors and to be disseminated to all agency directors, the president of Mory stated:</w:t>
      </w:r>
    </w:p>
    <w:p>
      <w:r>
        <w:rPr>
          <w:b/>
        </w:rPr>
        <w:t>[Pages 64–66]</w:t>
      </w:r>
    </w:p>
    <w:p>
      <w:r>
        <w:t>"According to the information we have received, our price increase for 2005 (3.9%) is approximately one point lower than that practiced by our main competitors (if we include the effects of the general increases they announce and those of the 'diesel' surcharges they declare they wish to maintain). Consequently, I ask you to show the utmost firmness in applying this +3.9% and to take advantage of the circumstances to apply or impose additional charges [...]" (emphasis added) (reference no. 2904).</w:t>
      </w:r>
    </w:p>
    <w:p>
      <w:r>
        <w:t>362. Thus, the announced increase rate of 3.9% will serve as a floor for negotiation to which additional fees related to ancillary services should be added, in order to raise the overall cost of the service and approach the rate of 5%. Thirdly, on December 9, 2004, Mory received a fax from the company Graveleau: "Following the exchanges between Mr. G... and Mr. X..., please find attached a copy of the circulars from Joyau, Alloin, and Graveleau" (reference no. 2898).</w:t>
      </w:r>
    </w:p>
    <w:p>
      <w:r>
        <w:t>363. All the preceding elements demonstrate that precise and individualized information regarding the upcoming price increases of the present companies was exchanged during the Trade Council meeting on September 30, 2004, and then during the subsequent negotiation period with clients.</w:t>
      </w:r>
    </w:p>
    <w:p>
      <w:r>
        <w:t>b) The 2005-2006 campaign</w:t>
      </w:r>
    </w:p>
    <w:p>
      <w:r>
        <w:t>Information exchanges during the autumn of 2005</w:t>
      </w:r>
    </w:p>
    <w:p>
      <w:r>
        <w:t>Exchanges of price revaluation circulars between competitors</w:t>
      </w:r>
    </w:p>
    <w:p>
      <w:r>
        <w:t>364. Firstly, the price revaluation circular from the company Graveleau (effective from November 2, 2005) was sent by its president via email dated October 17, 2005, to the leaders of the companies Mory, Gefco, Alloin, Schenker-Joyau, Geodis, and Heppner (reference no. 41 of submission no. 10/0038AC).</w:t>
      </w:r>
    </w:p>
    <w:p>
      <w:r>
        <w:t>365. The president of Schenker-Joyau, Mr. Jacques B..., replied by email on October 18, 2005: "As far as we are concerned, I confirm what I told you previously: We will circularize our entire client base with a rate of 4.6% applicable from December 1. However, low-margin files will 'benefit' from a circular with a higher rate" (reference no. 41 of submission no. 10/0038AC). The wording explicitly refers to prior discussions between the companies.</w:t>
      </w:r>
    </w:p>
    <w:p>
      <w:r>
        <w:t>366. The company Alloin also responded to the email from Graveleau on October 19, 2005: "In response to your email, our revaluation rate will be 5.6% as of November 1" (references nos. 55137 to 55139). The revaluation circular from Alloin, which indeed contained a revaluation rate of 5.6%, was sent to its clients on October 27, 2005 (reference no. 48886).</w:t>
      </w:r>
    </w:p>
    <w:p>
      <w:r>
        <w:t>367. Secondly, on October 25, 2005, Schenker-Joyau forwarded its price revaluation circular, which was to apply on December 1, 2005, and which provided for an increase of 4.6%, to the leaders of Mory, Gefco, Alloin, Graveleau, Geodis, and Heppner. The attached circular is dated November 2, 2005, which means it had not yet been sent to clients at the time of the exchange. Again, the terms of the email explicitly mention prior discussions between the recipient companies of this information (reference no. 43 of submission no. 10/0038AC).</w:t>
      </w:r>
    </w:p>
    <w:p>
      <w:r>
        <w:t>368. Thirdly, on the same day, the president of Mory, Mr. Alain G..., transmitted to the companies Schenker-Joyau, Gefco, Alloin, Geodis, Heppner, and Graveleau the price increase circular of his company (reference no. 43 of submission no. 10/0038AC and reference no. 51250). This circular, dated October 11, 2005, provided for a 3.9% increase in messaging rates.</w:t>
      </w:r>
    </w:p>
    <w:p>
      <w:r>
        <w:t>369. Fourthly, on November 4, 2005, Alloin transmitted to the companies Mory, DHL Express (under the name Ducros Euro Express, reference no. 55362), Heppner, Graveleau, and Schenker-Joyau its price increase circular, which indeed provided for a 5.6% increase as of November 1, 2005 (references nos. 55107 and 55108).</w:t>
      </w:r>
    </w:p>
    <w:p>
      <w:r>
        <w:t>370. Fifthly, on November 16, 2005, an email sent by the president of Heppner, Mr. Jean N..., to the companies Mory, Gefco, Alloin, Geodis, and Graveleau contained a price increase circular dated November 8, 2005, indicating an increase rate of 4.8% (references nos. 55220 to 55222).</w:t>
      </w:r>
    </w:p>
    <w:p>
      <w:r>
        <w:t>371. Finally, a meeting of the Trade Council took place on September 22, 2005, just a few days before the exchanges of emails referring to prior discussions (for the present companies, see reference no. 3799 and table 10 below).</w:t>
      </w:r>
    </w:p>
    <w:p>
      <w:r>
        <w:t>372. Regarding this meeting, the president of Schenker-Joyau, Mr. Jacques B..., stated: "[...] I think it was during a meeting that they decided to exchange the circulars. It is possible that it was during this meeting."</w:t>
      </w:r>
    </w:p>
    <w:p>
      <w:r>
        <w:t>373. All these elements allow us to observe that during the meeting on September 22, 2005, information exchanges regarding future price revaluations took place among the participants and that all or part of them agreed to mutually transmit their price increase circulars, evidently before sending them to clients.</w:t>
      </w:r>
    </w:p>
    <w:p>
      <w:r>
        <w:t>The internal compilations of information received from competitors</w:t>
      </w:r>
    </w:p>
    <w:p>
      <w:r>
        <w:t>374. The company Graveleau obtained information on the price revaluations of other competing companies. Indeed, by a dispatch dated October 21, 2005, Graveleau transmitted the aforementioned email from October 18, 2005, from the president of Schenker-Joyau to the regional directors and several executives of the company Graveleau (see references nos. 55138 and 55139). The accompanying message was written as follows:</w:t>
      </w:r>
    </w:p>
    <w:p>
      <w:r>
        <w:t>"You will find below the message indicating the revaluation conditions of JOYAU. For your information, here are also the details that have come to our attention from certain colleagues: GEODIS: would increase by 3.9% on November 1, and would raise the diesel tax at that date from 2.6% to 3.3%, HEPPNER: would increase by 4.8% on December 1 and would raise its diesel tax to 3.9%, MORY: would apply a surcharge of 3.9% on December 1, ALLOIN: is targeting 5.6% on November 1, DHL: would be between 3 and 3.5% on January 1. We can see that some colleagues have a strong desire for revaluation; this should all the more lead us, in our efforts, to maintain our firmness in defending our increase rate, even if there are clients who will always come to point out that other carriers are doing less, etc..." (references nos. 55138 and 55139).</w:t>
      </w:r>
    </w:p>
    <w:p>
      <w:r>
        <w:t>375. Thus, on October 21, 2005, before sending its own price increase circular to clients (reference no. 47339), Graveleau was aware of the price increase levels of Joyau, Geodis, Heppner, Mory, Alloin, and DHL, as well as the future dates for the application of these increases.</w:t>
      </w:r>
    </w:p>
    <w:p>
      <w:r>
        <w:t>Since the data is precise, individualized, and future-oriented, it can only come from the companies themselves.</w:t>
      </w:r>
    </w:p>
    <w:p>
      <w:r>
        <w:t>376. Alloin also conducted a form of internal compilation of the pricing information provided by competitors. Indeed, an information note dated October 25, 2005, concerns the arguments for the 2005 price increase (references nos. 51253 to 51258). At the end of this argument, the "increase of our main competitors" is indicated (reference no. 117 of submission no. 10/0091AC). The companies mentioned are Heppner – XP, Mory, Graveleau, Joyau, Calberson, DHL, and Sernam.</w:t>
      </w:r>
    </w:p>
    <w:p>
      <w:r>
        <w:t>377. An exchange of emails (references nos. 51260 and 51261) shows that this same information on the revaluations requested by competing companies, accompanied by additional indications on the evolution of their general sales conditions, was known to Alloin Transports on October 24, 2005. This very precise information is presented as follows:</w:t>
      </w:r>
    </w:p>
    <w:p>
      <w:r>
        <w:t>"I INFORM YOU THAT THE INCREASE CIRCULARS ARE GOING OUT TODAY A SUMMARY TABLE OF THE INCREASE RATES WILL REACH YOU THIS WEEK I TAKE THIS OPPORTUNITY TO COMMUNICATE THE INCREASES OF OUR MAIN COMPETITORS GEODIS 3.9% SAME CGV GAS OIL 3.3% JOYAU 4.6% SAME CGV ' ' ' ' ' 5.1% DHL 3.9% SAME CGV ' ' ' ' ' 3% SUBJECT TO RESERVATION GRAVELEAU 4.5% SAME CGV ' ' ' ' ' 8% MORY 3.9% SAME CGV ' ' ' ' ' 3.3% HEPPNER 4% SAME CGV ' ' ' '??? DO NOT FORGET TO PUSH ON THE ADDITIONAL TAXES YOU CAN NEGOTIATE THEM BUT SELL THEM FOR YOUR INFO 2006 WILL ONCE AGAIN SEE A SIGNIFICANT INCREASE IN OUR COSTS MAINLY: SALARIES + 7% COLLECTIVE AGREEMENT SUBCONTRACTING + 6% HIGHWAYS + 8% INSURANCE + 3% GAS OIL LET US NOT BE FOOLED OUR COMPETITORS SELL IT NO COMPANY IS CAPABLE OF ABSORBING SUCH A SIGNIFICANT EXTRA COST I INVITE YOU TO ASK YOUR D.A. FOR THE SUMMARY TABLE OF GAS OIL INCREASES LISTED IN THE QUALITY DASHBOARD OF SEPTEMBER ON PAGE 26 NEGOTIATE BETWEEN 2 AND 4% FOR THOSE WHO HAVE NOTHING THE GAS OIL TAX IS MANDATORY I WILL SEE THE FILES THAT DO NOT INCLUDE IT DEFEND THIS INCREASE WITH TENACITY AND CONVICTION LOOK AT THE NUMBER OF CARRIERS WHO HAVE DISAPPEARED THIS YEAR THE SHIPPERS ARE AWARE GO IN CONFIDENT AND RELAXED WE ARE NOT HERE TO BEG. Regards Didier 21...".</w:t>
      </w:r>
    </w:p>
    <w:p>
      <w:r>
        <w:rPr>
          <w:b/>
        </w:rPr>
        <w:t>[Pages 67–69]</w:t>
      </w:r>
    </w:p>
    <w:p>
      <w:r>
        <w:t>378. Again, this message was an opportunity to encourage Alloin's sales forces to remain firm in negotiations.</w:t>
      </w:r>
    </w:p>
    <w:p>
      <w:r>
        <w:t>The consistency of the information exchanged with market behavior</w:t>
      </w:r>
    </w:p>
    <w:p>
      <w:r>
        <w:t>379. The comparison between the announcements made by companies during their exchanges and the pricing circulars actually sent to clients by these same companies for the 2005-2006 campaign shows that the pricing orientations considered and communicated among competitors were largely endorsed at the time of sending the pricing revaluation circulars to clients.</w:t>
      </w:r>
    </w:p>
    <w:p>
      <w:r>
        <w:t>Table 15 - Consistency between exchanged information and market behavior (2005-2006 campaign)</w:t>
      </w:r>
    </w:p>
    <w:p>
      <w:r>
        <w:t>Date</w:t>
        <w:br/>
        <w:t>Previously exchanged increase between companies and increase communicated to clients by circular and date of application of the circular</w:t>
      </w:r>
    </w:p>
    <w:p>
      <w:r>
        <w:t>Note Graveleau: + 3.9 %</w:t>
        <w:br/>
        <w:t>+ 3.9 %</w:t>
        <w:br/>
        <w:t>Note Alloin: + 3.9 % November 2</w:t>
        <w:br/>
        <w:t>Geodis</w:t>
        <w:br/>
        <w:t>2005</w:t>
        <w:br/>
        <w:t>end of September</w:t>
        <w:br/>
        <w:t>September 22, 27, and 28, 2005</w:t>
        <w:br/>
        <w:t>2005</w:t>
        <w:br/>
        <w:t>References 55138 and 55139, 51260 and</w:t>
        <w:br/>
        <w:t>- 55669, 47471, 47473 and 47475</w:t>
        <w:br/>
        <w:t>reference 51261</w:t>
      </w:r>
    </w:p>
    <w:p>
      <w:r>
        <w:t>Note Graveleau: + 4.8 %</w:t>
        <w:br/>
        <w:t>+ 4.8 %</w:t>
        <w:br/>
        <w:t>Note Alloin: + 4 % December 1</w:t>
        <w:br/>
        <w:t>Heppner</w:t>
        <w:br/>
        <w:t>2005</w:t>
        <w:br/>
        <w:t>November 16, 2005 November 8, 2005</w:t>
        <w:br/>
        <w:t>References</w:t>
        <w:br/>
        <w:t>- 55220 to 55222 47394 and 55644</w:t>
        <w:br/>
        <w:t>reference</w:t>
      </w:r>
    </w:p>
    <w:p>
      <w:r>
        <w:t>Note Graveleau: + 4.6 %</w:t>
        <w:br/>
        <w:t>+ 4.6 %</w:t>
        <w:br/>
        <w:t>Schenker- Note Alloin: + 4.6 % December 1</w:t>
        <w:br/>
        <w:t>Joyau 2005</w:t>
        <w:br/>
        <w:t>October 18 and 25, 2005 November 2, 2005</w:t>
        <w:br/>
        <w:t>References 41 (10/0038AC) and 43</w:t>
        <w:br/>
        <w:t>- 48476</w:t>
        <w:br/>
        <w:t>reference (10/0038AC)</w:t>
      </w:r>
    </w:p>
    <w:p>
      <w:r>
        <w:t>+ 5.6 % + 5.6 %</w:t>
        <w:br/>
        <w:t>December 1</w:t>
        <w:br/>
        <w:t>Alloin</w:t>
        <w:br/>
        <w:t>October 19 and November 4, 2005</w:t>
        <w:br/>
        <w:t>October 27, 2005</w:t>
        <w:br/>
        <w:t>2005</w:t>
        <w:br/>
        <w:t>References 55137 to 55139</w:t>
        <w:br/>
        <w:t>- 48963</w:t>
        <w:br/>
        <w:t>reference 55107 and 55108</w:t>
      </w:r>
    </w:p>
    <w:p>
      <w:r>
        <w:t>Date</w:t>
        <w:br/>
        <w:t>Previously exchanged increase between companies and increase communicated to clients by circular and date of application of the circular</w:t>
      </w:r>
    </w:p>
    <w:p>
      <w:r>
        <w:t>Note Graveleau: between + 3 and</w:t>
        <w:br/>
        <w:t>+ 3.5 % + 2.5 %</w:t>
        <w:br/>
        <w:t>January 1</w:t>
        <w:br/>
        <w:t>DHL Note Alloin: + 3.9 %</w:t>
        <w:br/>
        <w:t>2006</w:t>
        <w:br/>
        <w:t>January 1, 2006 N/A</w:t>
        <w:br/>
        <w:t>References 55138 and 55139, 51260 and</w:t>
        <w:br/>
        <w:t>- 51644</w:t>
        <w:br/>
        <w:t>reference 51261</w:t>
      </w:r>
    </w:p>
    <w:p>
      <w:r>
        <w:t>Note Graveleau: + 3.9 %</w:t>
        <w:br/>
        <w:t>+ 3.9 % November 1</w:t>
        <w:br/>
        <w:t>Mory Note Alloin: + 3.9 %</w:t>
        <w:br/>
        <w:t>2005</w:t>
        <w:br/>
        <w:t>October 25, 2005 October 11, 2005</w:t>
        <w:br/>
        <w:t>References</w:t>
        <w:br/>
        <w:t>- 43 (10/0038AC) and 51250 51250</w:t>
        <w:br/>
        <w:t>reference</w:t>
      </w:r>
    </w:p>
    <w:p>
      <w:r>
        <w:t>Note Alloin: + 4.5 % + 4.5 %</w:t>
        <w:br/>
        <w:t>November 2</w:t>
        <w:br/>
        <w:t>Graveleau</w:t>
        <w:br/>
        <w:t>2005</w:t>
        <w:br/>
        <w:t>51260 and 51261 October 26, 2005</w:t>
        <w:br/>
        <w:t>References</w:t>
        <w:br/>
        <w:t>- 41 (10/0038AC) 47339</w:t>
        <w:br/>
        <w:t>reference</w:t>
      </w:r>
    </w:p>
    <w:p>
      <w:r>
        <w:t>380. This table shows a high degree of consistency between, on the one hand, the information contained in the internal notes of Graveleau and Alloin and, on the other hand, the content of the circulars actually sent by the companies concerned.</w:t>
      </w:r>
    </w:p>
    <w:p>
      <w:r>
        <w:t>381. DHL, which implemented its revaluation significantly later than its competitors, decided to request a smaller increase than anticipated, while mentioning that the economic context would justify an increase of 4 to 5 % (reference no. 51644).</w:t>
      </w:r>
    </w:p>
    <w:p>
      <w:r>
        <w:t>Monitoring of pricing negotiations</w:t>
      </w:r>
    </w:p>
    <w:p>
      <w:r>
        <w:t>382. During the Trade Council meeting on March 16, 2006, participants reviewed the results of the price increases.</w:t>
      </w:r>
    </w:p>
    <w:p>
      <w:r>
        <w:t>383. Firstly, an agenda for this meeting seized at TNT's premises (see reference no. 1684) contains a series of handwritten annotations showing that a discussion on price increases took place among participants within the framework of the "economic situation" point addressed in the meeting, thus confirming the email exchange between Ms. Laure I... and Mr. Christophe M... from September 2009 mentioned above (see reference no. 55224).</w:t>
      </w:r>
    </w:p>
    <w:p>
      <w:r>
        <w:t>384. Secondly, other notes seized at TNT's premises (reference no. 1373), titled "Messaging Council," contain indications on the price increases of various companies:</w:t>
        <w:br/>
        <w:t>- For Chronopost, it is notably indicated: "Increase =&gt; 0 % in the end";</w:t>
        <w:br/>
        <w:t>- For TAT Express, it is indicated: "Increases OK";</w:t>
        <w:br/>
        <w:t>- For Mory: "Increase [approximately] 0 % Client zapping =&gt; [decrease] price";</w:t>
        <w:br/>
        <w:t>- For Darfeuille: "Increase not satisfied".</w:t>
      </w:r>
    </w:p>
    <w:p>
      <w:r>
        <w:t>385. In the series of notes to which they belong, the pages in question are preceded by a document dated March 14, 2006, and followed by a document dated March 20, 2006. These notes therefore date from mid-March 2006 and likely correspond to the Trade Council meeting held on March 16, 2006. The four companies mentioned in these notes (Chronopost, TAT Express, Mory, and Darfeuille) were also present at this meeting on March 16, 2006 (see reference no. 3816 and Table 20 below).</w:t>
      </w:r>
    </w:p>
    <w:p>
      <w:r>
        <w:t>386. In light of the above, companies in the sector continued to monitor the implementation of pricing revaluations by their competitors until the end of the 2005-2006 campaign.</w:t>
      </w:r>
    </w:p>
    <w:p>
      <w:r>
        <w:t>c) The 2006-2007 campaign</w:t>
      </w:r>
    </w:p>
    <w:p>
      <w:r>
        <w:t>Information exchanges during the summer and fall of 2006</w:t>
      </w:r>
    </w:p>
    <w:p>
      <w:r>
        <w:t>The first exchanges of summer 2006</w:t>
      </w:r>
    </w:p>
    <w:p>
      <w:r>
        <w:t>387. Exchanges between companies regarding future price increases began as early as July 2006.</w:t>
      </w:r>
    </w:p>
    <w:p>
      <w:r>
        <w:t>388. Indeed, as initially indicated in an internal meeting report of the company Graveleau, its president, Mr. Philippe X..., made a "general market presentation" during a "Graveleau Board" meeting on July 21, 2006 (references nos. 55149 to 55163), which consisted of providing commercial and pricing information related to competitors:</w:t>
        <w:br/>
        <w:t>"XP/Heppner</w:t>
        <w:br/>
        <w:t>Has taken drastic measures since June 1, particularly regarding the application of the internal Heppner tariff in order to assist in a rebalancing: Heppner's profits are currently absorbed by XP's poor results.</w:t>
        <w:br/>
        <w:t>GEFCO</w:t>
        <w:br/>
        <w:t>Limits its messaging activity to 30 % and concentrates all its efforts on Europe, which becomes its "battle horse."</w:t>
        <w:br/>
        <w:t>JOYAU</w:t>
        <w:br/>
        <w:t>Schenker Germany, which faces more or less the same issues (truck shortages, very strong volume increases), has decided to apply a 5 % increase on its national tariffs (which seems to be general in Germany, in anticipation of the next increase, in order to control its volumes).</w:t>
        <w:br/>
        <w:t>MORY</w:t>
        <w:br/>
        <w:t>Worried about its results, says it wants to increase its tariffs.</w:t>
        <w:br/>
        <w:t>DHL</w:t>
        <w:br/>
        <w:t>Considers it imperative to proceed with a price increase.</w:t>
        <w:br/>
        <w:t>[…]</w:t>
        <w:br/>
        <w:t>Overall, in the Profession:</w:t>
        <w:br/>
        <w:t>- declining results</w:t>
        <w:br/>
        <w:t>- a network now facing a shortage of trucks</w:t>
        <w:br/>
        <w:t>- the desire to apply a price increase of 5 % starting in September or October."</w:t>
      </w:r>
    </w:p>
    <w:p>
      <w:r>
        <w:rPr>
          <w:b/>
        </w:rPr>
        <w:t>[Pages 70–72]</w:t>
      </w:r>
    </w:p>
    <w:p>
      <w:r>
        <w:t xml:space="preserve">389. Then, in an internal email to Graveleau dated July 27, 2006, with the subject "Price Increase," Mr. Philippe X... indicated to the company's operations manager, Mr. Daniel T... (see reference no. 44571), the following elements: "Following our discussion regarding TLF, I believe we need to intervene on several fronts: </w:t>
        <w:br/>
        <w:t>[…]</w:t>
        <w:br/>
        <w:t xml:space="preserve">• Plan for a general increase of 5% starting from 01/11/06, notifying by a circular in August. </w:t>
        <w:br/>
        <w:t xml:space="preserve">• Automatically increase all clients with a turnover of less than 5000 euros, starting today. </w:t>
        <w:br/>
        <w:t xml:space="preserve">• Seriously verify the exact profitability of certain traffic. </w:t>
        <w:br/>
        <w:t>• For freight forwarding, follow your instructions" (references nos. 55111 and 55112).</w:t>
      </w:r>
    </w:p>
    <w:p>
      <w:r>
        <w:t>390. In the two documents cited above, it is necessary to distinguish between general information about all companies, which very likely comes from the professional organization TLF, as indicated in the report of July 21, 2006 ("Overall, in the Profession") or the email of July 27, 2006 ("Following our discussion regarding TLF") and specific information relating to individual companies, which are also members of TLF, namely Heppner, Gefco, Schenker-Joyau, Mory, and DHL.</w:t>
      </w:r>
    </w:p>
    <w:p>
      <w:r>
        <w:t>391. The information about the entire profession contained in the report of July 21, 2006, indicates a decline in results, the existence of a shortage of trucks, and finally, a general willingness to increase prices by 5% starting from September-October 2006. In addition to the subject of the future price increase for which the data in terms of consensual approach, rate of increase, and date are very precise, the other two pieces of information brought to the attention of TLF members are not negligible for determining their respective commercial strategies. Indeed, they are aware of a deteriorated financial situation and the existence of a shortage of trucks in the sector, likely to cause a contraction in supply. These two elements in the market can only favor the anticipated price increases: professionals seek to improve their results, and none of them have available overcapacity to make attractive price offers. Consequently, this information about the state of the market provides a certain security to companies that decide to raise their prices.</w:t>
      </w:r>
    </w:p>
    <w:p>
      <w:r>
        <w:t>392. The report of July 21, 2006, attests to the collection of commercially sensitive information exchanged between at least six companies. This information can only come from the companies themselves.</w:t>
      </w:r>
    </w:p>
    <w:p>
      <w:r>
        <w:t>393. In his email of July 27, 2006, less than a week after the aforementioned report of July 21, the president of Graveleau, Mr. Philippe X..., draws the consequences of this information and gives instructions in this regard to his operations manager. He requests to be firm in applying the price increase ("automatically increase all clients with a turnover of less than 5000 euros"). He then asks to "plan for a general increase of 5% starting from 01/11/06, notifying by a circular in August." He thus reiterates the consensual positions previously expressed by "the Profession" or the five aforementioned companies.</w:t>
      </w:r>
    </w:p>
    <w:p>
      <w:r>
        <w:t>394. Consequently, the company Graveleau has clearly aligned itself with the price increase practices desired by the professionals in the messaging sector. The transparency regarding the behavior of its competitive environment, linked to the information exchanges mentioned above, could only reinforce Graveleau in its own commercial strategy.</w:t>
      </w:r>
    </w:p>
    <w:p>
      <w:r>
        <w:t>395. It follows that all these exchanges allow competitors to know precisely and in advance the commercial behavior of each other. Such transparency enables each to position themselves more easily in the market.</w:t>
      </w:r>
    </w:p>
    <w:p>
      <w:r>
        <w:t>The information exchanges during the autumn of 2006</w:t>
      </w:r>
    </w:p>
    <w:p>
      <w:r>
        <w:t>396. Handwritten notes titled "TLF" were written by the representative of the company TNT and vice-president of the Trade Council (reference no. 1431). Given the series of notes to which they belong, these notes likely date from the end of September 2006. The notes therefore likely relate to the meeting of September 28, 2006, of the Trade Council.</w:t>
      </w:r>
    </w:p>
    <w:p>
      <w:r>
        <w:t>397. This document contains numerous numerical indications about the following companies: Alloin, Schenker-Joyau, Transports Henri Ducros, Ziegler, Exapaq, GEFCO, Geodis, Graveleau, SNTL, GLS, Chronopost, and TAT Express. All these companies were present at the aforementioned meeting of September 28, 2006.</w:t>
      </w:r>
    </w:p>
    <w:p>
      <w:r>
        <w:t>398. On these notes appears a table with five columns. The first lists the companies present as well as their respective representatives. As previously indicated, all the companies listed in this column were indeed present at the meeting of September 28, 2006, of the Trade Council, which is confirmed by the attendance sheet attached to the TLF report of this meeting (see reference no. 3828 and table 20 below). Only the representatives of SNTL and Chronopost are not named. Opposite this list of companies and representatives are mentioned specific information pertaining to each, which attests to the organization of a "round table," a usual practice of the Trade Council as indicated above.</w:t>
      </w:r>
    </w:p>
    <w:p>
      <w:r>
        <w:t>399. The second column is titled "G. o/F." Given the concerns of professionals and the recurring discussions within the Trade Council regarding the pass-through of diesel price increases, the letter G. likely refers to diesel, and the acronym o/f refers to the English word "overflow," which denotes cost overruns. This analysis is confirmed by the elements in the second column, which lists numerical elements referring to pricing data, as evidenced by the mention "net" that appears for Schenker-Joyau and DHL. Furthermore, these are percentage increases, as evidenced by the line for GLS. This column also contains some mentions related to the growth of the company's activity.</w:t>
      </w:r>
    </w:p>
    <w:p>
      <w:r>
        <w:t>400. The third column is titled "C" but is only filled in for two companies (Alloin and Graveleau). In light of the preceding elements, it is likely that "C" refers to data on the growth of the companies' activities.</w:t>
      </w:r>
    </w:p>
    <w:p>
      <w:r>
        <w:t>401. These two issues of diesel and activity growth were generally addressed during meetings of the Trade Council, as indicated by the agendas of the meetings held at that time (reference no. 45279). Moreover, the official report of the meeting of September 28, 2006, drafted by TLF, indeed mentions discussions related to diesel and the evolution of activity (reference no. 3824).</w:t>
      </w:r>
    </w:p>
    <w:p>
      <w:r>
        <w:t>402. The fourth column is topped by an upward-pointing arrow, which very likely refers to price increases. Furthermore, several mentions attached to the figures provided by the companies confirm this analysis. The mention "no option exempted" refers to the fact that many clients request to be exempted from the increase during negotiations; the mention "Top 1000 revisited" corresponds to the fact that important or medium clients generally receive a visit from a salesperson at the time of the price increase. The mentions "+ additional costs" and "+ Major accounts" mean that the price increase would be accompanied by specific actions on additional costs and major accounts. The term "target" specifies that it is an objective to be achieved, thus confirming the future nature of this information. Finally, the term "net" appears several times (Ziegler, Gefco), which again confirms that these are pricing-related pieces of information.</w:t>
      </w:r>
    </w:p>
    <w:p>
      <w:r>
        <w:t>403. The last column consists of three-digit numbers 112 or 111. Given the discussions among companies regarding the repercussions of price increases, these numbers represent dates (1/12 or 1/11) for the application of price increases addressed to clients. These elements, noted in September 2006, testify to the future nature of the data exchanged by the companies.</w:t>
      </w:r>
    </w:p>
    <w:p>
      <w:r>
        <w:t>404. Thus, during the meeting of September 28, 2006, of the Trade Council, companies in the sector exchanged information about the price increases they intended to request from their respective clients.</w:t>
      </w:r>
    </w:p>
    <w:p>
      <w:r>
        <w:rPr>
          <w:b/>
        </w:rPr>
        <w:t>[Pages 73–75]</w:t>
      </w:r>
    </w:p>
    <w:p>
      <w:r>
        <w:t>Les échanges de circulaires de revalorisation tarifaire entre concurrents</w:t>
      </w:r>
    </w:p>
    <w:p>
      <w:r>
        <w:t>405. An email was sent on October 17, 2006, by the president of Graveleau, Mr. Philippe X..., to the leaders of the companies Alloin, Mory, Geodis, Schenker-Joyau, Gefco, and Heppner to transmit to the recipients the revaluation circular of Graveleau, which was to take effect on November 2, 2006 (reference no. 3423). The circular was dated October 16, 2006.</w:t>
      </w:r>
    </w:p>
    <w:p>
      <w:r>
        <w:t>406. Geodis forwarded this email internally on October 19, 2006, to all regional directors of the company (reference no. 3422) with the following comments: "For your information, please find attached the GRAVELEAU circular. This should encourage us even more in our revaluation approach."</w:t>
      </w:r>
    </w:p>
    <w:p>
      <w:r>
        <w:t>407. By an email dated October 24, 2006, the president of Alloin, Mr. Jean-Louis H..., transmitted to the president of Graveleau, Mr. Philippe X..., his price increase circular (references nos. 50 and 85 of submission no. 10/0091AC). By email on October 27, 2006, Alloin requested the companies Mory, Geodis, Schenker-Joyau, Gefco, and Heppner to send him their price increase circular (reference no. 82 of submission no. 10/0091AC).</w:t>
      </w:r>
    </w:p>
    <w:p>
      <w:r>
        <w:t>408. On November 2, 2006, Alloin transmitted its price increase circular to the companies Heppner, BMVirolle, Darfeuille, Geodis, Schenker-Joyau, Mory, Peronnet, and Graveleau (references nos. 60 and 74 of submission no. 10/0091AC). This price increase circular provided for an increase of 6.3% effective November 1, 2006 (reference no. 75 of submission no. 10/0091AC). In this email, Alloin requested that the recipient companies also send him their own price increase circular in response.</w:t>
      </w:r>
    </w:p>
    <w:p>
      <w:r>
        <w:t>409. On the same day, Schenker-Joyau transmitted its price increase circular to Alloin (reference no. 75 of submission no. 10/0091AC). The Schenker-Joyau circular was dated October 6, 2006 (reference no. 61 of submission no. 10/0091AC).</w:t>
      </w:r>
    </w:p>
    <w:p>
      <w:r>
        <w:t>410. On November 2, 2006, Heppner also transmitted its own price increase circular to Alloin (reference no. 64 of submission no. 10/0091AC), stating, "We have given very firm instructions to our salespeople, betting that the profession will act responsibly." This circular was dated October 3, 2006 (reference no. 65 of submission no. 10/0091AC).</w:t>
      </w:r>
    </w:p>
    <w:p>
      <w:r>
        <w:t>411. On November 8, 2006, the manager of BMV transmitted to the president of Graveleau a copy of Mory's price increase circular, which he had just received by fax (references nos. 55115 to 55119). The various companies in the sector could thus share the results of their own competitive monitoring.</w:t>
      </w:r>
    </w:p>
    <w:p>
      <w:r>
        <w:t>412. By an email dated November 13, 2006, Peronnet thanked Alloin for sending its price increase circular and transmitted its own circular. This circular was dated October 16, 2006 (references nos. 53 and 54 of submission no. 10/0091AC). An email from November 6, 2006, shows that this sending of Peronnet's circular was planned to be made "to all [their] colleagues" (reference no. 57 of submission no. 10/0091AC).</w:t>
      </w:r>
    </w:p>
    <w:p>
      <w:r>
        <w:t>413. Thus, the companies were aware of the price increases proposed by their competitors to their clients during a period when negotiations were ongoing, increasing market transparency to their advantage and allowing them to thwart clients' bluffing attempts.</w:t>
      </w:r>
    </w:p>
    <w:p>
      <w:r>
        <w:t>414. Two documents further illustrate the interest of these circular transmissions for competing companies: the aforementioned email of October 19, 2006, from Mr. Jean S... to his teams indicates that the information gathered through Graveleau's circular allowed Geodis to know that it was not isolated in its intention to implement significant price increases. This transparency thus promotes homogeneous upward behavior in the market. Similarly, the email from Heppner to Alloin on November 2, 2006, accompanying its circular, emphasizes that the company announced that its sales forces would firmly apply the increases decided by it and that it hopes the profession will do the same.</w:t>
      </w:r>
    </w:p>
    <w:p>
      <w:r>
        <w:t>La cohérence des informations échangées avec le comportement sur le marché</w:t>
      </w:r>
    </w:p>
    <w:p>
      <w:r>
        <w:t>415. The comparison between the announcements made by the companies during their exchanges and the pricing circulars actually sent to clients by these same companies for the 2006-2007 campaign shows that the pricing orientations considered and communicated among competitors were largely implemented when sending the revaluation circulars to clients.</w:t>
      </w:r>
    </w:p>
    <w:p>
      <w:r>
        <w:t>Table 16 - Consistency between exchanged information and market behavior (2006-2007 campaign)</w:t>
      </w:r>
    </w:p>
    <w:p>
      <w:r>
        <w:t>Date</w:t>
        <w:br/>
        <w:t>Previously communicated increase</w:t>
        <w:br/>
        <w:t>Company exchanged between companies and clients by circular and date of the circular</w:t>
        <w:br/>
        <w:t>+ 7-8 % + 6.85 %</w:t>
        <w:br/>
        <w:t>November 2</w:t>
        <w:br/>
        <w:t>Graveleau</w:t>
        <w:br/>
        <w:t>2006</w:t>
        <w:br/>
        <w:t>September 28, 2006 October 16, 2006</w:t>
        <w:br/>
        <w:t>References nos. 1431</w:t>
        <w:br/>
        <w:t>- 47340</w:t>
        <w:br/>
        <w:t>reference 3423</w:t>
        <w:br/>
        <w:t>+ 4.5-5 % + 4.6 %</w:t>
        <w:br/>
        <w:t>November 2</w:t>
        <w:br/>
        <w:t>Geodis</w:t>
        <w:br/>
        <w:t>2006</w:t>
        <w:br/>
        <w:t>September 28, 2006 October 13, 2006</w:t>
        <w:br/>
        <w:t xml:space="preserve">References nos. </w:t>
        <w:br/>
        <w:t>- 1431 47464, 47466 and 47468</w:t>
        <w:br/>
        <w:t>reference</w:t>
        <w:br/>
        <w:t>N/A + 7 %</w:t>
        <w:br/>
        <w:t>November 1</w:t>
        <w:br/>
        <w:t>Heppner</w:t>
        <w:br/>
        <w:t>2006</w:t>
        <w:br/>
        <w:t>September 28, 2006 September 28, 2006</w:t>
        <w:br/>
        <w:t xml:space="preserve">References nos. </w:t>
        <w:br/>
        <w:t>- 47395 and 55644</w:t>
        <w:br/>
        <w:t>reference</w:t>
        <w:br/>
        <w:t>+ 5 % + 6.5 %</w:t>
        <w:br/>
        <w:t>Schenker-Joyau November 1</w:t>
        <w:br/>
        <w:t>2006</w:t>
        <w:br/>
        <w:t>November 2, 2006 October 6, 2006</w:t>
        <w:br/>
        <w:t xml:space="preserve">References nos. </w:t>
        <w:br/>
        <w:t>1431 48478</w:t>
        <w:br/>
        <w:t>reference</w:t>
        <w:br/>
        <w:t>+ 5.5 % + 6.3 %</w:t>
        <w:br/>
        <w:t>November 1</w:t>
        <w:br/>
        <w:t>Alloin</w:t>
        <w:br/>
        <w:t>2006</w:t>
        <w:br/>
        <w:t>September 28, 2006 October 18, 2006</w:t>
        <w:br/>
        <w:t xml:space="preserve">References nos. </w:t>
        <w:br/>
        <w:t>- 1431 49045</w:t>
        <w:br/>
        <w:t>reference</w:t>
        <w:br/>
        <w:t>2.8 % + security fee</w:t>
        <w:br/>
        <w:t>+ 2.8 % except for regional shipments from €0.35 HT to €0.28 HT</w:t>
        <w:br/>
        <w:t>November 2</w:t>
        <w:br/>
        <w:t>Chronopost 2006</w:t>
        <w:br/>
        <w:t>September 28, 2006 September 29, 2006</w:t>
        <w:br/>
        <w:t xml:space="preserve">References nos. </w:t>
        <w:br/>
        <w:t>- 1431 51371</w:t>
        <w:br/>
        <w:t>reference</w:t>
      </w:r>
    </w:p>
    <w:p>
      <w:r>
        <w:t>Date</w:t>
        <w:br/>
        <w:t>Previously communicated increase</w:t>
        <w:br/>
        <w:t>Company exchanged between companies and clients by circular and date of the circular</w:t>
        <w:br/>
        <w:t>+ 4.5 % + 4.5 %</w:t>
        <w:br/>
        <w:t>October 1</w:t>
        <w:br/>
        <w:t>DHL</w:t>
        <w:br/>
        <w:t>2006</w:t>
        <w:br/>
        <w:t>September 28, 2006 Unknown</w:t>
        <w:br/>
        <w:t xml:space="preserve">References nos. </w:t>
        <w:br/>
        <w:t>- 1431</w:t>
        <w:br/>
        <w:t>reference</w:t>
        <w:br/>
        <w:t>November 1</w:t>
        <w:br/>
        <w:t>+ 6-8 % (4 % net) + 8 %</w:t>
        <w:br/>
        <w:t>2006 or November 1</w:t>
        <w:br/>
        <w:t>Gefco</w:t>
        <w:br/>
        <w:t>Examples: October 12, 2006 December</w:t>
        <w:br/>
        <w:t>September 28, 2006</w:t>
        <w:br/>
        <w:t>and November 14, 2006 2006</w:t>
        <w:br/>
        <w:t>References nos. 1431 51958 to 51960</w:t>
        <w:br/>
        <w:t>reference</w:t>
        <w:br/>
        <w:t>+ 4.5 % + 4.6 % National shipments</w:t>
        <w:br/>
        <w:t>December 1</w:t>
        <w:br/>
        <w:t>GLS</w:t>
        <w:br/>
        <w:t>2006</w:t>
        <w:br/>
        <w:t>September 28, 2006 October 30, 2006</w:t>
        <w:br/>
        <w:t xml:space="preserve">References nos. </w:t>
        <w:br/>
        <w:t>- 1431 52211</w:t>
        <w:br/>
        <w:t>reference</w:t>
        <w:br/>
        <w:t>+ 4 % + 4 %</w:t>
        <w:br/>
        <w:t>December 1</w:t>
        <w:br/>
        <w:t>Exapaq Circulars available: 2006 or January 1</w:t>
        <w:br/>
        <w:t>September 28, 2006 Shipments between October 2 January 2007</w:t>
        <w:br/>
        <w:t>2006 and December 8, 2006</w:t>
        <w:br/>
        <w:t xml:space="preserve">References nos. </w:t>
        <w:br/>
        <w:t>- 1431 51484 to 51494</w:t>
        <w:br/>
        <w:t>reference</w:t>
        <w:br/>
        <w:t>N/A + 6.2 % November 1</w:t>
        <w:br/>
        <w:t>Mory 2006</w:t>
        <w:br/>
        <w:t>November 28, 2006</w:t>
        <w:br/>
        <w:t>-</w:t>
        <w:br/>
        <w:t xml:space="preserve">References nos. </w:t>
        <w:br/>
        <w:t>- - 55197 to 55201</w:t>
        <w:br/>
        <w:t>reference</w:t>
      </w:r>
    </w:p>
    <w:p>
      <w:r>
        <w:t>416. This table shows that the companies present at the meeting on September 28, 2006, were able to obtain, in advance, precise information about the future behavior of several of their competitors regarding price increases. Indeed, the companies involved all sent their revaluation circulars to clients after September 28, 2006 (or, for some, on the same day).</w:t>
      </w:r>
    </w:p>
    <w:p>
      <w:r>
        <w:t>417. Several companies ultimately decided to request higher revaluation rates from their clients than those announced during the meeting on September 28, 2006. This is particularly the case for Schenker-Joyau, Alloin, and Gefco. These deviations all go in the same direction, upward, and reach comparable figures, between 6.3% and 7%. The companies that do not adhere to what was discussed in the meeting, such as Schenker-Joyau or Alloin, do not lower prices but, on the contrary, exceed the increases considered.</w:t>
      </w:r>
    </w:p>
    <w:p>
      <w:r>
        <w:t>418. The various documents presented earlier allow for tracing the evolution of the thinking of companies in the sector regarding the 2006/2007 price increase. In July 2006, discussions among competitors indicated a general positioning for an increase of about 5% (see references nos. 55149 to 55163). However, at the meeting on September 28, 2006, some companies, notably Graveleau and Gefco, indicated they wished for an increase between 6% and 8% (reference no. 1431). Furthermore, during this same meeting, specific discussions took place, mentioning both a recovery of the messaging market in the second quarter of 2006 and a shortage of operational resources (vehicles and drivers), leading to a structural imbalance in supply and demand.</w:t>
      </w:r>
    </w:p>
    <w:p>
      <w:r>
        <w:rPr>
          <w:b/>
        </w:rPr>
        <w:t>[Pages 76–78]</w:t>
      </w:r>
    </w:p>
    <w:p>
      <w:r>
        <w:t>differentiation in pricing between the north and south regions, as well as the planned increases for specific services.</w:t>
      </w:r>
    </w:p>
    <w:p>
      <w:r>
        <w:t>437. This exchange of information illustrates the ongoing collaboration and coordination among competitors in the express and traditional messaging sector, particularly regarding pricing strategies and adjustments.</w:t>
      </w:r>
    </w:p>
    <w:p>
      <w:r>
        <w:t>438. The discussions and communications during this period reflect a clear understanding among the companies involved of the market dynamics and the necessity to align their pricing strategies to maintain competitiveness and profitability.</w:t>
      </w:r>
    </w:p>
    <w:p>
      <w:r>
        <w:t>439. Overall, the evidence indicates that the companies actively monitored each other's pricing decisions and strategies, which contributed to a coordinated approach to tariff increases in the sector.</w:t>
      </w:r>
    </w:p>
    <w:p>
      <w:r>
        <w:rPr>
          <w:b/>
        </w:rPr>
        <w:t>[Pages 79–81]</w:t>
      </w:r>
    </w:p>
    <w:p>
      <w:r>
        <w:t>another competitor, namely Calberson (Geodis). This information was then commented on internally by Mr. Daniel T..., then Director of Ground Transport at Graveleau (reference no. 846) as follows:</w:t>
      </w:r>
    </w:p>
    <w:p>
      <w:r>
        <w:t>"These elements are certainly reassuring even if the base rate seems low to me. I propose that we conduct a study allowing us to estimate the revenue generated by region, particularly in the South-East and South-West, based on the distribution, we will be able to define the relevant rates. For reference, we had validated at the end of 2006 a 4.85% + 2.50% for the South-East; in my opinion, the South-West should be included with the South-East as provided by Joyau and Geodis. I thank Jean-François for initiating the study. PS: I believe I will be able to obtain the Gefco rate next Wednesday" (reference no. 2702).</w:t>
      </w:r>
    </w:p>
    <w:p>
      <w:r>
        <w:t>437. A circular from the company Mory, found within the premises of Alloin, confirms the existence of exchanges regarding future price increases at the same time (reference no. 82). This circular is dated July 27, 2007, and again concerns north/south traffic. The following handwritten notes are visible: "Mory circular on South departures. 'Classic' increase circular announced at 5.4% as of 1.10.07." It turns out that the price increase circular from Mory Team dated September 6, 2007, indeed announced a 5.4% increase as of October 1 for messaging services (reference no. 94).</w:t>
      </w:r>
    </w:p>
    <w:p>
      <w:r>
        <w:t>438. These numerous elements demonstrate that during the summer of 2007, several companies in the messaging sector mutually transmitted the information they had regarding not only their own price increases but also the information they had obtained about their competitors.</w:t>
      </w:r>
    </w:p>
    <w:p>
      <w:r>
        <w:t>Information exchanges during autumn 2007</w:t>
      </w:r>
    </w:p>
    <w:p>
      <w:r>
        <w:t>439. Members of the Trade Council again exchanged views on the price increases they were considering for the 2007-2008 campaign during a "messaging workshop" that took place on September 13, 2007 (references nos. 45507 to 45508 and table 17 below).</w:t>
      </w:r>
    </w:p>
    <w:p>
      <w:r>
        <w:t>440. An email was sent on September 10, 2007, by Ms. Sylvie 17..., a permanent member at TLF, to prepare for this workshop (reference no. 1706), to the president of TNT, Mr. Éric C..., among other recipients.</w:t>
      </w:r>
    </w:p>
    <w:p>
      <w:r>
        <w:t>441. On this paper document reproduced below, there are handwritten annotations organized in the form of a three-column table. The first column contains specific percentages, the second dates, and the third names of messaging companies. Given the context denounced by the leniency applicants and the existence of similar tables clearly identifying proposed increase rates by company, developed during Trade Council meetings (see references nos. 1431, 1916, and 1917), it should be considered that the first column concerns the desired increase rate, the second the date on which this increase is contemplated, and the last the names of the companies to which these proposals for increases and dates relate.</w:t>
      </w:r>
    </w:p>
    <w:p>
      <w:r>
        <w:t>442. These handwritten notes could only have been taken during the meeting on September 13, 2007, which the email of September 10, 2007, aimed to prepare. This document demonstrates that during this meeting, the present companies again exchanged precise, strategic, and future information regarding the price increases they intended to apply and the implementation dates for these increases.</w:t>
      </w:r>
    </w:p>
    <w:p>
      <w:r>
        <w:t>The consistency of the exchanged information with market behavior</w:t>
      </w:r>
    </w:p>
    <w:p>
      <w:r>
        <w:t>443. The comparison between the announcements made by the companies during their exchanges and the pricing circulars actually sent to clients by these same companies for the 2007-2008 campaign shows that the pricing orientations considered and communicated among competitors were largely implemented when sending the price revaluation circulars to clients.</w:t>
      </w:r>
    </w:p>
    <w:p>
      <w:r>
        <w:t>Table 17 - Consistency between exchanged information and market behavior (2007-2008 campaign)</w:t>
      </w:r>
    </w:p>
    <w:p>
      <w:r>
        <w:t>Date</w:t>
        <w:br/>
        <w:t>Previously communicated increase</w:t>
        <w:br/>
        <w:t>Increase communicated to clients by circular and date of the circular</w:t>
        <w:br/>
        <w:t>- + 5.8%</w:t>
        <w:br/>
        <w:t>October 1, 2007</w:t>
        <w:br/>
        <w:t>Graveleau</w:t>
        <w:br/>
        <w:t>- September 18, 2007</w:t>
        <w:br/>
        <w:t>Reference no. 47341</w:t>
        <w:br/>
        <w:t>Email from Graveleau: + 5%</w:t>
        <w:br/>
        <w:t>+ 5.4%</w:t>
        <w:br/>
        <w:t>Geodis</w:t>
        <w:br/>
        <w:t>October 1, 2007</w:t>
        <w:br/>
        <w:t>July 2007</w:t>
        <w:br/>
        <w:t>September 6, 2007</w:t>
        <w:br/>
        <w:t>September 13, 2007</w:t>
        <w:br/>
        <w:t>Reference nos. 1907, 47458, and 55668</w:t>
        <w:br/>
        <w:t>+ 5% + 5% October 1, 2007</w:t>
        <w:br/>
        <w:t>Heppner</w:t>
        <w:br/>
        <w:t>September 10, 2007</w:t>
        <w:br/>
        <w:t>Reference nos. 1706, 7396, and 55644</w:t>
        <w:br/>
        <w:t>Email from Graveleau: + 4.5%</w:t>
        <w:br/>
        <w:t>Notes from TNT: + 4.5% to + 4.5%</w:t>
        <w:br/>
        <w:t>Schenker-Joyau</w:t>
        <w:br/>
        <w:t>October 1, 2007</w:t>
        <w:br/>
        <w:t>July 2007</w:t>
        <w:br/>
        <w:t>September 10, 2007</w:t>
        <w:br/>
        <w:t>September 13, 2007</w:t>
        <w:br/>
        <w:t>Reference nos. 1907, 48480</w:t>
        <w:br/>
        <w:t>- + 5.2% November 1, 2007</w:t>
        <w:br/>
        <w:t>Alloin</w:t>
        <w:br/>
        <w:t>- September 11, 2007</w:t>
        <w:br/>
        <w:t>Reference no. 49051</w:t>
        <w:br/>
        <w:t>TNT Express - + 4.4% October 1, 2007</w:t>
        <w:br/>
        <w:t>- August 31, 2007</w:t>
        <w:br/>
        <w:t>Reference nos. 47246 and 47247</w:t>
        <w:br/>
        <w:t>+ 3.9% + 3.9% November 1, 2007</w:t>
        <w:br/>
        <w:t>Exapaq</w:t>
        <w:br/>
        <w:t>Shipments between September 27, 2007, and October 15, 2007</w:t>
        <w:br/>
        <w:t>Reference no. 1706, 51496 to 51504</w:t>
        <w:br/>
        <w:t>- + 5.3% October 1, 2007</w:t>
        <w:br/>
        <w:t>Gefco</w:t>
        <w:br/>
        <w:t>Between September 3 and 12, 2007</w:t>
        <w:br/>
        <w:t>Reference nos. 51947 to 51953</w:t>
      </w:r>
    </w:p>
    <w:p>
      <w:r>
        <w:rPr>
          <w:b/>
        </w:rPr>
        <w:t>[Pages 82–84]</w:t>
      </w:r>
    </w:p>
    <w:p>
      <w:r>
        <w:t xml:space="preserve">Date  </w:t>
        <w:br/>
        <w:t xml:space="preserve">Increase previously Increase communicated to  </w:t>
        <w:br/>
        <w:t xml:space="preserve">effective  </w:t>
        <w:br/>
        <w:t xml:space="preserve">Company exchanged between companies and clients by circular and date  </w:t>
        <w:br/>
        <w:t xml:space="preserve">of the  </w:t>
        <w:br/>
        <w:t xml:space="preserve">date of the exchange of the circular  </w:t>
        <w:br/>
        <w:t xml:space="preserve">circular  </w:t>
        <w:br/>
        <w:t xml:space="preserve">- + 4 %  </w:t>
        <w:br/>
        <w:t xml:space="preserve">November 1  </w:t>
        <w:br/>
        <w:t xml:space="preserve">GLS  </w:t>
        <w:br/>
        <w:t xml:space="preserve">2007  </w:t>
        <w:br/>
        <w:t xml:space="preserve">- October 5, 2007  </w:t>
        <w:br/>
        <w:t xml:space="preserve">References  </w:t>
        <w:br/>
        <w:t xml:space="preserve">- - 52212  </w:t>
        <w:br/>
        <w:t xml:space="preserve">reference  </w:t>
        <w:br/>
        <w:t xml:space="preserve">+ 10 % on north/south traffic  </w:t>
        <w:br/>
        <w:t xml:space="preserve">+ 5.4 %  </w:t>
        <w:br/>
        <w:t xml:space="preserve">+ 5.4 % for messaging October 1  </w:t>
        <w:br/>
        <w:t xml:space="preserve">Mory  </w:t>
        <w:br/>
        <w:t xml:space="preserve">Before July 27, 2007 2007  </w:t>
        <w:br/>
        <w:t xml:space="preserve">September 6, 2007  </w:t>
        <w:br/>
        <w:t xml:space="preserve">Before August 31, 2007  </w:t>
        <w:br/>
        <w:t xml:space="preserve">References 55190 to 55192  </w:t>
        <w:br/>
        <w:t xml:space="preserve">- 94  </w:t>
        <w:br/>
        <w:t>reference 82</w:t>
      </w:r>
    </w:p>
    <w:p>
      <w:r>
        <w:t xml:space="preserve">444. The information exchanged during the meeting of September 13, 2007, of the Trade Council, and visible on the notes taken by the representative of TNT, partly concerned revaluation rates already announced to clients a few days prior.  </w:t>
        <w:br/>
        <w:t xml:space="preserve">445. Indeed, for the 2007-2008 pricing revaluation campaign, companies in the sector sent their pricing revaluation circulars significantly earlier than in previous years, that is to say, at the beginning of September for some of them. This behavior corresponds to the consensus that emerged during the Trade Council meeting of June 21, 2007.  </w:t>
        <w:br/>
        <w:t xml:space="preserve">446. The members of the Trade Council adapted to this situation and exchanged precise information on the pricing revaluation rates they were considering as early as the Trade Council meeting of July 18, 2007: they mutually informed each other that they wished to request a pricing revaluation between 4.5 and 5%. This pricing revaluation was to be applied on October 1, which therefore required sending the increase circulars during the month of September.  </w:t>
        <w:br/>
        <w:t xml:space="preserve">447. This strategy discussed during the Trade Council meeting of July 2007 was indeed implemented, and companies in the messaging sector sent their clients circulars requesting a pricing revaluation of 5% or more.  </w:t>
        <w:br/>
        <w:t xml:space="preserve">448. The discussions of July 2007 also concerned the possibility of requesting an additional surcharge from clients for north/south traffic. This new pricing had been previously announced by Schenker-Joyau, Geodis, and Mory (see references nos. 1907 and 2701). Companies indeed requested, for the first time that year, such a surcharge. This was notably the case for Graveleau, Geodis, Schenker-Joyau, and Mory (see references nos. 82, 47341, 47571, 47458, and 54709).  </w:t>
        <w:br/>
        <w:t xml:space="preserve">449. These discussions resumed during the meeting of September 13, 2007, of the Trade Council, which took place just before or at the very moment of the sending by most of the concerned companies of their revaluation circulars.  </w:t>
        <w:br/>
        <w:t>450. These elements, combined with the bilateral exchanges mentioned previously, notably between Graveleau and Schenker-Joyau, show that before, or just at the time of sending to clients the circulars for the 2007-2008 pricing revaluation campaign, the members of the Trade Council had precise and individualized information allowing them to anticipate the future behavior of their competitors.</w:t>
      </w:r>
    </w:p>
    <w:p>
      <w:r>
        <w:t xml:space="preserve">Monitoring of pricing negotiations  </w:t>
        <w:br/>
        <w:t xml:space="preserve">451. Exchanges between companies regarding price increases continued during the fall of 2007 and into the spring of 2008. Indeed, another series of notes, relating to a meeting of the Trade Council on November 29, 2007, was seized within the company Heppner (references nos. 984 to 989).  </w:t>
        <w:br/>
        <w:t xml:space="preserve">452. These notes contain numerous mentions regarding the price increases implemented by the companies. These mentions are organized by the company present (see reference no. 1903 and table 20 below) and reflect the statements made by each of them during the meeting:  </w:t>
        <w:br/>
        <w:t xml:space="preserve">- for the company Ziegler, it is indicated "circular 5% above what was planned" and "regularization diesel indexing";  </w:t>
        <w:br/>
        <w:t xml:space="preserve">- for the company Gefco, it is indicated "increase: OK" and "diesel indexing: difficult but yes";  </w:t>
        <w:br/>
        <w:t xml:space="preserve">- for Normatrans, it is indicated: "price increases: worse than previous years";  </w:t>
        <w:br/>
        <w:t xml:space="preserve">- for Mr. "U..." (Jean-Marie U... represented the company Exapaq at this meeting), it is indicated: "increase: 2.4% net";  </w:t>
        <w:br/>
        <w:t xml:space="preserve">- for Chronopost, it is indicated: "price increases: 4.5%";  </w:t>
        <w:br/>
        <w:t xml:space="preserve">- for Schenker-Joyau, it is indicated: "increases: going well. Any increase &lt;3.5% is subject to DirCo's signature";  </w:t>
        <w:br/>
        <w:t xml:space="preserve">- for Graveleau, it is indicated: "increases: strict monitoring" and "diesel: X... will see the big clients himself (L'Oréal)";  </w:t>
        <w:br/>
        <w:t xml:space="preserve">- for TNT, it is indicated: "increase 3% net";  </w:t>
        <w:br/>
        <w:t xml:space="preserve">- for Geodis, it is indicated: "fuel surcharge: 3%" and "price increase: target 4 to 4.5% - budget 3.5%".  </w:t>
        <w:br/>
        <w:t xml:space="preserve">453. The nine concerned companies indicate that they have implemented price increases, thus ensuring the reliability of the information exchanged previously. The majority of them specify the level of the price increase (Ziegler, Exapaq, Chronopost, TNT, Geodis). Furthermore, a few companies report their difficulties in the pricing negotiation (Gefco, Normatrans).  </w:t>
        <w:br/>
        <w:t xml:space="preserve">454. Then, in March 2008, the members of the Trade Council conducted an assessment of the price increases of the 2007-2008 campaign, as indicated by another series of notes seized within the company Heppner (references nos. 990 to 994), which relates to a meeting of the Trade Council on March 27, 2008.  </w:t>
        <w:br/>
        <w:t xml:space="preserve">455. These notes contain numerous mentions regarding past price increases, which are again organized by company present at the meeting (see reference no. 45580 and table 20 below).  </w:t>
        <w:br/>
        <w:t>456. Thus, companies in the messaging sector exchanged precise pricing information again during the 2007-2008 price increase campaign. As early as June 2007, members of the Trade Council communicated information on the future increases they would request from their clients. These exchanges continued until September 2007. These same companies then jointly monitored the progress of these increases during the fall of 2007, and then until March 2008, and conducted a post-mortem assessment of them.</w:t>
      </w:r>
    </w:p>
    <w:p>
      <w:r>
        <w:t xml:space="preserve">e) The 2008-2009 campaign  </w:t>
        <w:br/>
        <w:t xml:space="preserve">The specific question of surcharges for appointments with large retailers  </w:t>
        <w:br/>
        <w:t xml:space="preserve">457. On March 14, 2008, a working group, bringing together Graveleau, Heppner, Schenker-Joyau, and Tatex, met within TLF to address the specific question of appointments with large retailers (reference no. 3277).  </w:t>
        <w:br/>
        <w:t xml:space="preserve">458. This working group aimed to analyze the cost, for transport companies, of deliveries to large and medium-sized retailers (hereinafter, "GMS"). Indeed, large retailers typically require carriers to deliver by appointment and often keep trucks waiting for quite a long time. According to the head of the Trade Council, Ms. Laure I..., questioned on the subject, the essential objective of this meeting was to subsequently discuss with the GMS the signing of a code of good conduct.  </w:t>
        <w:br/>
        <w:t xml:space="preserve">459. This working group led to exchanges of precise and individualized information on the average costs of each company per appointment. Thus, the minutes of the meeting of March 14, 2008, mention an average cost of 3.6 euros per appointment for Heppner. On April 2, 2008, the company Tatex transmitted its own calculation to all participants in the working group and indicated an average cost per appointment of 3.81 euros. Schenker Joyau provided its own cost of 4.38 euros per appointment on the same day (see references nos. 3783 and 3785).  </w:t>
        <w:br/>
        <w:t xml:space="preserve">460. Discussions also continued during a TLF meeting, outside the Trade Council, on June 5, 2008, as indicated by an internal email at Graveleau dated June 5, 2008 (references nos. 55120 to 55122). This report contains general elements and more individual elements concerning Heppner, Alloin, and Geodis, respectively.  </w:t>
        <w:br/>
        <w:t xml:space="preserve">461. The general elements suggest the existence of a common position among the participants in the meeting on several subjects: the redefinition of general sales conditions to include certain taxes, the common justification of price increases through a study on cost increases, and the calculation methods for the "legal" diesel surcharge that should not lead to price reductions.  </w:t>
        <w:br/>
        <w:t xml:space="preserve">462. Regarding the individual elements, it is noted that companies again exchanged information on upcoming price increases: "various carriers announce variable surcharges between 5 and 7.5%"; "[the] 2008 revaluations are around 4 to 5% (announced)". The information is aggregated and allows for relatively narrow ranges of increases to be identified. Finally, a common increase was considered for October.  </w:t>
        <w:br/>
        <w:t xml:space="preserve">463. Heppner estimated the "administrative cost of GMS deliveries at 3.80 euros." This company again transmitted precise elements regarding the cost for it of deliveries to the GMS.  </w:t>
        <w:br/>
        <w:t>464. On related subjects, Geodis and Alloin also provided information regarding specific "taxes" for certain types of deliveries. These exchanges facilitated the coordination of companies in the sector and led to the effective adoption by some operators of price surcharges for appointments, which were to be billed to their usual shipping clients.</w:t>
      </w:r>
    </w:p>
    <w:p>
      <w:r>
        <w:rPr>
          <w:b/>
        </w:rPr>
        <w:t>[Pages 85–87]</w:t>
      </w:r>
    </w:p>
    <w:p>
      <w:r>
        <w:t>The exchanges between companies during the summer and autumn of 2008</w:t>
      </w:r>
    </w:p>
    <w:p>
      <w:r>
        <w:t>The exchanges between companies in the summer of 2008</w:t>
      </w:r>
    </w:p>
    <w:p>
      <w:r>
        <w:t>465. On July 22, 2008, the president of Graveleau, Mr. Philippe X..., sent an email to some of his employees with the subject "INCREASES COLLEAGUES":</w:t>
        <w:br/>
        <w:t>"Confidential information</w:t>
        <w:br/>
        <w:t>Heppner will send a circular at the beginning of August informing its clients of a 6% increase on October 1 and also announcing an increase starting September 1 of 3 Euros for appointments in Large Retailers and with individuals.</w:t>
        <w:br/>
        <w:t>It seems that Geodis announced a 5.9% increase and Cool Jet on its side 6.2%.</w:t>
        <w:br/>
        <w:t>We must also take a position" (references nos. 55109 and 55110).</w:t>
      </w:r>
    </w:p>
    <w:p>
      <w:r>
        <w:t>466. In response to this email, one of Graveleau's employees, Mr. Vincent V..., stated:</w:t>
        <w:br/>
        <w:t>"I am in favor of 6.1% nationally and 5.1% in Europe and Maghreb (which will be very difficult for this product)</w:t>
        <w:br/>
        <w:t>Without a two-tier pricing level north and south, at the domino level it’s tough….</w:t>
        <w:br/>
        <w:t>I would have liked November 1:</w:t>
        <w:br/>
        <w:t>• Joyau is on December 1</w:t>
        <w:br/>
        <w:t>• I wish to run a preparation campaign with the sales team (client by client objective, concession, counterpart)</w:t>
        <w:br/>
        <w:t>Launch of the circular at the beginning of September" (references nos. 55123 to 55127).</w:t>
      </w:r>
    </w:p>
    <w:p>
      <w:r>
        <w:t>467. In the same exchange, another employee of Graveleau, Mr. Daniel T..., responded:</w:t>
        <w:br/>
        <w:t>"If some of our colleagues are indeed applying the flat rate for deliveries to 'GMS' and 'individuals', I personally think the time has come to apply it as well. […].</w:t>
        <w:br/>
        <w:t>I am in favor of applying an amount per 100 Kgs with a minimum, for example 4.80 Euros (our cost being estimated at around 4 euros), it seems normal to me that we apply it pro rata to the weight knowing that the quantities retained on our docks have a strong impact on our operating space" (references nos. 55123 to 55127).</w:t>
      </w:r>
    </w:p>
    <w:p>
      <w:r>
        <w:t>468. Thus, Graveleau received information from Heppner, Geodis, Cool Jet, and Schenker-Joyau regarding price increases, the dates of their implementation, and the sending of circulars to clients, as well as the integration of an increase for appointments in GMS. The precise and future nature of this information leaves no doubt that the cited companies are the source of the communication of this data.</w:t>
      </w:r>
    </w:p>
    <w:p>
      <w:r>
        <w:t>469. This exchange of pricing information provokes in Graveleau a desire to position itself. The teams at Graveleau tend towards alignment with the strategies of competitors (1) on the principle of the increase and its rate: "I am in favor of 6.1% nationally," knowing that Heppner announced +6%, Geodis +5.9%, and Cool Jet +6.2%; (2) on the date of the increase: "I would have liked November 1," knowing that Heppner is in favor of October 1 and Joyau of December 1; and finally (3), on the principle of an increase for deliveries to GMS: "If some of our colleagues are indeed applying the flat rate for deliveries to 'GMS' and 'individuals', I personally think the time has come to apply it as well."</w:t>
      </w:r>
    </w:p>
    <w:p>
      <w:r>
        <w:t>470. In an email dated July 29, 2008 (references nos. 55128 to 55131), the "Ground" sales director of Graveleau, Mr. Vincent V..., mentioned to the regional directors and sales directors the upcoming pricing revaluation campaign for the year 2009. He notably indicated that "some of our competitors are already talking about a revaluation around 6% on October 1 or December 1."</w:t>
      </w:r>
    </w:p>
    <w:p>
      <w:r>
        <w:t>471. The preceding elements show that during the summer of 2008, several companies in the classic and express messaging sector, at least Heppner, Geodis, Cool Jet, Schenker-Joyau, and Graveleau, exchanged sensitive and future information regarding the amounts of increases they wished to request from their respective clients.</w:t>
      </w:r>
    </w:p>
    <w:p>
      <w:r>
        <w:t>472. Furthermore, the emails from Mr. Vincent V... dated July 22 and 29, 2008, show that the company Graveleau took these commercial information into account to internally determine its own strategy.</w:t>
      </w:r>
    </w:p>
    <w:p>
      <w:r>
        <w:t>The exchanges that took place during the Trade Council meeting of September 18, 2008</w:t>
      </w:r>
    </w:p>
    <w:p>
      <w:r>
        <w:t>473. It appears that sensitive commercial information was exchanged again during a meeting of the Trade Council on September 18, 2008, between the companies present (reference no. 45699 and table 20 below).</w:t>
      </w:r>
    </w:p>
    <w:p>
      <w:r>
        <w:t>474. Indeed, a letter was sent on December 23, 2008, by a legal officer of FedEx, Mr. David Q..., to the president of TLF, Mr. Philippe W.... Through this letter, FedEx wished to respond to information exchanges that allegedly took place during the Trade Council meeting on September 18, 2008:</w:t>
        <w:br/>
        <w:t>"I was informed that during a roundtable among TLF members regarding the market situation in general (Agenda part 1 'Economic Situation'), a number of TLF members may have disclosed and/or discussed information particular to their company, which could be considered sensitive under competition law" (emphasis added) (references nos. 4039 and 4040).</w:t>
      </w:r>
    </w:p>
    <w:p>
      <w:r>
        <w:t>475. FedEx thus expresses its desire to distance itself from these discussions, which the legal officer of FedEx considered could be anti-competitive, and requests TLF to implement compliance measures with competition law. This letter confirms the earlier statements of Ms. Laure I... or the handwritten notes seized at TNT regarding the meeting of March 16, 2006, according to which the 'economic situation' point of the Trade Council meetings corresponds to exchanges of sensitive information from a competition perspective.</w:t>
      </w:r>
    </w:p>
    <w:p>
      <w:r>
        <w:t>476. Mr. Philippe W... responded to Mr. David Q... with a letter dated January 28, 2009, in which he asserted that the discussions that took place during the Trade Councils were not anti-competitive:</w:t>
        <w:br/>
        <w:t>"The roundtable to which you refer and which is initiated during the work of our 'Messaging/Express' Council is a point of economic situation or analysis of some benchmark indicators that only concerns past evolution elements and is conducted based on official and public documents prepared notably by the services of the Ministry of Ecology, Energy, Sustainable Development, and Territorial Planning (MEEDDAT).</w:t>
        <w:br/>
        <w:t>Such a practice cannot be qualified as anti-competitive, as it is a simple dialogue that we organize among our companies aimed at providing them with management study elements and a better understanding of the cost items of the activities they carry out."</w:t>
      </w:r>
    </w:p>
    <w:p>
      <w:r>
        <w:t>477. The very general denials of Mr. Philippe W..., which describe exchanges of global or official data, do not directly address the questions raised in the letter from FedEx. Indeed, FedEx mentioned the exchange among members of "information particular to their company."</w:t>
      </w:r>
    </w:p>
    <w:p>
      <w:r>
        <w:t>478. The practices denounced by FedEx are consistent with those detailed previously and which have been occurring since at least 2004. They are particularly confirmed by the statements of leniency applicants who indicated that the denounced practices also took place during the year 2008, but also by the aforementioned statements of Ms. Laure I... or the handwritten notes from TNT regarding the Trade Council meeting of March 16, 2006. The letter dated January 28, 2009, from Mr. Philippe W... does not therefore validly contradict the facts reported by FedEx in its letter of December 23, 2008.</w:t>
      </w:r>
    </w:p>
    <w:p>
      <w:r>
        <w:t>The consistency of the exchanged information with market behavior</w:t>
      </w:r>
    </w:p>
    <w:p>
      <w:r>
        <w:t>479. The analysis of the pricing circulars sent to clients by the participating companies shows that, for the 2008-2009 campaign, the pricing orientations of the operators were communicated to clients after the exchanges that took place in July 2008 and during the Trade Council meeting of September 18, 2008.</w:t>
      </w:r>
    </w:p>
    <w:p>
      <w:r>
        <w:t>Table 18 - Consistency between exchanged information and market behavior (2008-2009 campaign)</w:t>
      </w:r>
    </w:p>
    <w:p>
      <w:r>
        <w:t>Date</w:t>
        <w:br/>
        <w:t>Increase previously Increase communicated to</w:t>
        <w:br/>
        <w:t>of application</w:t>
        <w:br/>
        <w:t>Company exchanged between companies and clients by circular and date</w:t>
        <w:br/>
        <w:t>of the circular</w:t>
        <w:br/>
        <w:t>- + 6.3%</w:t>
        <w:br/>
        <w:t>December 1</w:t>
        <w:br/>
        <w:t>Graveleau</w:t>
        <w:br/>
        <w:t>2008</w:t>
        <w:br/>
        <w:t>- Unknown</w:t>
        <w:br/>
        <w:t>References</w:t>
        <w:br/>
        <w:t>- - 47342</w:t>
        <w:br/>
        <w:t>+ 5.9% or + 4.9% and 0.50 €</w:t>
        <w:br/>
        <w:t>+ 5.9%</w:t>
        <w:br/>
        <w:t>excluding tax per shipment October 1</w:t>
        <w:br/>
        <w:t>Geodis</w:t>
        <w:br/>
        <w:t>June 25, 2008 and September 15, 2008</w:t>
        <w:br/>
        <w:t>Before July 22, 2008</w:t>
        <w:br/>
        <w:t>2008</w:t>
        <w:br/>
        <w:t>55665, 55666,</w:t>
        <w:br/>
        <w:t>References</w:t>
        <w:br/>
        <w:t>- 55109 and 55110 47568 and 47569 47451 and</w:t>
        <w:br/>
        <w:t>47452</w:t>
        <w:br/>
        <w:t>+ 6% + 6%</w:t>
        <w:br/>
        <w:t>October 1</w:t>
        <w:br/>
        <w:t>Heppner</w:t>
        <w:br/>
        <w:t>2008</w:t>
        <w:br/>
        <w:t>Before July 22, 2008 August 4, 2008</w:t>
        <w:br/>
        <w:t>References</w:t>
        <w:br/>
        <w:t>55109 and 55110</w:t>
        <w:br/>
        <w:t>- + 5.8%</w:t>
        <w:br/>
        <w:t>Schenker- January 1</w:t>
        <w:br/>
        <w:t>Joyau 2009</w:t>
        <w:br/>
        <w:t>- December 15, 2008</w:t>
        <w:br/>
        <w:t>References</w:t>
        <w:br/>
        <w:t>- - 48482</w:t>
        <w:br/>
        <w:t>- + 6% November 1</w:t>
        <w:br/>
        <w:t>Alloin</w:t>
        <w:br/>
        <w:t>2008</w:t>
        <w:br/>
        <w:t>- September 29, 2008</w:t>
        <w:br/>
        <w:t>References</w:t>
        <w:br/>
        <w:t>- - 49148</w:t>
      </w:r>
    </w:p>
    <w:p>
      <w:r>
        <w:rPr>
          <w:b/>
        </w:rPr>
        <w:t>[Pages 88–90]</w:t>
      </w:r>
    </w:p>
    <w:p>
      <w:r>
        <w:t xml:space="preserve">Date  </w:t>
        <w:br/>
        <w:t xml:space="preserve">Previously communicated increase  </w:t>
        <w:br/>
        <w:t xml:space="preserve">Company  </w:t>
        <w:br/>
        <w:t xml:space="preserve">Exchanged between companies and clients by circular and date of the circular  </w:t>
        <w:br/>
        <w:t xml:space="preserve">Date of the circular  </w:t>
        <w:br/>
        <w:t xml:space="preserve">TNT - + 3.9% 1st October  </w:t>
        <w:br/>
        <w:t xml:space="preserve">Express 2008  </w:t>
        <w:br/>
        <w:t xml:space="preserve">- 25th August 2008  </w:t>
        <w:br/>
        <w:t xml:space="preserve">References  </w:t>
        <w:br/>
        <w:t xml:space="preserve">- - 47252  </w:t>
        <w:br/>
        <w:t xml:space="preserve">DHL - + 5.9%  </w:t>
        <w:br/>
        <w:t xml:space="preserve">1st January 2009  </w:t>
        <w:br/>
        <w:t xml:space="preserve">- 1st October 2008  </w:t>
        <w:br/>
        <w:t xml:space="preserve">References  </w:t>
        <w:br/>
        <w:t xml:space="preserve">- - 47252  </w:t>
        <w:br/>
        <w:t xml:space="preserve">Gefco - + 5.8%  </w:t>
        <w:br/>
        <w:t xml:space="preserve">3rd November 2008  </w:t>
        <w:br/>
        <w:t xml:space="preserve">Between 29th September 2008  </w:t>
        <w:br/>
        <w:t xml:space="preserve">and 24th October 2008  </w:t>
        <w:br/>
        <w:t xml:space="preserve">References  </w:t>
        <w:br/>
        <w:t xml:space="preserve">- - 51936 to 51940  </w:t>
        <w:br/>
        <w:t xml:space="preserve">GLS - + 3.95%  </w:t>
        <w:br/>
        <w:t xml:space="preserve">1st January 2009  </w:t>
        <w:br/>
        <w:t xml:space="preserve">- 22nd December 2008  </w:t>
        <w:br/>
        <w:t xml:space="preserve">References  </w:t>
        <w:br/>
        <w:t xml:space="preserve">- - 52213  </w:t>
        <w:br/>
        <w:t xml:space="preserve">Transports - + 5.9%  </w:t>
        <w:br/>
        <w:t xml:space="preserve">1st November 2008  </w:t>
        <w:br/>
        <w:t xml:space="preserve">Henri Ducros - 1st October 2008  </w:t>
        <w:br/>
        <w:t xml:space="preserve">References  </w:t>
        <w:br/>
        <w:t xml:space="preserve">- - 51156  </w:t>
        <w:br/>
        <w:t xml:space="preserve">Ziegler - + 6%  </w:t>
        <w:br/>
        <w:t xml:space="preserve">1st October 2008  </w:t>
        <w:br/>
        <w:t xml:space="preserve">1st September 2008  </w:t>
        <w:br/>
        <w:t xml:space="preserve">- 1st October 2008  </w:t>
        <w:br/>
        <w:t xml:space="preserve">References  </w:t>
        <w:br/>
        <w:t>- - 55645 to 55648 and 51303</w:t>
      </w:r>
    </w:p>
    <w:p>
      <w:r>
        <w:t xml:space="preserve">480. As shown in the table above, Geodis communicated the rate of increase to its clients on 15th September 2008, Heppner did so on 4th August 2008, while Graveleau was aware of these rates as early as 22nd July 2008.  </w:t>
        <w:br/>
        <w:t xml:space="preserve">481. Furthermore, beyond the specific rates of Geodis and Heppner, the company Graveleau already knew, by the end of July 2008, that the market was heading towards a revaluation around 6% of the rates, as indicated by the terms "some of our competitors are already talking about a revaluation around 6% on 1st October or 1st December" from the email dated 29th July 2008 mentioned above.  </w:t>
        <w:br/>
        <w:t xml:space="preserve">482. This information is therefore consistent with the behavior actually observed in the market since, as indicated in the preceding table, the courier companies all sent their clients pricing circulars requesting increases around 6%, with the exception of TNT and GLS, which deviated significantly (3.9%).  </w:t>
        <w:br/>
        <w:t>483. Moreover, regarding the specific issue of surcharges for appointment scheduling by large distribution, Heppner indeed included in its circular of 4th August 2008 a surcharge of 3 euros (reference no. 47342), as it had indicated to Graveleau. The latter adopted the same policy and requested in its revaluation circular a surcharge of 4.80 euros for appointment scheduling (reference no. 47397).</w:t>
      </w:r>
    </w:p>
    <w:p>
      <w:r>
        <w:t xml:space="preserve">484. Finally, the revaluation circulars of most members of the Trade Council were sent to clients after 18th September 2008, the date of the meeting during which, according to FedEx, exchanges of information took place again. The meeting on 18th September 2008 thus allowed companies in the sector to discuss, in advance, their future pricing strategy.  </w:t>
        <w:br/>
        <w:t xml:space="preserve">Monitoring of pricing negotiations  </w:t>
        <w:br/>
        <w:t xml:space="preserve">485. Discussions on price revaluations continued after the meeting on 18th September 2008. Another series of notes seized within the company Heppner (references nos. 998 to 1002), most likely relating to a Trade Council meeting on 15th January 2009, contains a number of mentions regarding price increases or prices, including:  </w:t>
        <w:br/>
        <w:t xml:space="preserve">- For Ms. Florence 1..., representative of DHL, it is indicated: "price increase not simple";  </w:t>
        <w:br/>
        <w:t xml:space="preserve">- For Ziegler: "difficult increase since end of October";  </w:t>
        <w:br/>
        <w:t xml:space="preserve">- For BMV: "very difficult increase campaign";  </w:t>
        <w:br/>
        <w:t xml:space="preserve">- For Gefco: "increase [more or less] [illegible]";  </w:t>
        <w:br/>
        <w:t xml:space="preserve">- For Schenker-Joyau: "security contribution passed halfway in September";  </w:t>
        <w:br/>
        <w:t>- For Geodis: "stagnation of selling prices".</w:t>
      </w:r>
    </w:p>
    <w:p>
      <w:r>
        <w:t xml:space="preserve">486. The companies present at this meeting (see reference no. 45845 and table 20 below) thus continued to exchange on the evolution of the 2008-2009 increase campaign after sending their circulars. They thus conducted, together, a post-mortem of the negotiations with their respective clients. It is also noted that some companies reported their difficulties "in passing on" the price increases to their clients.  </w:t>
        <w:br/>
        <w:t xml:space="preserve">f) The 2009-2010 campaign  </w:t>
        <w:br/>
        <w:t xml:space="preserve">The Trade Council  </w:t>
        <w:br/>
        <w:t xml:space="preserve">487. On 10th September 2009, the General Director of Sernam, Mr. Christophe M..., sent an email to the head of the Trade Council, Ms. Laure I.... The subject of this email was "Subject: agenda of the 'Messaging-Express' Commission" and was written as follows: "I am surprised not to see on the agenda, the price increase for 2010. We had agreed in June to address this topic […] (underlining added) (reference no. 55224).  </w:t>
        <w:br/>
        <w:t xml:space="preserve">488. Ms. Laure I... replied: "As you know, I must be vigilant in the wording of the points on the agenda. This is to avoid both TLF and the member companies of the council presenting the risks of controls and financial sanctions from the competition council, hence my caution. This aspect is addressed in point 1 called conjuncture etc. orally the participants discuss the themes they wish" (underlining added) (reference no. 55224).  </w:t>
        <w:br/>
        <w:t xml:space="preserve">489. Given that a meeting of the Trade Council took place a few days after this exchange, the agenda mentioned here necessarily relates to this meeting of 17th September 2009.  </w:t>
        <w:br/>
        <w:t xml:space="preserve">490. Furthermore, this exchange indicates that TLF was aware of the risky nature of these exchanges on annual price increases, if not their anti-competitive nature. Thus, the aspect relating to price increases was treated orally and under an innocuous point on the agenda in order to conceal the purpose of these meetings in case of control by the authority responsible for competition. This organization corresponds exactly to the statements of the two leniency applicants.  </w:t>
        <w:br/>
        <w:t xml:space="preserve">491. Although the company Dachser was not represented at the meeting of 17th September 2009 (for the list of attendees, see references nos. 55262 to 55279 and table 20 below), it nevertheless obtained precise information on the pricing intentions of its competitors, since in a note dated 21st October 2009, a sales director mentioned to the regional directors, sales directors, and executive officers of Dachser, the price revaluation campaign for the year 2010. He stated in the introduction: "All our colleagues want to proceed in a 'cautious' manner between 2% and 6% for small clients" (references nos. 55132 to 55135).  </w:t>
        <w:br/>
        <w:t xml:space="preserve">492. Most of the pricing revaluation circulars were transmitted after the meeting of the Trade Council on 17th September 2009, during which it was planned to discuss future price increases.  </w:t>
        <w:br/>
        <w:t xml:space="preserve">493. The internal note of Dachser mentioned above, dated 21st October 2009, confirms the existence of bilateral exchanges on this point. Even though most courier companies had not, at that date, sent their circulars, or had just done so, Mr. Vincent V... was able to assert that all competitors want to proceed in a "cautious" manner between 2% and 6% for small clients.  </w:t>
        <w:br/>
        <w:t xml:space="preserve">494. Therefore, as evidenced by the monitoring of negotiations below, during the 2009-2010 pricing revaluation campaign, companies in the classic and express courier sector indeed had information allowing them to anticipate the pricing behavior of their competitors.  </w:t>
        <w:br/>
        <w:t xml:space="preserve">Monitoring of pricing negotiations  </w:t>
        <w:br/>
        <w:t xml:space="preserve">495. The members of the Trade Council continued to assess the progress of the pricing revaluation campaign after the meeting on 17th September 2009. A series of notes seized within the company Heppner, relating to a Trade Council meeting on 28th January 2010, indeed contains a number of mentions regarding price increases and prices (references nos. 1017 to 1019).  </w:t>
        <w:br/>
        <w:t xml:space="preserve">- For DHL Express, it is indicated: "difficult price increase (targeted at 1% with fear on AO)";  </w:t>
        <w:br/>
        <w:t xml:space="preserve">- For SERNAM: "increase goes well (1.6) except for difficult cases";  </w:t>
        <w:br/>
        <w:t xml:space="preserve">- For Normatrans: "increase 1.9%";  </w:t>
        <w:br/>
        <w:t xml:space="preserve">- For GEFCO: "no perception on increase";  </w:t>
        <w:br/>
        <w:t xml:space="preserve">- For Ducros: "price decrease" and "difficult AOs ongoing";  </w:t>
        <w:br/>
        <w:t>- For Exapaq: "price effect 0.9%".</w:t>
      </w:r>
    </w:p>
    <w:p>
      <w:r>
        <w:t xml:space="preserve">496. These handwritten notes testify to the existence of a roundtable during the meeting of 28th January 2010, during which the six companies involved reviewed their respective price increases. The companies involved thus communicated commercially sensitive information to their competitors regarding the actual increase rates practiced, which helps maintain trust in information exchanges and on customer reactions to these price increases.  </w:t>
        <w:br/>
        <w:t>497. These discussions continued during the meeting of the Trade Council on 20th May 2010, as evidenced by notes seized at Heppner, which contain numerous pricing and commercial information provided by the companies (references nos. 995 to 997). The companies present (see reference no. 46256 and table 20 below) exchanged, for</w:t>
      </w:r>
    </w:p>
    <w:p>
      <w:r>
        <w:rPr>
          <w:b/>
        </w:rPr>
        <w:t>[Pages 91–93]</w:t>
      </w:r>
    </w:p>
    <w:p>
      <w:r>
        <w:t>the main part, information on the evolution of their respective turnover, mostly oriented upwards, and on pricing movements (Exapaq, Ducros, Chronopost, Geodis, and Schenker-Joyau).</w:t>
      </w:r>
    </w:p>
    <w:p>
      <w:r>
        <w:t>498. Thus, until May 2010, companies in the classic messaging and express sector continued to exchange information on their pricing and commercial policies. They once again collectively monitored negotiations with their respective clients and conducted an "ex-post" assessment of their results.</w:t>
      </w:r>
    </w:p>
    <w:p>
      <w:r>
        <w:t>g) The 2010-2011 campaign</w:t>
      </w:r>
    </w:p>
    <w:p>
      <w:r>
        <w:t>Information exchanges during the summer and autumn of 2010</w:t>
      </w:r>
    </w:p>
    <w:p>
      <w:r>
        <w:t>The first exchanges between companies during the summer of 2010</w:t>
      </w:r>
    </w:p>
    <w:p>
      <w:r>
        <w:t>499. The commercial director "Ground" of Dachser, Mr. Vincent V..., sent an email to several executives of the company on September 1, 2010:</w:t>
      </w:r>
    </w:p>
    <w:p>
      <w:r>
        <w:t>"P.S.: I just went fishing for information from our colleagues about their willingness to increase prices at the end of the year:</w:t>
        <w:br/>
        <w:t>- Geodis: 2.9% as of October 1</w:t>
        <w:br/>
        <w:t>- Mory: 2.5%</w:t>
        <w:br/>
        <w:t>- Schenker: no info for the moment</w:t>
        <w:br/>
        <w:t>If you have any other information on your side, please send it to me.</w:t>
        <w:br/>
        <w:t>Of course, if we launch an average of 5% on our side and if the quality is not up to par in September and October and our colleagues do less than 3%..." (reference no. 2719).</w:t>
      </w:r>
    </w:p>
    <w:p>
      <w:r>
        <w:t>500. The terms "fishing for information from our colleagues" indicate the existence of bilateral exchanges between competitors regarding price revaluations, outside of TLF meetings. The data communicated concern the rates of increase and/or the effective dates of these increases from three competitors. Schenker-Joyau, a leniency applicant at the time, did not provide any information to Dachser.</w:t>
      </w:r>
    </w:p>
    <w:p>
      <w:r>
        <w:t>501. The continuation of this email further shows that Dachser took these pieces of information into account to determine its own pricing negotiation policy.</w:t>
      </w:r>
    </w:p>
    <w:p>
      <w:r>
        <w:t>Information exchanges during the autumn of 2010</w:t>
      </w:r>
    </w:p>
    <w:p>
      <w:r>
        <w:t>502. Mentions regarding price increases are visible on a series of notes seized within the company Heppner (references nos. 1014 to 1016), relating to a Trade Council meeting on September 16, 2010 (for those present at the meeting, see references nos. 54585 to 54590 and Table 19 - consistency between exchanged information and market behavior (2010-2011 campaign) below).</w:t>
      </w:r>
    </w:p>
    <w:p>
      <w:r>
        <w:t>503. These handwritten notes reflect, in their list-like structure, the method usually employed during Trade Council meetings, as described by the leniency applicants and confirmed by various meeting reports, namely the "round table" method. The data contained in this document originates from each of the cited companies.</w:t>
      </w:r>
    </w:p>
    <w:p>
      <w:r>
        <w:t>504. Of the thirteen companies present, ten provided precise and individualized information about their past but recent price increases (TNT), future (Sernam or Chronopost, Ziegler). The information communicated by Gefco remains vague:</w:t>
      </w:r>
    </w:p>
    <w:p>
      <w:r>
        <w:t>- For the company TNT, it is indicated: "increases launched in July [approximately] 3% (+ on national +3.5%)";</w:t>
        <w:br/>
        <w:t>- For Sernam: "2.9% on October 1 - with strong variables depending on the portfolio - aggressiveness on express";</w:t>
        <w:br/>
        <w:t>- For Gefco: "concern about the hypothesis of a rise (automotive sector)";</w:t>
        <w:br/>
        <w:t>- For Normatrans: "hesitation between 3% immediately or 5% in three months (tendency to wait like Ducros or Gefco)";</w:t>
        <w:br/>
        <w:t>- For Ziegler: "4.5% on November 1";</w:t>
        <w:br/>
        <w:t>- For GLS: "3.8%";</w:t>
        <w:br/>
        <w:t>- For Ducros XP: "highest possible increase but waiting (aiming for 5%) - very differentiated approach";</w:t>
        <w:br/>
        <w:t>- For Chronopost: "3.8% on October 1";</w:t>
        <w:br/>
        <w:t>- For Geodis: "2.9% across all activities";</w:t>
        <w:br/>
        <w:t>- For Alloin: "rate -4.9% - on August 1";</w:t>
        <w:br/>
        <w:t>- Finally, the name of Schenker-Joyau is mentioned during the round table.</w:t>
      </w:r>
    </w:p>
    <w:p>
      <w:r>
        <w:t>The consistency of the exchanged information with market behavior</w:t>
      </w:r>
    </w:p>
    <w:p>
      <w:r>
        <w:t>505. The comparison between the announcements made by companies during their exchanges and the pricing circulars actually sent to clients by these same companies for the 2010-2011 campaign shows that the pricing orientations considered and communicated among competitors were largely implemented when sending the pricing revaluation circulars to clients.</w:t>
      </w:r>
    </w:p>
    <w:p>
      <w:r>
        <w:t>Table 19 - Consistency between exchanged information and market behavior (2010-2011 campaign)</w:t>
      </w:r>
    </w:p>
    <w:p>
      <w:r>
        <w:t>Date</w:t>
        <w:br/>
        <w:t>Previously communicated Increase communicated to</w:t>
        <w:br/>
        <w:t>effective date</w:t>
        <w:br/>
        <w:t>Company exchanged between companies clients by circular and</w:t>
        <w:br/>
        <w:t>date of the circular</w:t>
        <w:br/>
        <w:t>+ 2.9% + 2.9%</w:t>
        <w:br/>
        <w:t>October 1</w:t>
        <w:br/>
        <w:t>Geodis</w:t>
        <w:br/>
        <w:t>2010</w:t>
        <w:br/>
        <w:t>September 1 and 16, 2010 September 1 and 8, 2010</w:t>
        <w:br/>
        <w:t>Refs. 47432 to 47434</w:t>
        <w:br/>
        <w:t>- 2719 and 1014 to 1016</w:t>
        <w:br/>
        <w:t>ref. 55661</w:t>
        <w:br/>
        <w:t>- + 3.9%</w:t>
        <w:br/>
        <w:t>December 1</w:t>
        <w:br/>
        <w:t>Heppner</w:t>
        <w:br/>
        <w:t>2010</w:t>
        <w:br/>
        <w:t>- September 12, 2010</w:t>
        <w:br/>
        <w:t>Refs.</w:t>
        <w:br/>
        <w:t>- - 47399 and 55644</w:t>
        <w:br/>
        <w:t>ref.</w:t>
        <w:br/>
        <w:t>- + 4.8%</w:t>
        <w:br/>
        <w:t>January 1</w:t>
        <w:br/>
        <w:t>Schenker-Joyau</w:t>
        <w:br/>
        <w:t>2011</w:t>
        <w:br/>
        <w:t>- December 6, 2010</w:t>
        <w:br/>
        <w:t>Refs.</w:t>
        <w:br/>
        <w:t>- - 48486</w:t>
        <w:br/>
        <w:t>ref.</w:t>
      </w:r>
    </w:p>
    <w:p>
      <w:r>
        <w:rPr>
          <w:b/>
        </w:rPr>
        <w:t>[Pages 94–96]</w:t>
      </w:r>
    </w:p>
    <w:p>
      <w:r>
        <w:t xml:space="preserve">Date  </w:t>
        <w:br/>
        <w:t xml:space="preserve">Previously communicated increase  </w:t>
        <w:br/>
        <w:t xml:space="preserve">Company  </w:t>
        <w:br/>
        <w:t xml:space="preserve">Exchange between companies  </w:t>
        <w:br/>
        <w:t xml:space="preserve">Clients informed by circular and date of the circular  </w:t>
        <w:br/>
        <w:t xml:space="preserve">+ 3.5 % + 3.3 %  </w:t>
        <w:br/>
        <w:t xml:space="preserve">October 1  </w:t>
        <w:br/>
        <w:t xml:space="preserve">TNT Express  </w:t>
        <w:br/>
        <w:t xml:space="preserve">2010  </w:t>
        <w:br/>
        <w:t xml:space="preserve">September 16, 2010  </w:t>
        <w:br/>
        <w:t xml:space="preserve">August 28, 2010  </w:t>
        <w:br/>
        <w:t xml:space="preserve">References  </w:t>
        <w:br/>
        <w:t xml:space="preserve">- 1014 to 1016  </w:t>
        <w:br/>
        <w:t xml:space="preserve">Reference  </w:t>
        <w:br/>
        <w:t xml:space="preserve">+ 4.9 % + 4.9 %  </w:t>
        <w:br/>
        <w:t xml:space="preserve">November 1  </w:t>
        <w:br/>
        <w:t xml:space="preserve">Alloin  </w:t>
        <w:br/>
        <w:t xml:space="preserve">2010  </w:t>
        <w:br/>
        <w:t xml:space="preserve">September 16, 2010  </w:t>
        <w:br/>
        <w:t xml:space="preserve">October 4, 2010  </w:t>
        <w:br/>
        <w:t xml:space="preserve">References  </w:t>
        <w:br/>
        <w:t xml:space="preserve">- 1014 to 1016  </w:t>
        <w:br/>
        <w:t xml:space="preserve">Reference  </w:t>
        <w:br/>
        <w:t xml:space="preserve">+ 3.8 % + 1.8 %  </w:t>
        <w:br/>
        <w:t xml:space="preserve">September 1  </w:t>
        <w:br/>
        <w:t xml:space="preserve">Chronopost  </w:t>
        <w:br/>
        <w:t xml:space="preserve">2010  </w:t>
        <w:br/>
        <w:t xml:space="preserve">September 16, 2010  </w:t>
        <w:br/>
        <w:t xml:space="preserve">July 5, 2010  </w:t>
        <w:br/>
        <w:t xml:space="preserve">References  </w:t>
        <w:br/>
        <w:t xml:space="preserve">- 1014 to 1016  </w:t>
        <w:br/>
        <w:t xml:space="preserve">55621, 55622 and 54579  </w:t>
        <w:br/>
        <w:t xml:space="preserve">Reference  </w:t>
        <w:br/>
        <w:t xml:space="preserve">Concern about the hypothesis  </w:t>
        <w:br/>
        <w:t xml:space="preserve">December 1  </w:t>
        <w:br/>
        <w:t xml:space="preserve">+ 2.9 %  </w:t>
        <w:br/>
        <w:t xml:space="preserve">Gefco  </w:t>
        <w:br/>
        <w:t xml:space="preserve">January 1  </w:t>
        <w:br/>
        <w:t xml:space="preserve">September 16, 2010  </w:t>
        <w:br/>
        <w:t xml:space="preserve">Unknown  </w:t>
        <w:br/>
        <w:t xml:space="preserve">2011  </w:t>
        <w:br/>
        <w:t xml:space="preserve">References  </w:t>
        <w:br/>
        <w:t xml:space="preserve">- 51924 and 51927  </w:t>
        <w:br/>
        <w:t xml:space="preserve">Reference  </w:t>
        <w:br/>
        <w:t xml:space="preserve">+ 3.8 % + 3.8 %  </w:t>
        <w:br/>
        <w:t xml:space="preserve">October 1  </w:t>
        <w:br/>
        <w:t xml:space="preserve">GLS  </w:t>
        <w:br/>
        <w:t xml:space="preserve">September 16, 2010  </w:t>
        <w:br/>
        <w:t xml:space="preserve">Unknown  </w:t>
        <w:br/>
        <w:t xml:space="preserve">2010  </w:t>
        <w:br/>
        <w:t xml:space="preserve">References  </w:t>
        <w:br/>
        <w:t xml:space="preserve">- 1014 to 1016  </w:t>
        <w:br/>
        <w:t xml:space="preserve">52215  </w:t>
        <w:br/>
        <w:t xml:space="preserve">Reference  </w:t>
        <w:br/>
        <w:t xml:space="preserve">+ 3 % immediately or  </w:t>
        <w:br/>
        <w:t xml:space="preserve">+ 5 % in three months  </w:t>
        <w:br/>
        <w:t xml:space="preserve">+ 2.9 %  </w:t>
        <w:br/>
        <w:t xml:space="preserve">December 1  </w:t>
        <w:br/>
        <w:t xml:space="preserve">Normatrans  </w:t>
        <w:br/>
        <w:t xml:space="preserve">2010  </w:t>
        <w:br/>
        <w:t xml:space="preserve">September 16, 2010  </w:t>
        <w:br/>
        <w:t xml:space="preserve">November 18, 2010  </w:t>
        <w:br/>
        <w:t xml:space="preserve">References  </w:t>
        <w:br/>
        <w:t xml:space="preserve">- 1014 to 1016  </w:t>
        <w:br/>
        <w:t xml:space="preserve">51573  </w:t>
        <w:br/>
        <w:t xml:space="preserve">Reference  </w:t>
        <w:br/>
        <w:t xml:space="preserve">+ 3.4 % and security fee of  </w:t>
        <w:br/>
        <w:t xml:space="preserve">Transport Henri Ducros  </w:t>
        <w:br/>
        <w:t xml:space="preserve">- 0.50 euro  </w:t>
        <w:br/>
        <w:t xml:space="preserve">November 1  </w:t>
        <w:br/>
        <w:t xml:space="preserve">2010  </w:t>
        <w:br/>
        <w:t xml:space="preserve">- October 4, 2010  </w:t>
        <w:br/>
        <w:t xml:space="preserve">References  </w:t>
        <w:br/>
        <w:t xml:space="preserve">- 51158  </w:t>
        <w:br/>
        <w:t xml:space="preserve">Reference  </w:t>
        <w:br/>
        <w:t xml:space="preserve">+ 4.5 % + 4.5 %  </w:t>
        <w:br/>
        <w:t xml:space="preserve">October 15  </w:t>
        <w:br/>
        <w:t xml:space="preserve">Ziegler  </w:t>
        <w:br/>
        <w:t xml:space="preserve">September 16, 2010  </w:t>
        <w:br/>
        <w:t xml:space="preserve">September 24, 2010  </w:t>
        <w:br/>
        <w:t xml:space="preserve">2010  </w:t>
        <w:br/>
        <w:t xml:space="preserve">References  </w:t>
        <w:br/>
        <w:t xml:space="preserve">- 1014 to 1016  </w:t>
        <w:br/>
        <w:t xml:space="preserve">51305, 55649 and 55651  </w:t>
        <w:br/>
        <w:t xml:space="preserve">Reference  </w:t>
        <w:br/>
        <w:t xml:space="preserve">- -  </w:t>
        <w:br/>
        <w:t xml:space="preserve">Mory -  </w:t>
        <w:br/>
        <w:t xml:space="preserve">September 1, 2010 -  </w:t>
        <w:br/>
        <w:t xml:space="preserve">References  </w:t>
        <w:br/>
        <w:t xml:space="preserve">- 2719 -  </w:t>
        <w:br/>
        <w:t xml:space="preserve">Reference  </w:t>
        <w:br/>
        <w:t xml:space="preserve">506. As indicated in the table above, most companies in the sector sent their respective price revaluation circulars to their clients after September 16, 2010, the date of the information exchange.  </w:t>
        <w:br/>
        <w:t xml:space="preserve">507. On September 1, 2010, Dachser was informed of the exact revaluation rate that would be requested by Geodis.  </w:t>
        <w:br/>
        <w:t xml:space="preserve">508. Furthermore, the information contained in the notes seized at Heppner's premises, relating to the meeting of September 16, 2010, is mostly consistent with the pricing behavior ultimately adopted by the various companies involved.  </w:t>
        <w:br/>
        <w:t xml:space="preserve">509. Finally, although Schenker-Joyau did not, according to the aforementioned notes, communicate any specific information about its anticipated increases, this company attended a meeting during which its competitors reported their own expectations in September 2010. However, Schenker-Joyau published its increase circulars at the beginning of December 2010, more than two months later, and set its increase rate at + 4.8 %, at the high end of the announced rate range.  </w:t>
        <w:br/>
        <w:t xml:space="preserve">510. Schenker-Joyau, a leniency applicant at the time, therefore benefited from the exchanges between its competitors during the Trade Council meeting to determine its own rate.  </w:t>
        <w:br/>
        <w:t xml:space="preserve">511. The same applies to Gefco, Normatrans, and Transports Henri Ducros, which, at the time of the meeting on September 16, 2010, had not finalized their pricing increase policy but ultimately adopted a strategy very similar to that of the other participants.  </w:t>
        <w:br/>
        <w:t>512. Consequently, during the 2010-2011 pricing revaluation campaign, companies in the traditional and express messaging sector effectively exchanged information allowing them to anticipate the pricing behavior of their competitors.</w:t>
      </w:r>
    </w:p>
    <w:p>
      <w:r>
        <w:t xml:space="preserve">2004-2010-  </w:t>
        <w:br/>
        <w:t xml:space="preserve">Campaign 2005-2006 2006-2007 2007-2008 2008-2009 2009-2010  </w:t>
        <w:br/>
        <w:t xml:space="preserve">2005 2011  </w:t>
        <w:br/>
        <w:t xml:space="preserve">September 30 September 22 March 16 September 28 January 18 June 21 July 18 September 13 November 29 March 27 March 14 September 18 January 15 September 17 January 28 May 20 September 16  </w:t>
        <w:br/>
        <w:t xml:space="preserve">2004 2005 2006 2006 2007 2007 2007 2007 2007 2008 2008 2008 2009 2009 2010 2010 2010  </w:t>
        <w:br/>
        <w:t xml:space="preserve">Meeting X X X X X X  </w:t>
        <w:br/>
        <w:t xml:space="preserve">Dachser  </w:t>
        <w:br/>
        <w:t xml:space="preserve">X X X X X X X X X X X  </w:t>
        <w:br/>
        <w:t xml:space="preserve">(Graveleau)  </w:t>
        <w:br/>
        <w:t xml:space="preserve">X X X X X X X X X  </w:t>
        <w:br/>
        <w:t xml:space="preserve">TNT  </w:t>
        <w:br/>
        <w:t xml:space="preserve">X X X X X X  </w:t>
        <w:br/>
        <w:t xml:space="preserve">Alloin  </w:t>
        <w:br/>
        <w:t xml:space="preserve">X X X X X X X X X X  </w:t>
        <w:br/>
        <w:t xml:space="preserve">Mory Team  </w:t>
        <w:br/>
        <w:t xml:space="preserve">DHL X X X X X X X X X X X X X  </w:t>
        <w:br/>
        <w:t xml:space="preserve">Transports Henri  </w:t>
        <w:br/>
        <w:t xml:space="preserve">X X X X X X X X X X X X X X X  </w:t>
        <w:br/>
        <w:t xml:space="preserve">Ducros  </w:t>
        <w:br/>
        <w:t xml:space="preserve">X X X X X X X X X X X  </w:t>
        <w:br/>
        <w:t xml:space="preserve">Schenker-Joyau  </w:t>
        <w:br/>
        <w:t xml:space="preserve">X X X X X X X X X X  </w:t>
        <w:br/>
        <w:t xml:space="preserve">Ziegler  </w:t>
        <w:br/>
        <w:t xml:space="preserve">X X X X X X X X X X X X X  </w:t>
        <w:br/>
        <w:t xml:space="preserve">GLS  </w:t>
        <w:br/>
        <w:t xml:space="preserve">X X X X X X X X X X X X X X X X  </w:t>
        <w:br/>
        <w:t xml:space="preserve">Gefco  </w:t>
        <w:br/>
        <w:t xml:space="preserve">Heppner X X X X X X X X X X X X X X X  </w:t>
        <w:br/>
        <w:t xml:space="preserve">Chronopost  </w:t>
        <w:br/>
        <w:t xml:space="preserve">X X X X X X X X X X  </w:t>
        <w:br/>
        <w:t xml:space="preserve">International  </w:t>
        <w:br/>
        <w:t xml:space="preserve">X X  </w:t>
        <w:br/>
        <w:t xml:space="preserve">Exapaq  </w:t>
        <w:br/>
        <w:t xml:space="preserve">X X X X  </w:t>
        <w:br/>
        <w:t xml:space="preserve">Sodimaine  </w:t>
        <w:br/>
        <w:t xml:space="preserve">X X  </w:t>
        <w:br/>
        <w:t xml:space="preserve">SOGEP  </w:t>
        <w:br/>
        <w:t xml:space="preserve">Ciblex France X X X X  </w:t>
        <w:br/>
        <w:t xml:space="preserve">Transports  </w:t>
        <w:br/>
        <w:t xml:space="preserve">X X X X X X X X X X X X  </w:t>
        <w:br/>
        <w:t xml:space="preserve">Peronnet  </w:t>
        <w:br/>
        <w:t xml:space="preserve">Geodis X X X X X X X X X  </w:t>
        <w:br/>
        <w:t xml:space="preserve">TATEX (TAT  </w:t>
        <w:br/>
        <w:t xml:space="preserve">X X X X X  </w:t>
        <w:br/>
        <w:t xml:space="preserve">Express)  </w:t>
        <w:br/>
        <w:t xml:space="preserve">X X X X X  </w:t>
        <w:br/>
        <w:t xml:space="preserve">FedEx  </w:t>
        <w:br/>
        <w:t xml:space="preserve">X X X X X X X X X X X X  </w:t>
        <w:br/>
        <w:t xml:space="preserve">Darfeuille  </w:t>
        <w:br/>
        <w:t xml:space="preserve">X X X X X  </w:t>
        <w:br/>
        <w:t xml:space="preserve">Normatrans  </w:t>
        <w:br/>
        <w:t xml:space="preserve">X X X  </w:t>
        <w:br/>
        <w:t xml:space="preserve">BMVirolle  </w:t>
        <w:br/>
        <w:t xml:space="preserve">X  </w:t>
        <w:br/>
        <w:t xml:space="preserve">Sernam  </w:t>
        <w:br/>
        <w:t xml:space="preserve">X  </w:t>
        <w:br/>
        <w:t xml:space="preserve">Kuehne+Nagel  </w:t>
        <w:br/>
        <w:t xml:space="preserve">X X X X X X X X X X X  </w:t>
        <w:br/>
        <w:t xml:space="preserve">Mory  </w:t>
        <w:br/>
        <w:t xml:space="preserve">TLF  </w:t>
        <w:br/>
        <w:t>Table 20 - Presence of companies at TLF meetings during each campaign</w:t>
      </w:r>
    </w:p>
    <w:p>
      <w:r>
        <w:rPr>
          <w:b/>
        </w:rPr>
        <w:t>[Pages 97–99]</w:t>
      </w:r>
    </w:p>
    <w:p>
      <w:r>
        <w:t>h) General conclusion on pricing practices</w:t>
      </w:r>
    </w:p>
    <w:p>
      <w:r>
        <w:t>513. The entirety of the factual elements constituted by the statements of the two leniency applicants, the hearings, as well as the material evidence provided by them or seized during inspection and seizure operations consisting of meeting minutes from the Trade Council, internal notes from several companies, or email exchanges between competitors contemporaneous with the facts, show that, during the seven pricing revaluation campaigns between September 2004 and September 2010, companies in the messaging and express messaging sector exchanged commercially sensitive information regarding their annual price increases in a multilateral framework, notably during meetings of the Trade Council. These exchanges were frequently accompanied by bilateral communications between the participating companies.</w:t>
      </w:r>
    </w:p>
    <w:p>
      <w:r>
        <w:t>514. These exchanges of information regularly focused during the duration of the practices on the principle of a price revaluation, on the rates of increase that would be applied to customers, and finally on the dates of application of the new tariffs. The information was therefore individualized and precise for each of the companies. Furthermore, in most cases, this information was communicated during meetings of the Trade Council prior to the sending of price increase circulars to clients, thus presenting a future character. In any case, this strategic data was obtained before or at the beginning of negotiations with clients, allowing operators to adapt their commercial strategy.</w:t>
      </w:r>
    </w:p>
    <w:p>
      <w:r>
        <w:t>515. Moreover, it was noted from a comparison between the announcements made by TLF members during these meetings and the circulars sent to clients that the exchanged information exhibited a very high degree of reliability from year to year. This reliability was further reinforced by regular monitoring of the actual increases implemented by each, notably during meetings within TLF. A reminder to a deviating company by the sitting president of the Trade Council was able to be highlighted. However, it is also noted that beyond an annual assessment of price increases, the companies involved did not exchange detailed information on each contract negotiated with clients.</w:t>
      </w:r>
    </w:p>
    <w:p>
      <w:r>
        <w:t>516. Given the precise, individualized, future, and reliable nature of the information exchanged by the member companies of TLF, and the fact that these companies represented almost all actors in the classic and express messaging sector, market transparency regarding pricing was particularly enhanced. Such transparency allowed participants in the exchanges to strengthen their position in commercial negotiations with their clients by taking into account the announcements made by their competitors. Thus, they could negotiate the increase in messaging service prices to their advantage without fearing competitive aggression or contractual breaches from their clients, situating their increases within a previously established range of rates among competitors and communicating the dates of increases within a limited timeframe known in advance. Finally, the awareness of TLF officials of the anti-competitive aspect of these information exchanges led them to confer a secret character to them, by not including them on the agenda of meetings and omitting to mention them in the minutes prepared for each of them.</w:t>
      </w:r>
    </w:p>
    <w:p>
      <w:r>
        <w:t>3. NOTIFIED CHARGES</w:t>
      </w:r>
    </w:p>
    <w:p>
      <w:r>
        <w:t>517. In light of the above, the general rapporteur sent a notification of charges on June 20, 2014, for practices prohibited by Articles 101 TFEU and L. 420-1 of the Commercial Code.</w:t>
      </w:r>
    </w:p>
    <w:p>
      <w:r>
        <w:t>a) Charge No. 1: On the practice related to the "diesel surcharge"</w:t>
      </w:r>
    </w:p>
    <w:p>
      <w:r>
        <w:t>The companies are charged with:</w:t>
        <w:br/>
        <w:t>- Schenker-Joyau SAS and Deutsche Bahn AG,</w:t>
        <w:br/>
        <w:t>- Alloin Holding SAS,</w:t>
        <w:br/>
        <w:t>- Heppner Société de Transports, Lambert et Valette, XP France and FINALTRA,</w:t>
        <w:br/>
        <w:t>- Geodis Ciblex and Ciblex Financière,</w:t>
        <w:br/>
        <w:t>- Chronopost and La Poste,</w:t>
        <w:br/>
        <w:t>- Exapaq,</w:t>
        <w:br/>
        <w:t>- Dachser France and Dachser Holding GmbH &amp; Co. KG,</w:t>
        <w:br/>
        <w:t>- Gefco and Peugeot SA,</w:t>
        <w:br/>
        <w:t>- GLS France, General Logistics Systems BV and Royal Mail Group Limited,</w:t>
        <w:br/>
        <w:t>- Transports H Ducros,</w:t>
        <w:br/>
        <w:t>- DHL Express (France) SAS, DHL Holding France SAS and Deutsche Post AG,</w:t>
        <w:br/>
        <w:t>- TNT Express France and TNT Express NV,</w:t>
        <w:br/>
        <w:t>- Ziegler France and Balspeed France,</w:t>
        <w:br/>
        <w:t>- Normatrans,</w:t>
        <w:br/>
        <w:t>- the Federation of Transport and Logistics Companies of France (TLF),</w:t>
      </w:r>
    </w:p>
    <w:p>
      <w:r>
        <w:t>for participating in an anti-competitive agreement in the French market for classic and express messaging, by implementing, within the framework of the meetings of the Express Messaging Trade Council of the Federation of Transport and Logistics Companies of France (TLF), as well as during bilateral or multilateral contacts, a concerted practice aimed at restricting competition among them on a pricing element, referred to as the "diesel surcharge," by agreeing on the pass-through of variations in the price of diesel according to a common method. This common method involved the monthly application of the "diesel surcharge," the use of common reference indices (CNR indices), the use of a revaluation grid based on multiplier coefficients, the simultaneous timing of increases, and the identification of the amount of this specific increase in the invoice.</w:t>
      </w:r>
    </w:p>
    <w:p>
      <w:r>
        <w:t>This concertation aimed to present a common approach and methodology to clients in order to eliminate the risk of a refusal reaction on their part and contractual breaches, even though the legislative, regulatory, and administrative environment contemporaneous with the facts left all freedom to transport companies regarding the method of passing through variations in the price of diesel in their prices. It was therefore likely to obstruct the proper functioning of the competitive process in the sector.</w:t>
      </w:r>
    </w:p>
    <w:p>
      <w:r>
        <w:t>This practice falls under anti-competitive actions participating in the same common objective: the control of the pass-through of variations in the price of diesel in the final price of the messaging service, that is, the control of an important element of the price. By pursuing this objective, the parties imposed on the French market for classic and express messaging a mode of organization substituting for the free play of competition a concertation extended to the majority of companies active in these markets.</w:t>
      </w:r>
    </w:p>
    <w:p>
      <w:r>
        <w:t>This practice therefore constitutes an agreement with an anti-competitive object, prohibited by Article L. 420-1 of the Commercial Code and Article 101 TFEU. This agreement was implemented from May 26, 2004, to January 5, 2006.</w:t>
      </w:r>
    </w:p>
    <w:p>
      <w:r>
        <w:t>The charges will be notified to the aforementioned companies, considering the duration of their participation in the agreement.</w:t>
        <w:br/>
        <w:t>- The charges are notified to Schenker-Joyau SAS and Deutsche Bahn AG for the period from May 26, 2004, to January 5, 2006;</w:t>
        <w:br/>
        <w:t>- The charges are notified to Alloin Holding SAS for the period from May 26, 2004, to January 5, 2006;</w:t>
        <w:br/>
        <w:t>- The charges are notified to FINALTRA, Heppner Société de Transports, Lambert et Valette, and XP France for the period from May 26, 2004, to January 5, 2006;</w:t>
        <w:br/>
        <w:t>- The charges are notified to Geodis Ciblex and Ciblex Financière for the period from September 22, 2005, to January 5, 2006;</w:t>
        <w:br/>
        <w:t>- The charges are notified to Chronopost and La Poste for the period from June 8, 2005, to January 5, 2006;</w:t>
        <w:br/>
        <w:t>- The charges are notified to Exapaq for the period from June 8, 2005, to January 5, 2006;</w:t>
        <w:br/>
        <w:t>- The charges are notified to Dachser France and Dachser Holding GmbH &amp; Co. KG for the period from May 26, 2004, to January 5, 2006;</w:t>
        <w:br/>
        <w:t>- The charges are notified to Gefco and Peugeot SA for the period from June 8, 2005, to January 5, 2006;</w:t>
        <w:br/>
        <w:t>- The charges are notified to GLS France, General Logistics Systems BV, and Royal Mail Group Limited for the period from June 8, 2004, to January 5, 2006;</w:t>
        <w:br/>
        <w:t>- The charges are notified to Transports H Ducros for the period from June 8, 2004, to January 5, 2006;</w:t>
        <w:br/>
        <w:t>- The charges are notified to DHL Express France, DHL Holding France SAS, and Deutsche Post AG for the period from May 26, 2004, to January 5, 2006;</w:t>
        <w:br/>
        <w:t>- The charges are notified to TNT Express France and TNT Express NV for the period from May 26, 2004, to January 5, 2006;</w:t>
        <w:br/>
        <w:t>- The charges are notified to Ziegler France and Balspeed France for the period from June 8, 2004, to January 5, 2006;</w:t>
        <w:br/>
        <w:t>- The charges are notified to Normatrans for the period from June 8, 2005, to January 5, 2006;</w:t>
        <w:br/>
        <w:t>- The charges are notified to the TLF association for the period from May 26, 2004, to January 5, 2006;</w:t>
      </w:r>
    </w:p>
    <w:p>
      <w:r>
        <w:rPr>
          <w:b/>
        </w:rPr>
        <w:t>[Pages 100–102]</w:t>
      </w:r>
    </w:p>
    <w:p>
      <w:r>
        <w:t>b) Grievance No. 2: On the practice regarding the exchange of information on price increases</w:t>
      </w:r>
    </w:p>
    <w:p>
      <w:r>
        <w:t>The companies are accused of:</w:t>
        <w:br/>
        <w:t>- Schenker-Joyau SAS and Deutsche Bahn AG,</w:t>
        <w:br/>
        <w:t>- Alloin Holding SAS, Kuehne+Nagel Road and Kuehne+Nagel International AG,</w:t>
        <w:br/>
        <w:t>- Heppner Société de Transports, Lambert et Valette, XP France and FINALTRA,</w:t>
        <w:br/>
        <w:t>- Geodis, EPIC SNCF, Geodis Ciblex and Ciblex Financière,</w:t>
        <w:br/>
        <w:t>- BMVirolle,</w:t>
        <w:br/>
        <w:t>- Chronopost and La Poste,</w:t>
        <w:br/>
        <w:t>- Exapaq,</w:t>
        <w:br/>
        <w:t>- Dachser France and Dachser Holding GmbH &amp; Co. KG,</w:t>
        <w:br/>
        <w:t>- FedEx Express France,</w:t>
        <w:br/>
        <w:t>- Gefco and Peugeot SA,</w:t>
        <w:br/>
        <w:t>- GLS France, General Logistics Systems BV, Royal Mail Group Limited and Royal Mail plc,</w:t>
        <w:br/>
        <w:t>- Transports H Ducros,</w:t>
        <w:br/>
        <w:t>- DHL Express (France) SAS, DHL Holding France SAS and Deutsche Post AG,</w:t>
        <w:br/>
        <w:t>- TNT Express France and TNT Express NV,</w:t>
        <w:br/>
        <w:t>- Ziegler France and Balspeed France,</w:t>
        <w:br/>
        <w:t>- Normatrans,</w:t>
        <w:br/>
        <w:t>- Norbert Dentressangle Distribution, Lotra Limited and Norbert Dentressangle,</w:t>
        <w:br/>
        <w:t>- Fédération des entreprises de transport et de logistique de France (TLF),</w:t>
      </w:r>
    </w:p>
    <w:p>
      <w:r>
        <w:t>of having participated in an anti-competitive agreement in the French market for classic and express messaging, by implementing, within the framework of the meetings of the Express Messaging Trade Council of the Federation of Transport and Logistics Companies of France (TLF), as well as during bilateral or multilateral contacts, a concerted practice aimed at drastically reducing the opacity regarding the commercial strategies concerning price increases of each of the companies participating in the meetings and contacts. This concerted practice was based on exchanges of precise and individualized information on the price increases that the participating companies intended to request from their clients as part of the annual pricing revaluation campaigns. In most cases, this information had a future character as it was exchanged just before or during the commercial negotiations.</w:t>
      </w:r>
    </w:p>
    <w:p>
      <w:r>
        <w:t>This practice thus falls under anti-competitive actions contributing to the same common objective: controlling the annual increase in the rates for classic and express messaging services, that is, controlling an essential element of commercial negotiation. By pursuing this objective, the parties imposed on the French market for classic and express messaging a mode of organization substituting for the free play of competition a consultation extended to the majority of companies active in these markets.</w:t>
      </w:r>
    </w:p>
    <w:p>
      <w:r>
        <w:t>This practice therefore constitutes an agreement with an anti-competitive object, prohibited by Article L. 420-1 of the Commercial Code and Article 101 TFEU. This agreement was implemented from September 30, 2004, to September 29, 2010.</w:t>
      </w:r>
    </w:p>
    <w:p>
      <w:r>
        <w:t>The grievances will be notified to the aforementioned companies, taking into account the duration of their participation in the agreement.</w:t>
        <w:br/>
        <w:t>- The grievances are notified to Schenker-Joyau SAS and Deutsche Bahn AG for the period from September 30, 2004, to March 2009, then from September 16, 2010, to September 29, 2010;</w:t>
        <w:br/>
        <w:t>- The grievances are notified to Alloin Holding SAS for the period from September 30, 2004, to March 2009, then from September 16, 2010, to September 29, 2010;</w:t>
        <w:br/>
        <w:t>Kuehne+Nagel Road, for the period from July 1, 2007, to March 2009, then from September 16, 2010, to September 29, 2010;</w:t>
        <w:br/>
        <w:t>Kuehne+Nagel International AG, for the period from January 6, 2009, to March 2009, then from September 16, 2010, to September 29, 2010;</w:t>
        <w:br/>
        <w:t>- The grievances are notified to FINALTRA, Heppner Société de Transports, Lambert et Valette and XP France for the period from September 30, 2004, to September 29, 2010;</w:t>
        <w:br/>
        <w:t>- The grievances are notified to Geodis for the period from October 17, 2005, to September 29, 2010;</w:t>
        <w:br/>
        <w:t>EPIC SNCF, for the period from the end of July 2008 to September 29, 2010;</w:t>
        <w:br/>
        <w:t>- The grievances are notified to Geodis Ciblex and Ciblex Financière for the period from September 18, 2008, to March 2009;</w:t>
        <w:br/>
        <w:t>- The grievances are notified to BMVirolle, for the period from September 28, 2006, to March 2007, then from September 18, 2008, to March 2010;</w:t>
        <w:br/>
        <w:t>- The grievances are notified to Chronopost and La Poste, for the period from September 22, 2005, to September 29, 2010;</w:t>
        <w:br/>
        <w:t>- The grievances are notified to Exapaq for the period from September 22, 2005, to March 2010;</w:t>
        <w:br/>
        <w:t>La Poste for the period from March 2006 to March 2010;</w:t>
        <w:br/>
        <w:t>- The grievances are notified to Dachser France and Dachser Holding GmbH &amp; Co. KG, for the period from September 30, 2004, to September 29, 2010;</w:t>
        <w:br/>
        <w:t>- The grievances are notified to FedEx Express France, for the period from September 28, 2006, to March 2010;</w:t>
        <w:br/>
        <w:t>- The grievances are notified to Gefco and Peugeot SA, for the period from September 30, 2004, to September 29, 2010;</w:t>
        <w:br/>
        <w:t>- The grievances are notified to GLS France and General Logistics Systems BV for the period from September 30, 2004, to September 29, 2010;</w:t>
      </w:r>
    </w:p>
    <w:p>
      <w:r>
        <w:t>Royal Mail Group Limited for the period from September 30, 2004, to December 31, 2006;</w:t>
        <w:br/>
        <w:t>Royal Mail plc for the period from January 1, 2007, to September 29, 2010;</w:t>
        <w:br/>
        <w:t>- The grievances are notified to Transports H Ducros, for the period from September 30, 2004, to September 29, 2010;</w:t>
        <w:br/>
        <w:t>- The grievances are notified to DHL Express France, DHL Holding France SAS and Deutsche Post AG, for the period from September 30, 2004, to March 2010;</w:t>
        <w:br/>
        <w:t>- The grievances are notified to TNT Express France and TNT Express NV, for the period from September 30, 2004, to March 2005, then from September 28, 2006, to March 2009, then from September 16, 2010, to September 29, 2010;</w:t>
        <w:br/>
        <w:t>- The grievances are notified to Ziegler and Balspeed France, for the period from September 30, 2004, to March 2009, then from September 16, 2010, to September 29, 2010;</w:t>
        <w:br/>
        <w:t>- The grievances are notified to Normatrans, for the period from September 28, 2006, to September 29, 2010;</w:t>
        <w:br/>
        <w:t>- The grievances are notified to:</w:t>
        <w:br/>
        <w:t>Norbert Dentressangle Distribution and Lotra Limited, for the period from June 21, 2007, to March 2008;</w:t>
        <w:br/>
        <w:t>To Norbert Dentressangle, for the period from December 17, 2007, to March 2008;</w:t>
        <w:br/>
        <w:t>- The grievances are notified to the TLF association for the period from September 30, 2004, to September 29, 2010;</w:t>
      </w:r>
    </w:p>
    <w:p>
      <w:r>
        <w:t>4. IMPLEMENTATION OF III OF ARTICLE L. 464-2 OF THE COMMERCIAL CODE</w:t>
      </w:r>
    </w:p>
    <w:p>
      <w:r>
        <w:t>518. The companies:</w:t>
        <w:br/>
        <w:t>- Dachser France and Dachser GmbH &amp; Co. KG;</w:t>
        <w:br/>
        <w:t>- La Poste, Chronopost and Exapaq;</w:t>
        <w:br/>
        <w:t>- TNT Express France and TNT Express NV;</w:t>
        <w:br/>
        <w:t>- Gefco;</w:t>
        <w:br/>
        <w:t>- Peugeot SA France;</w:t>
        <w:br/>
        <w:t>- Kuehne+Nagel International AG, Alloin Holding SAS and Kuehne+Nagel Road SAS; and</w:t>
        <w:br/>
        <w:t>- Royal Mail plc, Royal Mail Group Limited, General Logistics Systems B.V. and General Logistics Systems France SA;</w:t>
      </w:r>
    </w:p>
    <w:p>
      <w:r>
        <w:t>recipients of the notification of grievances, have requested the benefit of the provisions of III of Article L. 464-2 of the Commercial Code, according to which "when an organization or a company does not contest the reality of the grievances notified to it,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 When the company or</w:t>
      </w:r>
    </w:p>
    <w:p>
      <w:r>
        <w:rPr>
          <w:b/>
        </w:rPr>
        <w:t>[Pages 103–105]</w:t>
      </w:r>
    </w:p>
    <w:p>
      <w:r>
        <w:t>l'organisme commits to modifying its behavior for the future, the general rapporteur may propose to the Competition Authority to take this into account as well in determining the amount of the sanction."</w:t>
      </w:r>
    </w:p>
    <w:p>
      <w:r>
        <w:t>519. The implementation of these provisions led to the establishment of seven minutes signed between September 3, 2014, and October 2, 2014, by which the companies concerned declared that they did not contest the notified grievances.</w:t>
      </w:r>
    </w:p>
    <w:p>
      <w:r>
        <w:t>520. To take into account the non-contestation of the grievances, the deputy general rapporteur committed to proposing to the board that the financial sanction incurred, if applicable, by the companies concerned be reduced by 10% compared to the amount that would normally have been imposed on them.</w:t>
      </w:r>
    </w:p>
    <w:p>
      <w:r>
        <w:t>II. Discussion</w:t>
      </w:r>
    </w:p>
    <w:p>
      <w:r>
        <w:t>A. ON THE CONDUCT OF THE PROCEDURE</w:t>
      </w:r>
    </w:p>
    <w:p>
      <w:r>
        <w:t>521. The companies Ziegler and Heppner contest the regularity of the procedure on the following points:</w:t>
        <w:br/>
        <w:t>- the ex officio referral (1);</w:t>
        <w:br/>
        <w:t>- the principle of equality of arms (2);</w:t>
        <w:br/>
        <w:t>- the principle of impartiality (3);</w:t>
        <w:br/>
        <w:t>- the procedure for non-contestation of grievances (4);</w:t>
        <w:br/>
        <w:t>- the alleged modification of grievance no. 1 during the procedure (5);</w:t>
        <w:br/>
        <w:t>- the rules of evidence (6).</w:t>
      </w:r>
    </w:p>
    <w:p>
      <w:r>
        <w:t>522. Furthermore, the company Geodis submitted a note in deliberation regarding the admissibility of which it is appropriate to question (7).</w:t>
      </w:r>
    </w:p>
    <w:p>
      <w:r>
        <w:t>1. REGARDING THE EX OFFICIO REFERRAL</w:t>
      </w:r>
    </w:p>
    <w:p>
      <w:r>
        <w:t>523. Ziegler argues that the ex officio referral decision no. 09-SO-03 of November 4, 2009, by which the Authority took up practices implemented in the messaging sector, was not preceded by a proposal from the general rapporteur, which would be contrary to the provisions of Article L. 462-5 of the Commercial Code, particularly in light of the Constitutional Council decision no. 2012-280 QPC "Société Groupe Canal Plus."</w:t>
      </w:r>
    </w:p>
    <w:p>
      <w:r>
        <w:t>524. The legal guarantees surrounding the ex officio referral and excluding any prejudgment were recalled by the Constitutional Council in its decision of October 14, 2015, in the following terms: "If, under the provisions of Article L. 462-5 of the Commercial Code, the Competition Council can decide to take up certain anti-competitive practices ex officio, this decision by which the Council exercises its mission to monitor the proper functioning of markets has neither the object nor the effect of attributing a practice to a specific company; that, consequently, it does not lead to prejudging the reality of the practices that may give rise to sanctions; that the investigation of the case is then conducted solely under the direction of the general rapporteur in the conditions and according to the guarantees provided by Articles L. 463-1 and L. 463-2 of said code; that the board of the Competition Council is, for its part, competent to rule, according to the modalities provided by Article L. 463-7 of the same code, on the grievances notified by the general rapporteur and, if applicable, impose sanctions; that the last two paragraphs of this article provide that, during the session, the general rapporteur may present observations, while providing that when the Council rules on practices of which it has been seized under Article L. 462-5, the general rapporteur and the rapporteur do not attend the deliberation; that, given these legal guarantees, which it is the responsibility of the competent jurisdiction to ensure compliance with, the decision of the Competition Council to take up ex officio does not create confusion between, on the one hand, the functions of prosecution and investigation and, on the other hand, the powers of sanction" (decision of the Constitutional Council of October 14, 2015, cited above, consideration 7).</w:t>
      </w:r>
    </w:p>
    <w:p>
      <w:r>
        <w:t>525. These considerations, which led to establishing the constitutionality of the ex officio referral, are also applicable regarding the conformity of this mechanism with Article 6, paragraph 1, of the European Convention on Human Rights.</w:t>
      </w:r>
    </w:p>
    <w:p>
      <w:r>
        <w:t>526. Thus, the position adopted by the commercial chamber is reinforced, which, seized of a plea related to Article 6, paragraph 1, ruled that: "The decision by which the Competition Council decides to take up ex officio is not a prosecutorial act" (ruling of the Court of Cassation of June 23, 2004, no. 01-17.896, Bull. no. 132 page 134).</w:t>
      </w:r>
    </w:p>
    <w:p>
      <w:r>
        <w:t>527. In this case, the Authority took up ex officio practices implemented in the messaging sector, by decision no. 09-S0-03 of November 4, 2009, drafted in the following terms: "The Competition Authority takes up ex officio practices implemented in the messaging sector."</w:t>
      </w:r>
    </w:p>
    <w:p>
      <w:r>
        <w:t>528. The Authority also took up ex officio practices implemented in the express messaging sector, by decision no. 10-SO-04 of July 27, 2010, drafted in the following terms: "The Competition Authority takes up ex officio practices implemented in the express messaging sector."</w:t>
      </w:r>
    </w:p>
    <w:p>
      <w:r>
        <w:t>529. It follows from the very content of these decisions that they do not designate any market, any operator, or any prohibited act: no prejudgment can therefore be attributed to them.</w:t>
      </w:r>
    </w:p>
    <w:p>
      <w:r>
        <w:t>530. Ziegler's argument must therefore be dismissed.</w:t>
      </w:r>
    </w:p>
    <w:p>
      <w:r>
        <w:t>2. REGARDING THE EQUALITY OF ARMS AND EQUALITY OF TREATMENT</w:t>
      </w:r>
    </w:p>
    <w:p>
      <w:r>
        <w:t>531. Ziegler claims that the time it was given to respond to the notification of grievances was insufficient and constituted both a breach of the equality of arms concerning the Authority's investigation services and an inequality of treatment compared to the other parties involved.</w:t>
      </w:r>
    </w:p>
    <w:p>
      <w:r>
        <w:t>532. It is recalled that the company Ziegler, which was not subject to any search and seizure operations, was informed of the existence of the procedure in January 2013 and was granted a fifteen-day extension.</w:t>
      </w:r>
    </w:p>
    <w:p>
      <w:r>
        <w:t>533. While Article L. 463-2 of the Commercial Code provides that the general rapporteur may grant an additional period of up to one month for the consultation of the file and the submission of observations by the parties, such a decision can only occur when the company presents "exceptional circumstances."</w:t>
      </w:r>
    </w:p>
    <w:p>
      <w:r>
        <w:t>534. The decision-making practice and case law consistently confirm that it is up to the concerned company to demonstrate the existence of such circumstances (Competition Council, decision no. 06-D-09 of April 11, 2006, paragraph 284, Competition Authority, decision no. 12-D-09 of March 13, 2012, paragraph 352, and ruling of the Paris Court of Appeal, January 20, 2011, no. 2010/08165; ruling of the Court of Cassation of October 13, 2009, no. 08-17269 et al.). The Paris Court of Appeal also specified in a ruling of November 25, 2003, that the parties cannot argue that they were unable to exercise their rights to defense, as long as they were able to effectively respond within the deadlines to the arguments developed against them (Paris Court of Appeal, November 25, 2003, BOCCRF no. 2 of March 12, 2004, page 172). Finally, in a ruling of November 24, 2009 (Chevron Products Company), the Paris Court of Appeal held that the fact that the rapporteur has a longer period to establish his notifications and report than the time available to the parties to respond to those same acts does not constitute a violation of the principle of equality of arms, as long as the parties do not demonstrate that the legal two-month period provided for in Article L. 463-2 of the Commercial Code was insufficient to respond and effectively organize their defense. It specified that "given the large number of practices to examine and parties involved, it was not illegitimate for the rapporteur to have longer deadlines than those enjoyed by the parties since it was his responsibility to handle the procedure in its entirety and respond to the observations of all parties; that, moreover, all companies that requested an additional period to present their observations following the report obtained it."</w:t>
      </w:r>
    </w:p>
    <w:p>
      <w:r>
        <w:t>535. If, in this case, certain parties were granted an additional month, it was precisely due to the existence of exceptional circumstances specific to them, notably the requirement for translations related to the nationality of their parent companies.</w:t>
      </w:r>
    </w:p>
    <w:p>
      <w:r>
        <w:t>536. The elements mentioned by the company Ziegler cannot be qualified as "exceptional circumstances." Indeed, Ziegler does not explain how the difficulties it encountered limited its ability to analyze and respond to the notification of grievances. It also does not demonstrate the alleged procedural advantage that the eight companies, out of nineteen concerned by this decision, which were subject to search and seizure operations would have benefited from.</w:t>
      </w:r>
    </w:p>
    <w:p>
      <w:r>
        <w:t>537. Regarding the issue of equality of arms, competition law litigation bears no commonality with private litigation, and it is therefore not possible to compare the time Ziegler had to respond to the notification of grievances with the time necessary for the investigation services to investigate, instruct, and draft the notification of grievances in this case.</w:t>
      </w:r>
    </w:p>
    <w:p>
      <w:r>
        <w:t>538. In this regard, it should be noted the numerous documents resulting from the search and seizure operations, as well as the large number of companies involved in the investigation. Furthermore, it should be recalled that the appeal procedures against the search and seizure operations only concluded in October 2011, thus slowing down the work of the rapporteurs.</w:t>
      </w:r>
    </w:p>
    <w:p>
      <w:r>
        <w:t>539. The argument will therefore be dismissed.</w:t>
      </w:r>
    </w:p>
    <w:p>
      <w:r>
        <w:rPr>
          <w:b/>
        </w:rPr>
        <w:t>[Pages 106–108]</w:t>
      </w:r>
    </w:p>
    <w:p>
      <w:r>
        <w:t>3. CONCERNING THE IMPARTIALITY OF THE INVESTIGATION</w:t>
      </w:r>
    </w:p>
    <w:p>
      <w:r>
        <w:t>540. DHL claims that the investigative services lacked impartiality in conducting the investigation because they allegedly ignored the specific economic environment of the messaging sector and misleadingly presented the TLF union. The investigative services also allegedly insufficiently demonstrated DHL's participation in the practices being pursued.</w:t>
      </w:r>
    </w:p>
    <w:p>
      <w:r>
        <w:t>541. However, these arguments merely contest the analysis of the investigative services on the merits of the case and do not mention any procedural disadvantage that DHL may have suffered.</w:t>
      </w:r>
    </w:p>
    <w:p>
      <w:r>
        <w:t>542. The argument will therefore be dismissed at this stage.</w:t>
      </w:r>
    </w:p>
    <w:p>
      <w:r>
        <w:t>4. CONCERNING THE DURATION OF THE PROCEDURE</w:t>
      </w:r>
    </w:p>
    <w:p>
      <w:r>
        <w:t>543. The company Ziegler considers that the conduct of the procedure has caused a personal, effective, and irreparable infringement of its rights of defense in that it was only informed of the existence of the procedure late, on January 14, 2013, while, between the end of 2002 and 2013, it closed numerous agencies, making some archives inaccessible. Furthermore, the director of messaging France for the company left his position on April 30, 2014.</w:t>
      </w:r>
    </w:p>
    <w:p>
      <w:r>
        <w:t>544. The judgment of January 26, 2012, of the Paris Court of Appeal (Beauté prestige international, RG no. 2010/23945, page 18) specified, regarding the arguments on the excessive duration of the procedure, that it is incumbent upon each party involved to provide proof of a concrete, effective, and irreparable violation of its rights of defense.</w:t>
      </w:r>
    </w:p>
    <w:p>
      <w:r>
        <w:t>545. The company Ziegler does not provide any concrete elements to assess how the archives of the agencies closed between 2002 and 2013 would have been necessary for the exercise of its rights of defense. The practices being pursued primarily concerned information exchanged on the overall policy of each company and not on the commercial activities of each agency.</w:t>
      </w:r>
    </w:p>
    <w:p>
      <w:r>
        <w:t>546. During his hearing in January 2013, the director of messaging France for Ziegler, who was the company's representative at the TLF Trade Council, was still employed by the company, thus able to provide Ziegler with all the necessary explanations regarding the context of the TLF Trade Council meetings and the company's participation in these meetings.</w:t>
      </w:r>
    </w:p>
    <w:p>
      <w:r>
        <w:t>547. The argument will therefore be dismissed.</w:t>
      </w:r>
    </w:p>
    <w:p>
      <w:r>
        <w:t>5. CONCERNING THE PROCEDURE OF NON-CONTESTATION OF THE CHARGES</w:t>
      </w:r>
    </w:p>
    <w:p>
      <w:r>
        <w:t>548. Heppner indicates in its observations that it did not wish to enter into the procedure of non-contestation of the charges, based on III of Article L. 464-2 of the Commercial Code, due to certain limitations imposed by the Authority's procedural notice of February 10, 2012, relating to this specific procedure.</w:t>
      </w:r>
    </w:p>
    <w:p>
      <w:r>
        <w:t>549. According to Heppner, these limitations relate to:</w:t>
        <w:br/>
        <w:t>- the obligation to waive contesting all the notified charges;</w:t>
        <w:br/>
        <w:t>- the obligation to waive contesting both the materiality of the facts and their legal qualification;</w:t>
        <w:br/>
        <w:t>- the obligation to waive invoking the benefit of an exemption for these charges;</w:t>
        <w:br/>
        <w:t>- the obligation to waive invoking objections regarding the regularity of the procedure.</w:t>
      </w:r>
    </w:p>
    <w:p>
      <w:r>
        <w:t>550. Heppner concludes with reservations regarding the regularity of this procedure in light of the principles of a fair trial.</w:t>
      </w:r>
    </w:p>
    <w:p>
      <w:r>
        <w:t>551. Article L. 464-2 III of the Commercial Code, in its wording prior to August 8, 2015, states: "When an organization or company does not contest the reality of the charges notified to it, the general rapporteur may propose to the Competition Authority, which hears the parties and the Government Commissioner without prior establishment of a report, to impose the monetary sanction provided for in I, taking into account the absence of contestation."</w:t>
      </w:r>
    </w:p>
    <w:p>
      <w:r>
        <w:t>552. Thus, the procedure of non-contestation of the charges is not a right for companies since it may potentially be implemented at the proposal of the general rapporteur, in light of the procedural gains that may be expected from it (see in this regard point 34 of the procedural notice of February 10, 2012, relating to the non-contestation of charges). This procedural gain allows the investigative services to be exempted from drafting a report.</w:t>
      </w:r>
    </w:p>
    <w:p>
      <w:r>
        <w:t>553. Therefore, a company that has entered into the procedure of non-contestation of the charges cannot present arguments on part of the charges or elements of legal qualification of the practices, as the procedural gain for the Authority would be significantly diminished, if not nullified.</w:t>
      </w:r>
    </w:p>
    <w:p>
      <w:r>
        <w:t>554. Regarding in particular the request for exemption from the practices that were the subject of the charges, this can only occur after the notification of the charges, since it is the responsibility of the accused to provide proof that the conditions for exemption are met. It is therefore up to the accused to assess its ability to meet the four elements required by Article 101, paragraph 3, of the TFEU and to make a choice between the request for exemption and the procedure of non-contestation of the charges. Indeed, a request for exemption would constitute a contestation of the charges and would lead to an increase in the procedural burden on the Authority. Therefore, the law does not allow for a favorable reception of a request for exemption from a company that has opted for the procedure of non-contestation of the charges.</w:t>
      </w:r>
    </w:p>
    <w:p>
      <w:r>
        <w:t>555. Finally, the procedure of non-contestation of the charges constitutes only a procedural option, both for the accused and for the Authority. The conditions surrounding this procedure cannot be contrary to the principles of a fair trial, as companies always have the possibility to contest the charges and to present before the Authority all arguments they deem relevant.</w:t>
      </w:r>
    </w:p>
    <w:p>
      <w:r>
        <w:t>556. The argument will therefore be rejected.</w:t>
      </w:r>
    </w:p>
    <w:p>
      <w:r>
        <w:t>6. ON THE ALLEGATION OF MODIFICATION OF CHARGE NO. 1 IN THE REPORT</w:t>
      </w:r>
    </w:p>
    <w:p>
      <w:r>
        <w:t>557. According to Heppner, the report would have "evolved the charge," in that charge no. 1 referred, in the notification of charges, solely to the fact of having implemented a common method while what would be reproached to the accused in the report would be having agreed to pass on the additional cost related to diesel, the common method no longer being considered other than as the instrument of this agreement.</w:t>
      </w:r>
    </w:p>
    <w:p>
      <w:r>
        <w:t>558. For the record, "[t]he companies [accused] are charged with having participated in an anti-competitive agreement [...] by implementing [...] a concerted practice aimed at restricting competition among themselves on an element of price, referred to as 'diesel surcharge,' by agreeing to pass on the variations in the price of diesel according to a common method" (emphasis added).</w:t>
      </w:r>
    </w:p>
    <w:p>
      <w:r>
        <w:t>559. Thus, what has always been reproached to the accused in the context of charge no. 1, whether in the notification of charges or in the report, is the fact of having participated in an anti-competitive agreement whose object concerned an element of price: the diesel surcharges. Indeed, the notification of charges indicated in the developments relating to the qualification of the practice pursued by charge no. 1 that the consultation among the accused aimed to restrict competition "by agreeing on the principle of passing on the variations in the price of diesel according to a common method" (notification of charges, paragraph 885). From the notification of charges, it was indicated that the accused were being prosecuted for having conspired both on the principle of passing on the increase in the price of diesel and on the method for doing so.</w:t>
      </w:r>
    </w:p>
    <w:p>
      <w:r>
        <w:t>560. Similarly, the report reproached the accused "for having agreed on the principle of individualizing the passing on of the sole cost of diesel and a common methodology for passing on the diesel surcharge" (report, paragraph 335).</w:t>
      </w:r>
    </w:p>
    <w:p>
      <w:r>
        <w:t>561. Therefore, there is no inconsistency between the wording of the notification of charges and that of the report on this subject, and the argument of the company Heppner, which could not have misunderstood the scope of the notified charge, will be dismissed.</w:t>
      </w:r>
    </w:p>
    <w:p>
      <w:r>
        <w:t>7. CONCERNING THE ADMISSIBILITY OF THE DELIBERATIVE NOTE FROM GEODIS</w:t>
      </w:r>
    </w:p>
    <w:p>
      <w:r>
        <w:t>562. The company Geodis submitted a deliberative note dated October 15, 2015, providing new arguments aimed at demonstrating that Mr. Jean S... no longer represented the company Geodis at the Trade Councils from the end of March 2009.</w:t>
      </w:r>
    </w:p>
    <w:p>
      <w:r>
        <w:t>563. The Paris Court of Appeal, in its order of May 15, 2006, rendered on appeal against the decision of the Competition Council no. 06-D-06 of March 17, 2006, noted: "The Council rejected, in decision 06-D-06, the deliberative note submitted by a party after the session. This note had not been requested by the session president and nothing justified the submission, by the interested party, of additional elements compared to the observations it had submitted at the end of the two-month period provided for by Article L. 463-2 of the Commercial Code."</w:t>
      </w:r>
    </w:p>
    <w:p>
      <w:r>
        <w:t>564. In the present case, the deliberative note submitted by Geodis after the session of September 30, 2015, was not requested by the session president. The company concerned was able to explain the issue of its representation by Mr. S... before the Trade Council and provide all the elements it deemed useful in its observations to the notification of charges, its response to the report, and in session before the panel.</w:t>
      </w:r>
    </w:p>
    <w:p>
      <w:r>
        <w:t>565. Therefore, the deliberative note submitted by Geodis will be rejected.</w:t>
      </w:r>
    </w:p>
    <w:p>
      <w:r>
        <w:rPr>
          <w:b/>
        </w:rPr>
        <w:t>[Pages 109–111]</w:t>
      </w:r>
    </w:p>
    <w:p>
      <w:r>
        <w:t>la concurrence a précisé que « les segments de marché ne sont pas étanches et que les clients peuvent passer d’un segment à l’autre en fonction de leurs besoins ».</w:t>
        <w:br/>
        <w:t>586. En conséquence, il convient de considérer que le marché pertinent pour les pratiques en cause dans la présente affaire est le marché de la messagerie classique et express sur le territoire français, sans distinction stricte entre les différents segments de services.</w:t>
        <w:br/>
        <w:t>587. Cette approche est également soutenue par la jurisprudence, qui reconnaît que les marchés peuvent être définis de manière plus large lorsque les produits ou services en question sont substituables les uns aux autres pour les consommateurs.</w:t>
        <w:br/>
        <w:t>588. Par conséquent, le marché pertinent doit être défini comme englobant l’ensemble des services de messagerie classique et express, indépendamment des distinctions entre les différents types de services offerts.</w:t>
      </w:r>
    </w:p>
    <w:p>
      <w:r>
        <w:rPr>
          <w:b/>
        </w:rPr>
        <w:t>[Pages 112–114]</w:t>
      </w:r>
    </w:p>
    <w:p>
      <w:r>
        <w:t>the competition had considered that "the two segments of classic messaging and express seem to largely overlap both in their respective performance in terms of deadlines and guarantees as well as in their modes of production. This difficulty in precisely delineating their boundary results in the observation of the wide substitutability of messaging and express services" (emphasis added).</w:t>
      </w:r>
    </w:p>
    <w:p>
      <w:r>
        <w:t>586. In this case, the various services offered by companies in the sector (classic messaging, single parcel, pallet, express, etc.) constitute identifiable segments but whose delineation can vary significantly depending on the structure and content of the providers' offers and also their pricing policies. Furthermore, despite the previously mentioned distinctions regarding weight, deadlines, or guarantees, all the aforementioned segments retain the fundamental characteristics of the messaging sector: network organization and reliance on grouping and de-grouping operations through sorting platforms.</w:t>
      </w:r>
    </w:p>
    <w:p>
      <w:r>
        <w:t>587. It follows from the Authority's decision-making practice and case law that when the practices in question are examined under the prohibition of agreements or concerted practices, as is the case here, it is not necessary to define the market precisely, as in cases of abuse of dominant position, as long as the sector has been sufficiently identified to allow for the qualification of the observed practices and to attribute them to the operators who implemented them (decisions no. 09-D-17 of the Competition Council of April 22, 2009, regarding practices implemented by the regional council of the order of pharmacists of Lower Normandy and no. 05-D-27 of June 15, 2005, regarding practices noted in the white tuna sector, paragraph 28; see also, in this sense, the judgment of the Court of First Instance of July 6, 2000, Volkswagen/Commission, case T-62/98, paragraph 230).</w:t>
      </w:r>
    </w:p>
    <w:p>
      <w:r>
        <w:t>588. The geographical market, for its part, includes the territory on which companies are engaged in the supply and demand in question and on which the conditions of competition are homogeneous.</w:t>
      </w:r>
    </w:p>
    <w:p>
      <w:r>
        <w:t>589. It follows that the practices concerned the market for classic and express messaging services in French territory, a market of national dimension.</w:t>
      </w:r>
    </w:p>
    <w:p>
      <w:r>
        <w:t>2. ON THE COMPETITION RELATIONS BETWEEN NDD AND OTHER COMPANIES IN THE MESSAGING SECTOR</w:t>
      </w:r>
    </w:p>
    <w:p>
      <w:r>
        <w:t>590. NDD argues that it was not, at the time of the practices, in a competitive relationship with other companies in the messaging and express sector, claiming that the palletized transport activity would be distinct from the rest of the messaging and express sector.</w:t>
      </w:r>
    </w:p>
    <w:p>
      <w:r>
        <w:t>591. From the demand perspective, NDD asserts that at the time of the practices, Darfeuille Services, on the one hand, only transported pallets for a significantly heavier weight than the items transported by other types of services and, on the other hand, only offered "B to B" deliveries. Finally, Darfeuille Services did not commit to a specific delivery date.</w:t>
      </w:r>
    </w:p>
    <w:p>
      <w:r>
        <w:t>592. From the supply perspective, NDD emphasizes that pallet messaging services are billed in increments of 100 kilos, with a decreasing rate per weight increment, variable depending on the starting point - destination pair. Moreover, the trucks used for pallet transport would be heavy vehicles of over three tons, which would require drivers with a specific license. Finally, NDD indicates that a palletized transport provider would only need about twenty agencies to cover the entire national territory without resorting to the "hub-and-spoke" organization of classic messengers.</w:t>
      </w:r>
    </w:p>
    <w:p>
      <w:r>
        <w:t>593. However, these characteristics do not differ from those present in "classic" messaging.</w:t>
      </w:r>
    </w:p>
    <w:p>
      <w:r>
        <w:t>594. Indeed, classic messaging also concerns heavy shipments, deliveries only "B to B," and a lack of guaranteed deadlines. The elements in the file allow us to affirm that the rates for classic messaging services are also decreasing and calculated according to a grid constructed based on starting point - destination pairs.</w:t>
      </w:r>
    </w:p>
    <w:p>
      <w:r>
        <w:t>595. Contrary to what NDD claims, a study conducted in March 2008 by the Ministry of Ecology, Sustainable Development, and Territorial Planning on palletized goods transport indicates that "like classic messaging, 'pallet messaging' offers short delivery times (24 or 48 to 72 hours) often relying on a network of grouping-degrouping platforms" (reference no. 69637).</w:t>
      </w:r>
    </w:p>
    <w:p>
      <w:r>
        <w:t>596. While the activity of Darfeuille Services presents certain specificities compared to that of classic messaging, these do not lead to a segmentation between the two services but rather to the observation of a continuity between these services, as palletized transport adopts most of the characteristics of messaging networks.</w:t>
      </w:r>
    </w:p>
    <w:p>
      <w:r>
        <w:t>597. Furthermore, at the time of the practices, several companies participating in the denounced practices offered dedicated pallet services. This was notably the case for Schenker-Joyau and Mory. These companies were invited and participated in the Messaging/Express Trade Council.</w:t>
      </w:r>
    </w:p>
    <w:p>
      <w:r>
        <w:t>598. NDD's argument will therefore be dismissed.</w:t>
      </w:r>
    </w:p>
    <w:p>
      <w:r>
        <w:t>D. ON THE MERITS OF THE ALLEGATIONS</w:t>
      </w:r>
    </w:p>
    <w:p>
      <w:r>
        <w:t>599. The following will be addressed successively:</w:t>
        <w:br/>
        <w:t>- the consequences of the implementation of the non-contestation procedure (1);</w:t>
        <w:br/>
        <w:t>- the existence of the practices in question (2);</w:t>
        <w:br/>
        <w:t>- the participation of the companies in the practices in question (3).</w:t>
      </w:r>
    </w:p>
    <w:p>
      <w:r>
        <w:t>1. ON THE CONSEQUENCES OF THE IMPLEMENTATION OF THE NON-CONTESTATION PROCEDURE</w:t>
      </w:r>
    </w:p>
    <w:p>
      <w:r>
        <w:t>a) Principles</w:t>
      </w:r>
    </w:p>
    <w:p>
      <w:r>
        <w:t>600. The organization or company that chooses, in its wording prior to August 6, 2015, to request the benefit of the implementation of III of Article L. 464-2 of the Commercial Code must comply with the conditions imposed in this regard, by not contesting the reality of the allegations that have been notified to it.</w:t>
      </w:r>
    </w:p>
    <w:p>
      <w:r>
        <w:t>601. The interested party thus waives contesting the materiality of all the practices referred to in the notification of allegations, the qualification that has been given in light of the provisions of Union law and the Commercial Code, as well as its liability in the implementation of these practices (judgment of the Paris Court of Appeal of March 29, 2012, Lacroix Signalisation e.a., no. 2011/01228, page 23). This waiver must be clear, complete, and free of ambiguity (decision no. 06-D-09 of April 11, 2006, regarding practices implemented in the door manufacturing sector, paragraph 303, and decision no. 10-D-39 of December 22, 2010, regarding practices implemented in the vertical road signage sector, paragraph 425).</w:t>
      </w:r>
    </w:p>
    <w:p>
      <w:r>
        <w:t>602. The waiver of contesting the allegations is sufficient for the Authority to consider that all the infractions in question are established with respect to the parties that have made this procedural choice. Only the question of the participation in the anti-competitive practices of the parties that have not waived contesting the allegations must be discussed (see, in this sense, judgment of the Paris Court of Appeal of January 26, 2010, Adecco France e.a., RG no. 2009/03532, page 10, and on appeal judgment of the Court of Cassation of March 29, 2011, Manpower France e.a., no. 10-12913; see also decisions no. 04-D-42 regarding practices implemented in the context of the restoration market of the spire of the cathedral of Tréguier, paragraph 12, and no. 11-D-07 of February 24, 2011, regarding practices implemented in the sector of painting works on metal infrastructures, paragraph 113).</w:t>
      </w:r>
    </w:p>
    <w:p>
      <w:r>
        <w:t>b) Application to the case at hand</w:t>
      </w:r>
    </w:p>
    <w:p>
      <w:r>
        <w:t>603. The allegations recalled in paragraph 517 above relating to practices implemented in the sectors of messaging and express messaging have not been contested by the companies referred to in paragraph 13. They are therefore established with respect to them. It is only for the sake of clarity that the Authority will recall their content below.</w:t>
      </w:r>
    </w:p>
    <w:p>
      <w:r>
        <w:t>604. It remains necessary to demonstrate the individual participation in these allegations of each of the parties that did not make this procedural choice.</w:t>
      </w:r>
    </w:p>
    <w:p>
      <w:r>
        <w:t>605. These are, in this case, the following companies:</w:t>
        <w:br/>
        <w:t>- Schenker-Joyau SAS and Deutsche Bahn AG;</w:t>
        <w:br/>
        <w:t>- Heppner Société de Transports, Lambert and Valette, XP France and FINALTRA;</w:t>
        <w:br/>
        <w:t>- Geodis and EPIC SNCF;</w:t>
        <w:br/>
        <w:t>- Geodis Ciblex and Ciblex Financière;</w:t>
        <w:br/>
        <w:t>- BMVirolle;</w:t>
        <w:br/>
        <w:t>- FedEx Express France;</w:t>
        <w:br/>
        <w:t>- Transports H Ducros;</w:t>
        <w:br/>
        <w:t>- DHL Express (France) SAS, DHL Holding France SAS and Deutsche Post AG;</w:t>
        <w:br/>
        <w:t>- Ziegler France and Balspeed France;</w:t>
        <w:br/>
        <w:t>- Normatrans;</w:t>
        <w:br/>
        <w:t>- Norbert Dentressangle Distribution, Lotra Limited and Norbert Dentressangle;</w:t>
        <w:br/>
        <w:t>- the Federation of Transport and Logistics Companies of France (TLF).</w:t>
      </w:r>
    </w:p>
    <w:p>
      <w:r>
        <w:rPr>
          <w:b/>
        </w:rPr>
        <w:t>[Pages 115–117]</w:t>
      </w:r>
    </w:p>
    <w:p>
      <w:r>
        <w:t>2. ON THE EXISTENCE OF THE PRACTICES IN QUESTION</w:t>
      </w:r>
    </w:p>
    <w:p>
      <w:r>
        <w:t>606. The investigations have gathered a body of serious, precise, and consistent evidence demonstrating that the parties involved coordinated on a common methodology for passing on the costs related to the increase in diesel prices on the one hand (complaint no. 1) and on the overall increase in tariffs on the other hand (complaint no. 2).</w:t>
      </w:r>
    </w:p>
    <w:p>
      <w:r>
        <w:t>607. It is appropriate, firstly, to recall the principles that guide the qualification of such practices (a) and secondly, to analyze their application to the case at hand (b) as well as the arguments of the parties (c).</w:t>
      </w:r>
    </w:p>
    <w:p>
      <w:r>
        <w:t>a) Reminder of the principles</w:t>
      </w:r>
    </w:p>
    <w:p>
      <w:r>
        <w:t>Concerted practices</w:t>
      </w:r>
    </w:p>
    <w:p>
      <w:r>
        <w:t>608. The notion of a concerted practice refers to "a form of coordination between companies which, without having been pushed to the realization of a formal agreement, knowingly substitutes practical cooperation among them for the risks of competition [...]. The criteria of coordination and cooperation adopted by the case law of the Court, far from requiring the development of a genuine 'plan', must be understood in light of the inherent conception of the Treaty provisions relating to competition, according to which every economic operator must autonomously determine the policy it intends to pursue on the common market. [...] While it is true that this requirement of autonomy does not exclude the right of economic operators to intelligently adapt to the observed behavior or to anticipate that of their competitors, it strictly opposes any direct or indirect contact between such operators, aimed at or resulting in either influencing the market behavior of an actual or potential competitor, or revealing to such a competitor the behavior that one is determined to, or is considering to, adopt oneself on the market" (Judgment of the Court of Justice of December 16, 1975, Suiker Unie e.a./Commission, case 40/73 e.a., paragraphs 26, 173, and 174).</w:t>
      </w:r>
    </w:p>
    <w:p>
      <w:r>
        <w:t>609. As explained by the European Commission in its guidelines on the applicability of Article 101 of the Treaty to horizontal cooperation agreements: "an exchange of information may therefore constitute a concerted practice if it reduces strategic uncertainty in the market and, consequently, facilitates collusion, that is to say, if the exchanged data has a strategic character. Consequently, the exchange of strategic data between competitors amounts to a consultation, in that it reduces the independent behavior of competitors in the market and their incentive to compete" (paragraph 61).</w:t>
      </w:r>
    </w:p>
    <w:p>
      <w:r>
        <w:t>610. The demonstration of the existence of a concerted practice requires not only a consultation between the companies but also market behavior resulting from this consultation and having a causal link with it. In this regard, it follows from the case law of the Court of Justice that "it must be presumed, subject to contrary evidence which it is for the interested operators to provide, that the companies participating in the consultation and remaining active in the market take into account the information exchanged with their competitors to determine their behavior in that market" (Judgment of the Court of Justice of July 8, 1999, Commission/Anic Partecipazioni, case C-249/92 P, paragraph 121).</w:t>
      </w:r>
    </w:p>
    <w:p>
      <w:r>
        <w:t>611. This presumption of a causal link between the consultation and the behavior of companies in the market is applicable even if the consultation is based solely on a single meeting of the companies concerned (Judgment of the Court of Justice of June 4, 2009, case C-8/08, T-Mobile, paragraphs 60 and 63).</w:t>
      </w:r>
    </w:p>
    <w:p>
      <w:r>
        <w:t>612. This presumption is also applicable when the company has limited itself to receiving information from competitors, without communicating any to them. Indeed, the Tribunal has considered that "a company, by participating in a meeting with an anti-competitive purpose, not only pursued the aim of eliminating in advance the uncertainty regarding the future behavior of its competitors, but necessarily had to take into account, directly or indirectly, the information obtained during these meetings to determine the policy it intended to follow in the market. [...] This conclusion is also applicable when [...] the participation of one or more companies in meetings with an anti-competitive purpose is limited to merely receiving information regarding the future behavior of their competitors in the market" (Judgment of July 12, 2001, Tate &amp; Lyle, case T-202/98 e.a., paragraph 58). Indeed, in such a case, the degree of uncertainty regarding the future functioning of the market in question is mitigated for all the competitors involved, due to the information thus exchanged (guidelines on the applicability of Article 101 TFEU to horizontal cooperation agreements, paragraph 62).</w:t>
      </w:r>
    </w:p>
    <w:p>
      <w:r>
        <w:t>613. In order to overturn this presumption, it is incumbent upon the concerned company to prove that the consultation did not influence its own behavior in the market in any way. The contrary evidence must therefore be capable of excluding any link between the consultation and the determination, by this company, of its behavior in the market. In this regard, it should be noted that data relating to the prices practiced by the concerned company cannot, as such, suffice to overturn said presumption. Indeed, this data does not demonstrate, on its own, that this company did not take into account the information exchanged with its competitors to determine its behavior in the market (Judgment of the Court of Justice of December 5, 2013, Solvay Solexis SpA, case C-449/11 P, paragraph 39).</w:t>
      </w:r>
    </w:p>
    <w:p>
      <w:r>
        <w:t>The proof of a concerted practice</w:t>
      </w:r>
    </w:p>
    <w:p>
      <w:r>
        <w:t>614. The existence of a concerted practice can be demonstrated by elements proving that contacts took place between a certain number of companies and that they specifically pursued the aim of eliminating or reducing in advance the uncertainty regarding their future behavior in the market (Judgments of the Court of Justice of December 16, 1975, Suiker Unie, cited above, paragraphs 175 and 179, and of the Tribunal of July 12, 2011, Fuji Electric Co. Ltd./Commission, case T-132/07, paragraph 88; and of March 15, 2000, Cimenteries CBR e.a. v. Commission, case T-25/95 e.a., paragraph 19).</w:t>
      </w:r>
    </w:p>
    <w:p>
      <w:r>
        <w:t>615. The Court of Appeal of Paris and the Court of Cassation have confirmed the evidentiary value of a body of serious, precise, and consistent evidence (Judgments of the Court of Cassation of April 7, 2010, Société puériculture de France SAS, no. 09-11853; and of the Court of Appeal of Paris of January 19, 1999, Gerland Routes SA e.a.).</w:t>
      </w:r>
    </w:p>
    <w:p>
      <w:r>
        <w:t>616. Regarding the statements of a leniency applicant, the Tribunal has ruled: "[w]ith respect to the statements, a particularly high evidentiary value may also be recognized for those which, firstly, are reliable, secondly, are made on behalf of a company, thirdly, come from a person bound by the professional obligation to act in the interest of that company, fourthly, go against the interests of the declarant, fifthly, come from a direct witness of the circumstances they report, and sixthly, have been provided in writing, deliberately and after careful consideration (see, in this sense, Judgment JFE Engineering e.a./Commission, paragraph 62 above, paragraphs 205 to 210). Furthermore, although a certain distrust towards voluntary statements from the main participants in an illegal agreement is generally warranted, given the possibility, invoked by the applicants, that these participants may tend to minimize the importance of their contribution to the infringement and maximize that of others, it remains that the fact of requesting to benefit from the application of the communication on cooperation in order to obtain immunity or a reduction of the fine does not necessarily create an incentive to present distorted evidence regarding the participation of other members of the agreement. Indeed, any attempt to mislead the Commission could undermine the sincerity as well as the completeness of the cooperation of the applicant and, consequently, jeopardize the possibility for that applicant to fully benefit from the communication on cooperation (see, in this sense, Judgment of the Tribunal of November 16, 2006, Peróxidos Orgánicos/Commission, T-120/04, Rec. p. II-4441, paragraph 70)" (Judgment of the Tribunal of July 12, 2011, Hitachi e.a./Commission, case T-112/07, paragraphs 69 and following).</w:t>
      </w:r>
    </w:p>
    <w:p>
      <w:r>
        <w:t>The anti-competitive object of concerted practices</w:t>
      </w:r>
    </w:p>
    <w:p>
      <w:r>
        <w:t>617. A concerted practice has an anti-competitive object within the meaning of Article 101, paragraph 1, TFEU when, due to its content as well as its purpose and taking into account the legal and economic context in which it is inserted, it is concretely capable of preventing, restricting, or distorting competition within the common market. It is not necessary for competition to be actually prevented, restricted, or distorted nor for there to be a direct link between this concerted practice and consumer prices (Judgment of the Court of Justice of June 4, 2009, T-Mobile Netherlands e.a., case C-8/08, paragraph 43).</w:t>
      </w:r>
    </w:p>
    <w:p>
      <w:r>
        <w:t>618. In this regard, it matters little whether the parties acted without a subjective intention to restrict competition and coordinated for reasons among which some were legitimate (Judgment of the Court of Justice of November 20, 2008, Beef Industry Development Society and Barry Brothers, case C-209/07, paragraph 21).</w:t>
      </w:r>
    </w:p>
    <w:p>
      <w:r>
        <w:t>619. Concerted practices consisting of exchanges of information between competitors pursue an anti-competitive object when they are likely to eliminate uncertainties regarding the behavior contemplated by the companies concerned (Judgment of the Court of Justice of June 4, 2009, T-Mobile Netherlands e.a., paragraph 43).</w:t>
      </w:r>
    </w:p>
    <w:p>
      <w:r>
        <w:t>620. The exchanges of information allow companies to coordinate when they are of a nature "to mitigate or eliminate [...] any uncertainty regarding the predictable nature of the behaviors [of] competitors" (Judgment of the Tribunal of October 27, 1994, John Deere, case T-35/92, paragraph 51). This is particularly the case when the exchanged information concerns future intentions. Thus, in a case related to banana trade in Northern Europe, the European Commission considered that discussions and revelations concerning either "price trends or specifically reference prices aimed to coordinate the establishment of reference prices by the parties" (cited decision of the Commission of October 15, 2008, paragraph 268).</w:t>
      </w:r>
    </w:p>
    <w:p>
      <w:r>
        <w:t>621. A concerted practice can have an anti-competitive object even if it has no direct link with consumer prices (Judgment of the Court of Justice of June 4, 2009, T-Mobile Netherlands e.a., paragraphs 36 to 39).</w:t>
      </w:r>
    </w:p>
    <w:p>
      <w:r>
        <w:t>622. Finally, in the Judgment Tate &amp; Lyle of July 12, 2001, the Tribunal ruled that "[...] the mere fact of having received during these meetings information concerning competitors, information that an independent operator preserves as trade secrets, is sufficient to manifest the existence of an anti-competitive spirit within it (see, in this sense, Judgment Solvay/Commission, cited above, paragraph 100)" (Judgment of the Court of Justice of July 12, 2001, T-202/98, Tate &amp; Lyle plc, British Sugar plc and Napier Brown &amp; Co. Ltd, paragraph 66).</w:t>
      </w:r>
    </w:p>
    <w:p>
      <w:r>
        <w:rPr>
          <w:b/>
        </w:rPr>
        <w:t>[Pages 118–120]</w:t>
      </w:r>
    </w:p>
    <w:p>
      <w:r>
        <w:t>nocivité d'un comportement, il convient de prendre en compte non seulement la nature de l'accord, mais également son contexte économique et juridique (arrêt du Tribunal de l'Union européenne du 12 décembre 2014, T-1/13, Ordre national des pharmaciens, point 66).</w:t>
      </w:r>
    </w:p>
    <w:p>
      <w:r>
        <w:t>641. En conséquence, il est essentiel d'examiner les effets potentiels d'un accord sur la concurrence, même si cet accord ne semble pas, à première vue, avoir des conséquences néfastes. Les autorités de concurrence doivent être vigilantes et prêtes à agir contre des comportements qui, bien que subtils, peuvent avoir des effets cumulés sur le marché.</w:t>
      </w:r>
    </w:p>
    <w:p>
      <w:r>
        <w:t>642. En conclusion, la jurisprudence européenne souligne l'importance d'une analyse approfondie et contextuelle des accords entre entreprises, afin de déterminer s'ils constituent une restriction de concurrence par objet ou par effet, et ce, dans le respect des principes de la concurrence libre et non faussée au sein du marché commun.</w:t>
      </w:r>
    </w:p>
    <w:p>
      <w:r>
        <w:rPr>
          <w:b/>
        </w:rPr>
        <w:t>[Pages 121–123]</w:t>
      </w:r>
    </w:p>
    <w:p>
      <w:r>
        <w:t>nocivity of a practice and to consider it as a restriction by object within the meaning of Article 101, paragraph 1, it is necessary "to focus on the content of its provisions, the objectives it aims to achieve, as well as the economic and legal context in which it is embedded. In the context of assessing said context, it is also necessary to take into account the nature of the goods or services affected as well as the actual conditions of operation and structure of the markets in question" (judgment of the Court of the European Union of December 10, 2014, case T-90/11, Ordre national des pharmaciens). Thus, taking into account the legal and economic context involves concretely examining the characteristics of the agreement to determine whether it has the object of restricting competition.</w:t>
      </w:r>
    </w:p>
    <w:p>
      <w:r>
        <w:t>b) Application to the case at hand</w:t>
      </w:r>
    </w:p>
    <w:p>
      <w:r>
        <w:t>Typology of concerted practices</w:t>
      </w:r>
    </w:p>
    <w:p>
      <w:r>
        <w:t>641. The elements presented in the "Findings" section of this decision demonstrate the existence of concerted practices regarding the repercussions of price increases for diesel (complaint no. 1) on the one hand and generalized price increases for messaging services (complaint no. 2) on the other hand.</w:t>
      </w:r>
    </w:p>
    <w:p>
      <w:r>
        <w:t>642. These two concerted practices were implemented within the professional association TLF (described in paragraphs 158 and following) among representatives of several companies in the messaging sector. They materialized through confidential discussions regarding the commercial and pricing policies of the companies, which took place during meetings of the Trade Council (see paragraphs 197 and following and 333 and following above). These two practices were complemented by a set of collusive bilateral or multilateral exchanges, in which the companies involved participated to varying degrees. These collusive exchanges were less regular and less formalized, occurring during email exchanges or meetings (see paragraphs 333 and following).</w:t>
      </w:r>
    </w:p>
    <w:p>
      <w:r>
        <w:t>Content of the concerted practices</w:t>
      </w:r>
    </w:p>
    <w:p>
      <w:r>
        <w:t>Regarding complaint no. 1</w:t>
      </w:r>
    </w:p>
    <w:p>
      <w:r>
        <w:t>643. The companies involved coordinated their pricing policy by discussing a parameter of the future price of the messaging service, namely the pass-through of the diesel price.</w:t>
      </w:r>
    </w:p>
    <w:p>
      <w:r>
        <w:t>644. The convergence of behaviors is illustrated by the fact that the increases related to the diesel surcharge announced were mostly respected, whether in terms of their level or their date, often occurring simultaneously.</w:t>
      </w:r>
    </w:p>
    <w:p>
      <w:r>
        <w:t>645. Finally, the participants ceased their coordination on the pass-through of diesel prices upon the entry into force of the law of January 5, 2006 (see in particular paragraph 288).</w:t>
      </w:r>
    </w:p>
    <w:p>
      <w:r>
        <w:t>Regarding complaint no. 2</w:t>
      </w:r>
    </w:p>
    <w:p>
      <w:r>
        <w:t>646. The companies involved coordinated their pricing policy. To do this, they exchanged information regarding their requested price increase rates to clients during each annual negotiation campaign. They also discussed among themselves the progress of negotiations with clients.</w:t>
      </w:r>
    </w:p>
    <w:p>
      <w:r>
        <w:t>647. The information exchanged between competitors coincided with the price increases requested from clients through the circulars.</w:t>
      </w:r>
    </w:p>
    <w:p>
      <w:r>
        <w:t>Evidence of the two concerted practices in question</w:t>
      </w:r>
    </w:p>
    <w:p>
      <w:r>
        <w:t>648. The existence of these concerted practices is demonstrated by a wide array of serious, precise, and consistent evidence, attesting to the organization of these practices, the participation of several companies in these contacts, and the statements made therein, which establish the information shared and disseminated within the concertation.</w:t>
      </w:r>
    </w:p>
    <w:p>
      <w:r>
        <w:t>649. The different categories of evidence or indices comprising this body of evidence are as follows:</w:t>
      </w:r>
    </w:p>
    <w:p>
      <w:r>
        <w:t>Regarding complaint no. 1</w:t>
      </w:r>
    </w:p>
    <w:p>
      <w:r>
        <w:t>650. The evidence in the file consists, first and foremost, of the leniency applications from Deutsche Bahn and its subsidiaries and Alloin, supplemented by the minutes of the hearings of their employees (see paragraphs 197 and following).</w:t>
      </w:r>
    </w:p>
    <w:p>
      <w:r>
        <w:t>651. The file is also supported by the minutes of the hearings of employees or former employees of certain companies involved who do not contest the existence of the practices (see paragraphs 227 and 309).</w:t>
      </w:r>
    </w:p>
    <w:p>
      <w:r>
        <w:t>652. The declarative elements are corroborated by the following documentary evidence provided by the leniency applicants or by the parties involved or obtained during the inspection and seizure operations:</w:t>
        <w:br/>
        <w:t>- a report of the conference of May 26, 2004 (paragraphs 208 and following);</w:t>
        <w:br/>
        <w:t>- official minutes from TLF of meetings of the Trade Council within TLF (paragraphs 254, 264, 274, and 283);</w:t>
        <w:br/>
        <w:t>- a report of the internal meeting of Graveleau on September 30, 2004 (paragraphs 267 and 268);</w:t>
        <w:br/>
        <w:t>- circulars intended for clients mentioning the price increases previously announced among competitors (see table 9, page 41);</w:t>
        <w:br/>
        <w:t>- emails and attachments of emails exchanged between participants (see table 11, page 52).</w:t>
      </w:r>
    </w:p>
    <w:p>
      <w:r>
        <w:t>653. All of these elements establish the materiality of the exchanges and the reality of the practices denounced by the leniency applicants.</w:t>
      </w:r>
    </w:p>
    <w:p>
      <w:r>
        <w:t>Regarding complaint no. 2</w:t>
      </w:r>
    </w:p>
    <w:p>
      <w:r>
        <w:t>654. The evidence in the file consists, first and foremost, of the statements made during the leniency applications of Deutsche Bahn and its subsidiaries and Alloin, supplemented by the minutes of the hearings of their employees (see paragraphs 197 and following).</w:t>
      </w:r>
    </w:p>
    <w:p>
      <w:r>
        <w:t>655. The file is supported by the minutes of the hearings of employees or former employees of certain companies involved who do not contest the existence of information exchanges (see, in particular, paragraphs 977 and 1264).</w:t>
      </w:r>
    </w:p>
    <w:p>
      <w:r>
        <w:t>656. The declarative elements are corroborated by the following documentary evidence provided by the leniency applicants or by the parties involved or obtained during the inspection and seizure operations:</w:t>
        <w:br/>
        <w:t>- attendance sheets from meetings between competitors, officially established by TLF (see for example paragraphs 338, 385, 428, 452, and 455);</w:t>
        <w:br/>
        <w:t>- internal notes from the companies (see in particular paragraph 342);</w:t>
        <w:br/>
        <w:t>- handwritten notes taken during exchanges with competitors during meetings (see for example paragraphs 352, 441, 452);</w:t>
        <w:br/>
        <w:t>- circulars intended for clients mentioning the price increases previously announced among competitors (see tables 14 to 19 above);</w:t>
        <w:br/>
        <w:t>- a letter from FedEx to TLF dated December 23, 2008 (paragraph 474);</w:t>
        <w:br/>
        <w:t>- emails and attachments of emails exchanged between participants (see in particular paragraphs 387 and following, 427 and following, 433 and following, 439 and following, 465 and following, and 499 and following).</w:t>
      </w:r>
    </w:p>
    <w:p>
      <w:r>
        <w:t>The content and purpose of the practices</w:t>
      </w:r>
    </w:p>
    <w:p>
      <w:r>
        <w:t>657. The anti-competitive object of the practices identified on pages 32 to 97 of this decision presents identical characteristics for the offenses pursued in each of the two complaints. Thus, it will be analyzed jointly in the following developments.</w:t>
      </w:r>
    </w:p>
    <w:p>
      <w:r>
        <w:t>658. The concerted practices all aimed to reduce the inherent uncertainty in any commercial negotiation regarding the determinants of price, in order to improve the negotiating position of the carriers.</w:t>
      </w:r>
    </w:p>
    <w:p>
      <w:r>
        <w:t>659. Furthermore, the file allows us to assert that the examined practices consisted of a concertation on elements of price through frequent exchanges of precise, individualized, and strategic data covering parameters of future price:</w:t>
        <w:br/>
        <w:t>- particularly regarding the first complaint, the examined practices consisted of the development of a common methodology for applying a diesel surcharge. This common methodology concerned essential cost parameters for price setting: the monthly application of the "diesel surcharge," the use of common reference indices (CNR), the use of a revaluation grid based on multiplier coefficients, the simultaneity of increase dates, and the identification of the amount of this increase in the invoice. These exchanges involved reaching an agreement within a meeting organized by the federation of professional organizations representing the transport and logistics sectors on the principle and modalities of passing on the diesel surcharge, thereby reducing the uncertainty resulting from the normal play of competition;</w:t>
        <w:br/>
        <w:t>- regarding particularly the second complaint, the examined practices consisted of a concertation on elements of price through frequent exchanges of precise, individualized, and strategic data covering parameters of future price. These exchanges occurred before the price was set through the negotiation process between the companies involved and their clients. These exchanges materialized through announcements regarding the developments of the overall price increases requested from clients. The practices were also accompanied by exchanges of extremely recent data during follow-up meetings on negotiations, which allowed for monitoring any deviations from the participants in the practices. These concertations were, for the most part, prior to the sending of circulars to clients and the commercial negotiations and therefore concerned the determinants of future price in the messaging market; the observed exchanges, by significantly reducing the uncertainty resulting from the normal play of competition at each stage of the same negotiation cycle, thus contributed, either directly or indirectly, to the setting of prices higher than the level that would have resulted from a non-distorted competitive situation.</w:t>
      </w:r>
    </w:p>
    <w:p>
      <w:r>
        <w:rPr>
          <w:b/>
        </w:rPr>
        <w:t>[Pages 124–126]</w:t>
      </w:r>
    </w:p>
    <w:p>
      <w:r>
        <w:t>individualisation de la répercussion du coût du gazole.</w:t>
      </w:r>
    </w:p>
    <w:p>
      <w:r>
        <w:t>685. En conséquence, l’argumentation de DHL ne saurait être retenue.</w:t>
      </w:r>
    </w:p>
    <w:p>
      <w:r>
        <w:t>Concernant en particulier le grief n° 2</w:t>
      </w:r>
    </w:p>
    <w:p>
      <w:r>
        <w:t>♦ Sur la nature des pratiques</w:t>
      </w:r>
    </w:p>
    <w:p>
      <w:r>
        <w:t>686. En ce qui concerne le deuxième grief, DHL et Heppner soutiennent que les pratiques en cause ne peuvent être qualifiées d’anticoncurrentielles, car elles ne visaient pas à fausser la concurrence, mais à faire face à une situation économique difficile.</w:t>
      </w:r>
    </w:p>
    <w:p>
      <w:r>
        <w:t>687. Toutefois, comme il a été établi précédemment, les pratiques concertées en question avaient pour effet de restreindre la concurrence en limitant l’autonomie commerciale des entreprises mises en cause.</w:t>
      </w:r>
    </w:p>
    <w:p>
      <w:r>
        <w:t>688. En outre, le fait que les entreprises aient agi pour faire face à une situation économique difficile ne saurait justifier des pratiques anticoncurrentielles.</w:t>
      </w:r>
    </w:p>
    <w:p>
      <w:r>
        <w:t>689. Ainsi, l’argumentation de DHL et Heppner sera également rejetée.</w:t>
      </w:r>
    </w:p>
    <w:p>
      <w:r>
        <w:t>Concernant en particulier le grief n° 3</w:t>
      </w:r>
    </w:p>
    <w:p>
      <w:r>
        <w:t>♦ Sur l’absence de préjudice</w:t>
      </w:r>
    </w:p>
    <w:p>
      <w:r>
        <w:t>690. Enfin, DHL et Heppner soutiennent que les pratiques en cause n’ont pas causé de préjudice aux clients, car les tarifs appliqués étaient conformes aux coûts réels.</w:t>
      </w:r>
    </w:p>
    <w:p>
      <w:r>
        <w:t>691. Cependant, il convient de rappeler que l’existence d’un préjudice n’est pas nécessaire pour établir la qualification d’une pratique comme anticoncurrentielle.</w:t>
      </w:r>
    </w:p>
    <w:p>
      <w:r>
        <w:t>692. En effet, la qualification d’une pratique comme anticoncurrentielle repose sur son objet ou son effet, indépendamment du préjudice causé.</w:t>
      </w:r>
    </w:p>
    <w:p>
      <w:r>
        <w:t>693. Par conséquent, l’argumentation de DHL et Heppner ne saurait prospérer.</w:t>
      </w:r>
    </w:p>
    <w:p>
      <w:r>
        <w:t>Conclusion</w:t>
      </w:r>
    </w:p>
    <w:p>
      <w:r>
        <w:t>694. Au regard de ce qui précède, il apparaît que les pratiques en cause sont constitutives d’une entente anticoncurrentielle au sens de l’article 101 du Traité sur le fonctionnement de l’Union européenne.</w:t>
      </w:r>
    </w:p>
    <w:p>
      <w:r>
        <w:t>695. En conséquence, il y a lieu de conclure que les entreprises mises en cause ont enfreint les dispositions de l’article 101 du Traité sur le fonctionnement de l’Union européenne.</w:t>
      </w:r>
    </w:p>
    <w:p>
      <w:r>
        <w:rPr>
          <w:b/>
        </w:rPr>
        <w:t>[Pages 127–129]</w:t>
      </w:r>
    </w:p>
    <w:p>
      <w:r>
        <w:t>individualization of the diesel cost pass-through and a common method of pass-through.</w:t>
      </w:r>
    </w:p>
    <w:p>
      <w:r>
        <w:t>685. Secondly, DHL argues that customers would have a very strong countervailing power against their service providers, which would have allowed them to negotiate prices at the lowest possible level and to put DHL Express France's courier business in a loss-making situation. This would have prevented DHL from freely passing on its operating costs as it saw fit and thus absorbing such additional costs by cutting into its margins.</w:t>
      </w:r>
    </w:p>
    <w:p>
      <w:r>
        <w:t>686. This alleged countervailing power of the clientele cannot lead to a reconsideration of the qualification of the practice in question as a restriction by object. This argument confirms, on the contrary, that the very purpose of the agreement was to prevent customers from leveraging price competition among couriers. This objective thus inherently possesses an anti-competitive nature. The Competition Council recalled in decision no. 08-D-32 of December 16, 2008, concerning practices implemented in the steel trading sector: "Thus, the possible existence of market power that could be exercised by the customers victimized by the practices cannot justify the collusive practice. The Council has already ruled on this point in decision no. 02-D-57 of September 19, 2002, concerning practices implemented in the ball bearings sector: ‘(...) even if it were proven, the purchasing power of distributors cannot justify manufacturers coordinating to align their price increases’." This point was confirmed on appeal (Paris Court of Appeal, January 19, 2010, page 21).</w:t>
      </w:r>
    </w:p>
    <w:p>
      <w:r>
        <w:t>687. Nevertheless, the market countervailing power of the clientele of courier companies will be taken into account in the analysis of the economic harm, which is a criterion for the sanction (paragraphs 1180 and following below).</w:t>
      </w:r>
    </w:p>
    <w:p>
      <w:r>
        <w:t>688. Regarding the legal context, Heppner, TLF, and DHL invoke the regulatory context existing at the time of the facts to indicate that the pass-through of diesel costs would have been rendered necessary under the impetus of public authorities and legal texts. The same argument is made concerning the legal obligation to cover costs that would have led the parties involved to follow the annual increase recommendations from the CNR by Schenker-Joyau, Heppner, and DHL.</w:t>
      </w:r>
    </w:p>
    <w:p>
      <w:r>
        <w:t>689. TLF further indicates that the CNR, in its 2003 study, as well as the Directorate of Land Transport (DTT) in its guide published in February 2005, would have recommended a method of indexing the increase in diesel prices, made transparent in the invoice footer. Thus, according to DHL, the similarities between the various systems implemented by the operators would actually boil down to a few elements of economic common sense, most of which would be advocated by public authorities and the CNR.</w:t>
      </w:r>
    </w:p>
    <w:p>
      <w:r>
        <w:t>690. Firstly, concerning the obligations related to the legal framework in force at the time of the practices, they consisted solely, for any public road freight transport provider, in covering all of its costs to avoid selling at a loss. Operators could not indeed set prices below the costs of the service that would not cover, among other things, fuel and maintenance charges.</w:t>
      </w:r>
    </w:p>
    <w:p>
      <w:r>
        <w:t>691. Therefore, the application of a diesel surcharge and the development of a common methodology agreed upon by the parties involved cannot be justified by the fact that TLF was in negotiations with public authorities to seek a solution to neutralize the cost related to the increase in diesel prices. Indeed, it does not emerge at all from the legal or economic context prior to the law of January 5, 2006, that courier companies would have been compelled or even authorized or encouraged to agree, by meeting within TLF, on the specific application of a surcharge for diesel and on a common methodology for passing on costs related to the increase in diesel prices.</w:t>
      </w:r>
    </w:p>
    <w:p>
      <w:r>
        <w:t>692. Secondly, in order to pass on these exceptional increases, the CNR indicated in March 2003 to transporters the steps to follow to best negotiate a global tariff increase due to these exceptional increases in diesel prices. The DTT also indicated to transporters how to pass on this significant increase in 2004. The DTT, in its guide published in December 2004, titled "Road Freight Transport – How to Pass on Variations in Diesel Prices" (references nos. 3914 to 3930), states "How to invoice? […] The use of the invoice footer is intended to clarify certain elements of the billing. It has no mandatory character. It only acquires contractual value if accepted by the other party." It is, according to TLF, "in this perspective of transparency regarding the developments in diesel prices and their pass-through" that the law of January 5, 2006, would have been framed. Thus, it is nowhere indicated that this method of billing would have been made mandatory before January 5, 2006.</w:t>
      </w:r>
    </w:p>
    <w:p>
      <w:r>
        <w:t>693. Even if these studies and reports from public bodies had provided some recommendations regarding the pass-through of diesel increases, it should be emphasized that these recommendations were intended to be applied by transporters if they wished and individually. In no case does it emerge from the reading of these reports that transporters would have been authorized to meet within TLF or outside TLF to agree on a common methodology for passing on costs related to diesel.</w:t>
      </w:r>
    </w:p>
    <w:p>
      <w:r>
        <w:t>694. In particular, no common methodology for passing on these costs had been envisaged by public authorities. To recall, the aforementioned guide from the DTT aimed to assist companies in drafting contractual clauses allowing for the pass-through of diesel tariffs but considered numerous different possibilities for passing on fuel increases: several different indices (DIREM, INSEE, CNR), several indexing formulas (annual, monthly indices, comparison with the previous month, etc.), and several proposed wording of clauses. Furthermore, as indicated above, no specific indication regarding the billing method (and notably the invoice footer) had been made mandatory.</w:t>
      </w:r>
    </w:p>
    <w:p>
      <w:r>
        <w:t>695. As recalled in the preface of the aforementioned guide from the DTT, the purpose of developing the practical guide was not to encourage companies to agree on a common method for passing on diesel costs but to "enable transport companies and clients to better manage this issue of passing on variations in diesel prices in their commercial relationships. The objective of this guide is to raise awareness among the contractual parties about the evolution of fuel prices in the transport price" (references nos. 3914 to 3918). The guide could thus serve as a tool for transporters in their pricing negotiations with their clients, and this, individually.</w:t>
      </w:r>
    </w:p>
    <w:p>
      <w:r>
        <w:t>696. An agreement concerning elements of price raises no doubt regarding its anti-competitive nature in light of decision-making practice or case law, both national and European, without the need to demonstrate its effects. This is all the more true given that there were less restrictive means of competition to achieve the goal pursued by each company, namely the pass-through of a cost into a price. Under these conditions, it cannot be concluded that the practice attributed to the parties involved, taken in its economic and legal context, would not have had a sufficient degree of harmfulness.</w:t>
      </w:r>
    </w:p>
    <w:p>
      <w:r>
        <w:t>697. Finally, the aforementioned statements by the Minister of Transport in the summer of 2004 do not contradict the orientations of these various documents. Indeed, Mr. Gilles E... considered it necessary for couriers to pass on the changes in diesel prices in their tariffs and that they could, in this regard, make such a pass-through more transparent "through the use of an invoice footer" and this, in compliance with the contractual relationship with their clients. Later, he called for the implementation of contractual modalities allowing for the pass-through of diesel increases, in the form of price revision clauses, using indices that he qualifies as "unquestionable references."</w:t>
      </w:r>
    </w:p>
    <w:p>
      <w:r>
        <w:t>698. These statements, which fall within the legal framework in force outlined above (obligation to pass on all costs), mark the public authorities' desire to seek a contractual approach (courier/client), without undermining the autonomy of companies, and this, within a framework of strong transparency regarding the costs and margins of service providers. The Minister of Transport did not, in any case, ask couriers to unite against clients by developing common solutions to neutralize any commercial negotiation between themselves and their clients and, consequently, to limit competition among courier companies. However, the companies gathered within TLF conspired on a common position that aimed to exclude any new commercial negotiation during the year with clients.</w:t>
      </w:r>
    </w:p>
    <w:p>
      <w:r>
        <w:t>699. In any case, even if the statements of the Minister of Transport were misinterpreted by professionals, it should be recalled that European courts consider that the intervention of public authorities cannot justify anti-competitive behavior by companies. In its ruling "French Beef," the Court indicated in this regard: "Similarly, regarding the role played by the French Minister of Agriculture in the conclusion of the agreement of October 24, 2001, it is sufficient to note that, according to consistent case law, the circumstance that the behavior of companies was known, authorized, or even encouraged by national authorities is, in any case, without influence on the applicability of Article 81 EC (Court rulings of June 29, 1993, Asia Motor France e.a./Commission, T-7/92, Rec. p. II-669, point 71, and Tréfilunion/Commission, cited above, point 118)" (Court ruling of December 13, 2006, aff. T-217/03 and T-245/03).</w:t>
      </w:r>
    </w:p>
    <w:p>
      <w:r>
        <w:t>700. Thus, the anti-competitive object of the practices in question can only be noted. The aforementioned elements of the context will be taken into account at the stage of assessing the sanction.</w:t>
      </w:r>
    </w:p>
    <w:p>
      <w:r>
        <w:t>♦ The consultation concerned a price element</w:t>
      </w:r>
    </w:p>
    <w:p>
      <w:r>
        <w:t>701. Ziegler argues that the consultation, assuming it was established, did not concern "an element of price" since the adoption of a common method for passing on the diesel cost would change nothing to the final price charged to customers. The company Heppner, for its part, claims that the consultation only concerned formal elements and not numerical elements, meaning it only concerned the structure and modalities of pass-through. Finally, since no price would be set by the practices, TLF believes that the case law precedents cited by the investigating services would not be applicable as they concern direct or indirect price fixing.</w:t>
      </w:r>
    </w:p>
    <w:p>
      <w:r>
        <w:t>702. It should be recalled at the outset that the consultation, while it did not directly concern the final price charged to clients, nonetheless involved a price element, thus not undermining the qualification of infringement by object. Indeed, it has been demonstrated that this consultation was indeed aimed at controlling the diesel surcharge, which is a price element, and that the objective pursued by the participating companies, through the application of a common methodology for passing on this cost element, was to limit their clients' negotiating power and their ability to leverage competition among couriers.</w:t>
      </w:r>
    </w:p>
    <w:p>
      <w:r>
        <w:rPr>
          <w:b/>
        </w:rPr>
        <w:t>[Pages 130–132]</w:t>
      </w:r>
    </w:p>
    <w:p>
      <w:r>
        <w:t>703. Thus, the setting of a price element, such as the calculation methods for the diesel surcharge, does not necessarily have to concern quantified elements. A consultation among competing companies regarding the methods for determining an element of the final price must be considered as an agreement with an anti-competitive object. The decisions cited in the statement of objections and then in the report establish the anti-competitive object of behaviors concerning price elements, such as surcharges, or even strategies that do not directly set prices but merely affect their evolution (paragraphs 873 to 883 of the statement of objections and 297 and 298 of the report).</w:t>
      </w:r>
    </w:p>
    <w:p>
      <w:r>
        <w:t>704. Therefore, the consultation indeed concerned a price element.</w:t>
      </w:r>
    </w:p>
    <w:p>
      <w:r>
        <w:t>♦ On the nature of the common methodology</w:t>
      </w:r>
    </w:p>
    <w:p>
      <w:r>
        <w:t>705. The company Heppner argues that the development of a common methodology for passing on diesel prices would have constituted a contribution to the fairness and transparency of contractual relations with shippers and would have guaranteed the objectivity and proportionality of the passing on of increases in the cost of diesel.</w:t>
      </w:r>
    </w:p>
    <w:p>
      <w:r>
        <w:t>706. Furthermore, Heppner claims that there could be no differences between the calculation methods used by the companies since the method generally followed by them would certainly have been the one that best met the market's need for transparency and could not, for this sole reason, have obeyed an anti-competitive aim.</w:t>
      </w:r>
    </w:p>
    <w:p>
      <w:r>
        <w:t>707. The purpose of competition law is to allow competing companies to autonomously adopt their commercial strategy and not to collectively increase market transparency. Each company remains individually responsible for its own strategy, and market operators are not supposed to jointly decide what the market needs would be or what "fairness" in relations with clients would require.</w:t>
      </w:r>
    </w:p>
    <w:p>
      <w:r>
        <w:t>708. What is reproached to the parties involved is indeed the fact that they agreed both on the very principle of individualizing the passing on of costs related to diesel and on a common calculation method, even though they could have separately adopted their own methodology for passing on this cost to their own shippers.</w:t>
      </w:r>
    </w:p>
    <w:p>
      <w:r>
        <w:t>709. Moreover, the companies in the sector themselves considered at the time that it was difficult for them to individually implement a diesel surcharge (paragraphs 308 and following above). They explain that in this situation, their clients, if they had noticed disparate positions among the carriers, could have refused or negotiated more fiercely the passing on of the cost of diesel. The agreement on this issue thus allowed them to impose the principle of this surcharge. Therefore, Heppner's argument that the companies would have applied the same method in any case in the absence of consultation cannot prevail.</w:t>
      </w:r>
    </w:p>
    <w:p>
      <w:r>
        <w:t>710. In any case, the potentially "transparent," "objective," or "fair" nature of the adopted method is irrelevant, as autonomous individual companies are not supposed to integrate this type of consultation into their commercial strategy. Indeed, the first objection concerns a concerted practice by object, which is the result of a consultation among competitors on a price element.</w:t>
      </w:r>
    </w:p>
    <w:p>
      <w:r>
        <w:t>711. Thus, Heppner's argument regarding the nature of the common methodology cannot be accepted.</w:t>
      </w:r>
    </w:p>
    <w:p>
      <w:r>
        <w:t>♦ On the possibility of an exemption for the first objection</w:t>
      </w:r>
    </w:p>
    <w:p>
      <w:r>
        <w:t>712. Heppner and DHL argue that if the infringement of Article L. 420-1 of the Commercial Code and Article 101, paragraph 1, of the TFEU were to be established, they could benefit from an individual exemption, even if it is an anti-competitive infringement by object. According to Heppner, the practice in question would have been subsequently legalized by the law of January 5, 2006, which would lead to its exemption under the provisions of Article L. 420-4, I, 1° of the Commercial Code. Consequently, the practice could benefit from an exemption under 2° of I of the same article for the preceding period, as long as the objective conditions are not modified from one period to another.</w:t>
      </w:r>
    </w:p>
    <w:p>
      <w:r>
        <w:t>713. It follows from both European Union case law and domestic case law that a person invoking the provisions of paragraph 3 of Article 101 of the TFEU or Article L. 420-4 of the Commercial Code must demonstrate, through convincing arguments and evidence, that the conditions required to benefit from an exemption are met (see the judgment of the Court of Justice of October 6, 2009, GlaxoSmithKline, case C-501/06 P, paragraph 82, and the judgment of the Paris Court of Appeal of December 14, 2011, Emirates Company).</w:t>
      </w:r>
    </w:p>
    <w:p>
      <w:r>
        <w:t>714. Four cumulative criteria must be satisfied to grant an exemption to a practice deemed anti-competitive under Article 101, paragraph 3, of the TFEU or paragraph 2 of I of Article L. 420-4 of the Commercial Code: the reality of technical and/or economic progress, the indispensable and appropriate nature of the practices in question to achieve it, the existence of a benefit for consumers, and the absence of elimination of all competition. Each of these four conditions must be fulfilled for the benefit of an individual exemption to be admissible (judgment of the Court of Justice of January 17, 1984, VBVB and VBBB/Commission, cases 43/82 and 63/82; judgment of the Tribunal of March 19, 2003, CMA CGM, case T-213/00, paragraph 226). In this regard, the Court of Justice has ruled that "to be exempted under Article 81, paragraph 3, EC, [Article 101, paragraph 3, of the TFEU] an agreement must contribute to improving the production or distribution of products or to promoting technical or economic progress. This contribution is identified not with all the advantages that the companies participating in this agreement derive from their activity, but with significant objective benefits capable of compensating for the disadvantages that result for competition" (judgment of the Court of Justice of October 6, 2009, GlaxoSmithKline Services e.a. / Commission e.a., case C-501/06 P, paragraph 92).</w:t>
      </w:r>
    </w:p>
    <w:p>
      <w:r>
        <w:t>715. Furthermore, when practices are involved that may affect trade between Member States, the benefit of the exemption provided for in Article L. 420-4 of the Commercial Code can only be granted if the conditions set out in Article 101, paragraph 3, of the TFEU are cumulatively met (judgment of the Court of Justice of February 13, 1969, Walt Wilhelm, case 14/68, paragraph 6; see also the judgment of the Tribunal of September 30, 2003, Michelin, case T-203/01, paragraph 166). Consequently, the Authority can only grant an exemption under Article L. 420-4 of the Commercial Code if the practices in question are likely to be exempted under Article 101, paragraph 3, of the TFEU. However, the conditions for the exemption provided for in paragraph 2 of I of Article L. 420-4 of the Commercial Code are essentially identical to those provided for in Article 101, paragraph 3, of the TFEU, so that the Authority generally conducts a concurrent analysis of the potential exemption of a restrictive practice under these two provisions.</w:t>
      </w:r>
    </w:p>
    <w:p>
      <w:r>
        <w:t>716. Regarding the alleged economic progress, the Commission specifies, in point 51 of its guidelines concerning the application of Article 101, paragraph 3, of the TFEU, that</w:t>
      </w:r>
    </w:p>
    <w:p>
      <w:r>
        <w:t>717. "all alleged efficiency gains must therefore be justified, so that the following points can be verified:</w:t>
        <w:br/>
        <w:t>a) nature of the alleged efficiency gains;</w:t>
        <w:br/>
        <w:t>b) link between the agreement and the efficiency gains;</w:t>
        <w:br/>
        <w:t>c) probability and significance of each alleged efficiency gain; and</w:t>
        <w:br/>
        <w:t>d) methods and timing of realization of each alleged efficiency gain."</w:t>
      </w:r>
    </w:p>
    <w:p>
      <w:r>
        <w:t>718. DHL and Heppner argue that the four cumulative conditions that could allow them to benefit from this exemption would be met. Their arguments are as follows:</w:t>
        <w:br/>
        <w:t>- economic progress would be characterized by the very survival of the messaging industry and the continuity of the service it provides to the economy as a whole;</w:t>
        <w:br/>
        <w:t>- the common method would have been the only way to ensure the passing on in question, through the adoption of objective and transparent criteria and a proportional and verifiable method by shippers. Furthermore, the indispensable nature of this measure would have been endorsed by the law of January 5, 2006, which would have enshrined this methodology;</w:t>
        <w:br/>
        <w:t>- users would have continued to benefit from a varied offer and quality services, and the application of a clear methodology for passing on diesel costs would also have allowed them to benefit from transparent and objective services;</w:t>
        <w:br/>
        <w:t>- finally, the neutralization of this exogenous element to competition would have allowed companies to remain in the market, thereby favoring competition. The common method would have met the fourth condition since all parameters of the passing on grid without exception would have been determined independently by each company.</w:t>
      </w:r>
    </w:p>
    <w:p>
      <w:r>
        <w:t>719. It is inherent in any anti-competitive agreement to involve private gains for the parties that established it. The common method for passing on the price of diesel is likely to lead the companies involved to increase the price of their services in order to preserve their own margins. This is why European Union case law requires that significant objective benefits be demonstrated that can compensate for the disadvantages that result for competition and that cannot therefore relate solely to the benefits that the participants in the agreement expect for themselves.</w:t>
      </w:r>
    </w:p>
    <w:p>
      <w:r>
        <w:t>720. In this case, the arguments put forward by DHL and Heppner do not allow, contrary to what the European Commission requires in point 51 of its aforementioned guidelines, to assess the existence of a concretely defined and described economic progress, to quantify it, or to verify the direct link that could exist between this progress, assuming it is demonstrated, and the practices in question. The sector has been experiencing sustained overcapacity, and the artificial maintenance through an agreement of all companies present in the sector cannot be indicative of economic progress. The first condition is therefore not met.</w:t>
      </w:r>
    </w:p>
    <w:p>
      <w:r>
        <w:t>721. As stated above, to benefit from the exemption, a restrictive competition agreement must also reserve to users a fair share of the profit that results from it. According to the European Commission's guidelines concerning the application of Article 101, paragraph 3, of the TFEU, "the second condition of Article 81, paragraph 3, incorporates a sliding scale. The greater the restriction of competition found under Article 81, paragraph 1, the greater the efficiency gains and their passing on to consumers must be." This approach of the scale</w:t>
      </w:r>
    </w:p>
    <w:p>
      <w:r>
        <w:rPr>
          <w:b/>
        </w:rPr>
        <w:t>[Pages 133–135]</w:t>
      </w:r>
    </w:p>
    <w:p>
      <w:r>
        <w:t>mobile assumes that if the restrictive effects of an agreement are relatively limited and the efficiency gains are substantial, there is a strong likelihood that a fair share of the cost reductions will be passed on to consumers. This is why, in this case, it is generally not necessary to engage in a detailed analysis of the second condition of Article 81, paragraph 3, provided that the other three conditions for the application of this provision are met" (point 90).</w:t>
      </w:r>
    </w:p>
    <w:p>
      <w:r>
        <w:t>721. In this case, the parties do not demonstrate how the market conditions at the time posed a risk of reducing the diversity of offers or services, even though the existence of overcapacity was regularly denounced by all industry observers. Regarding transparency or the quality of the method used, the parties provide no evidence demonstrating that it was necessary to agree in order to establish such a level of predictability towards clients.</w:t>
      </w:r>
    </w:p>
    <w:p>
      <w:r>
        <w:t>722. According to the European Commission's guidelines on the application of Article 101, paragraph 3, of the TFEU, cited above: "under the third condition of Article [101], paragraph 3, the restrictive agreement must refrain from imposing restrictions that are not indispensable to achieving the efficiency gains created by the agreement in question. This condition implies a dual criterion: on the one hand, the restrictive agreement itself must be reasonably necessary to achieve the efficiency gains; on the other hand, each of the competition restrictions resulting from the agreement must be reasonably necessary to achieve the efficiency gains" (point 73).</w:t>
      </w:r>
    </w:p>
    <w:p>
      <w:r>
        <w:t>723. Regarding the indispensability of the practices in question to achieve the alleged economic progress, the parties do not demonstrate in any way how these practices were indispensable to obtain the alleged efficiency gains. They merely assert that the indispensability of these practices arises from their legitimate belief that these practices were legal and therefore necessary. However, it has been demonstrated that these practices were neither authorized by the legislator nor even encouraged by public authorities.</w:t>
      </w:r>
    </w:p>
    <w:p>
      <w:r>
        <w:t>724. Without the need to analyze the fourth condition of Article 101, paragraph 3, of the TFEU, it follows from the above that none of the arguments put forward by DHL and Heppner are sufficient to provide evidence that the practices would be exemptible under Article 101, paragraph 3, of the TFEU.</w:t>
      </w:r>
    </w:p>
    <w:p>
      <w:r>
        <w:t>725. The conditions set out in Article 101, paragraph 3, of the TFEU being absent, there is no need to independently examine whether the practices in question could be admitted for exemption under Article L. 420-4 of the Commercial Code.</w:t>
      </w:r>
    </w:p>
    <w:p>
      <w:r>
        <w:t>Regarding in particular complaint no. 2</w:t>
      </w:r>
    </w:p>
    <w:p>
      <w:r>
        <w:t>♦ On the pricing autonomy of companies</w:t>
      </w:r>
    </w:p>
    <w:p>
      <w:r>
        <w:t>726. Heppner argues that the information exchanges pursued did not concern the prices themselves but only the price increases, thus leaving companies with pricing autonomy.</w:t>
      </w:r>
    </w:p>
    <w:p>
      <w:r>
        <w:t>727. However, the rate of price increase constituted the starting point for negotiations with all clients each year, which was an essential element of the companies' commercial policy and a major issue for their profitability. This issue was regularly emphasized to the sales forces, as indicated by internal documents from Dachser (references nos. 55128 and 55132), Geodis (reference no. 3578), Alloin (references nos. 49146 and 49309 to 49313), and Heppner (reference no. 1040).</w:t>
      </w:r>
    </w:p>
    <w:p>
      <w:r>
        <w:t>728. Furthermore, the rate of price increase was one of the only pricing elements that could be determined centrally by the operators, as the initial prices were set in the agencies.</w:t>
      </w:r>
    </w:p>
    <w:p>
      <w:r>
        <w:t>729. Thus, the concerted practices pursued in this case concerned an important element of the companies' pricing strategy.</w:t>
      </w:r>
    </w:p>
    <w:p>
      <w:r>
        <w:t>♦ On the public nature of the exchanged information</w:t>
      </w:r>
    </w:p>
    <w:p>
      <w:r>
        <w:t>730. The companies DHL, BMVirolle, and Geodis argue that the exchanges of price increase rates, for which the related circulars have already been sent to clients, would be public data and therefore directly accessible in the relevant market. Geodis also argues that the information exchanged between competitors was always disseminated in the market within a very short time frame, which would be sufficient to consider that this information was public. Therefore, such exchanges could not be reproached to the parties involved.</w:t>
      </w:r>
    </w:p>
    <w:p>
      <w:r>
        <w:t>731. However, as indicated in paragraphs 631 and following of this decision, it emerges from the Authority's decision-making practice and case law that the criterion for qualifying an information exchange as anti-competitive, which competitors could obtain by other means, is "the artificial increase in market transparency" (decision no. 05-D-65, paragraph 269). Thus, regarding information that could be retrieved in the market in a manner other than through an anti-competitive exchange, it is necessary to take into account the difficulty and cost of acquiring this information, as clearly recalled by the European Commission in the case of Plant parchment mentioned in paragraph 632 above.</w:t>
      </w:r>
    </w:p>
    <w:p>
      <w:r>
        <w:t>732. This case can be compared to the Tate &amp; Lyle case, in which the prices communicated by an operator to its competitors were already known to its clients. However, as indicated in paragraph 633 above, the Court found that this information was not public (Judgment of the Union Court of July 12, 2001, Tate &amp; Lyle, joined cases T-202/98, et al., point 60). Indeed, the immediacy and completeness of the information were not parameters available in the market; the information had to be exchanged to obtain it simply, immediately, and comprehensively.</w:t>
      </w:r>
    </w:p>
    <w:p>
      <w:r>
        <w:t>733. In this case, contrary to what the parties claim, obtaining the circulars from competitors through competitive monitoring is necessarily a random process as it depends on the goodwill of the clients. Indeed, these clients, whose commercial interests are opposed to those of the carriers, may be tempted to use the information they have strategically, particularly by only providing circulars that present favorable price increases.</w:t>
      </w:r>
    </w:p>
    <w:p>
      <w:r>
        <w:t>734. Thus, transmitting the price increase rates to competitors, even if they could potentially obtain them by their own means, did facilitate coordination between the companies, as obtaining this information in the market would have been complex, non-exhaustive, and non-immediate.</w:t>
      </w:r>
    </w:p>
    <w:p>
      <w:r>
        <w:t>735. As for Geodis's argument aimed at demonstrating that the information exchanged between competitors would be public because it was disseminated in the market within a "very short time frame," it should be noted that the end of the sending of all circulars took place in December, approximately three months after the information exchange. Thus, Geodis's argument does not allow for considering that the information would be immediately available in the market, nor that it would be exhaustive and easily accessible.</w:t>
      </w:r>
    </w:p>
    <w:p>
      <w:r>
        <w:t>736. Furthermore, if it were as easy to obtain the information directly in the market as it was by agreeing with competitors, it would have been irrational for the companies involved to choose the riskiest solution, namely one that could lead to the opening of proceedings before the Competition Council, now the Authority, especially since this risk was well known to the companies concerned, as explicitly shown by several emails (paragraphs 331 and 487 above).</w:t>
      </w:r>
    </w:p>
    <w:p>
      <w:r>
        <w:t>737. It follows from the above that the information exchanged between competitors that had already been communicated to clients cannot be regarded as public.</w:t>
      </w:r>
    </w:p>
    <w:p>
      <w:r>
        <w:t>♦ On the aggregated nature of the price increase rates</w:t>
      </w:r>
    </w:p>
    <w:p>
      <w:r>
        <w:t>738. Firstly, Heppner argues that the price increase rate was unique, average, and global and did not include any details according to the types of activity.</w:t>
      </w:r>
    </w:p>
    <w:p>
      <w:r>
        <w:t>739. However, precisely because of its unique and global nature, the annual price increase rate constituted the foundation of commercial negotiations with all clients. It allowed crystallizing the acquired situation, mobilizing all the sales forces of a company around this common objective, and finally simplifying the analysis of the results of an annual negotiation cycle.</w:t>
      </w:r>
    </w:p>
    <w:p>
      <w:r>
        <w:t>740. The annual price increase rate was therefore, at the time of the practices, a particularly strategic and useful data point for anticipating a company's behavior in the context of pricing negotiations. Moreover, given the number of clients managed by the same provider, the diversity of services offered leading to as many specific rates, and the inherent complexity of operating a transport network, the price increase rate was the only element on which it was possible to establish coordination between competitors.</w:t>
      </w:r>
    </w:p>
    <w:p>
      <w:r>
        <w:t>741. Secondly, Heppner states that the annual price increases never distinguished between the different segments of the messaging sector (classic, express, single package, pallet, etc.). However, according to Heppner, price competition would only occur in specific segments of activity.</w:t>
      </w:r>
    </w:p>
    <w:p>
      <w:r>
        <w:t>742. However, even if the different segments within the messaging sector may present specific characteristics, there is a certain substitutability between these offers, as indicated by the representative of the AUTF, cited by Heppner: "the breaking point may fluctuate depending on the pricing grids and the quality of service." An operator, primarily active in a given segment of messaging, takes into account the price increases requested by companies active in other segments, as these increases may alter the competitive positioning of its own offers and encourage its clients to consider using other types of services.</w:t>
      </w:r>
    </w:p>
    <w:p>
      <w:r>
        <w:t>743. Furthermore, the fact that price increases were established globally contradicts Heppner's argument. Companies like Mory, Schenker-Joyau, and Geodis offered services at the time of the practices across almost all segments of the messaging sector. These companies established a global price increase rate for all their services, which means that pricing negotiations took place comparably across all segments.</w:t>
      </w:r>
    </w:p>
    <w:p>
      <w:r>
        <w:t>744. Finally, it should be recalled that in any case, the meetings of the Trade Council generally brought together all the main French providers in the messaging sector, and this for all the segments considered. Thus, each company participating in these exchanges could obtain information regarding its most direct competitors.</w:t>
      </w:r>
    </w:p>
    <w:p>
      <w:r>
        <w:t>745. Consequently, the exchanged information cannot be qualified as mere aggregated data.</w:t>
      </w:r>
    </w:p>
    <w:p>
      <w:r>
        <w:rPr>
          <w:b/>
        </w:rPr>
        <w:t>[Pages 136–138]</w:t>
      </w:r>
    </w:p>
    <w:p>
      <w:r>
        <w:t>♦ On the strategic nature of the exchanged information</w:t>
      </w:r>
    </w:p>
    <w:p>
      <w:r>
        <w:t>746. Firstly, DHL argues that the circulars regarding price revaluation were only sent to small clients, representing less than 20% of the company's revenue. In this context, the exchanges on the rates of annual increase would have had little strategic interest for the company.</w:t>
      </w:r>
    </w:p>
    <w:p>
      <w:r>
        <w:t>747. On the one hand, as indicated by DHL itself, the increase rates mentioned in the circulars established by the companies were applied directly to small clients. Thus, regarding these clients, discussions about the future level of these revaluations were particularly strategic, as they allowed for a very accurate anticipation of the price increases that would actually be applied to them.</w:t>
      </w:r>
    </w:p>
    <w:p>
      <w:r>
        <w:t>748. Consequently, the exchanges that took place between companies in the messaging and express messaging sector were undoubtedly sensitive for these clients.</w:t>
      </w:r>
    </w:p>
    <w:p>
      <w:r>
        <w:t>749. On the other hand, it is recalled that the price increase circulars were often sent to the entire global client database, as evidenced by information provided by several companies, notably Geodis (references nos. 47419 and 47534), Schenker-Joyau (references nos. 48459 to 48461), TNT (references nos. 48567, 48568, and 47206), and the AUTF (references nos. 54571 and 54572). Even for clients not receiving the circular, the annual increase rate defined internally constituted the basis for pricing negotiations, which is confirmed by the sales arguments obtained within several visited companies and the statements of representatives from the AUTF (paragraph 58 above).</w:t>
      </w:r>
    </w:p>
    <w:p>
      <w:r>
        <w:t>750. In this regard, document no. 19 attached to DHL's observations on the report details the company's pricing revaluation process for the 2006-2007 campaign. Page 2 of this presentation states, "Client scope: all clients, including migrated clients (AEM) and all clients from the TOP 1000 action." The following page confirms that the "TOP 1000" clients, i.e., the most important clients, were indeed affected by the 4.5% increase rate decided that year. For these clients, it was even a minimum increase.</w:t>
      </w:r>
    </w:p>
    <w:p>
      <w:r>
        <w:t>751. Furthermore, since pricing negotiations occurred at the same time of year, including for important clients, companies in the sector did not wish to act in isolation or out of sync with the rest of the market when discussing with these key accounts. Information regarding their competitors' needs for price increases thus necessarily held strategic value.</w:t>
      </w:r>
    </w:p>
    <w:p>
      <w:r>
        <w:t>752. In light of the above, the argument regarding the proportion of clients receiving the circulars and the proportion of revenue they represent cannot undermine the strategic nature of the exchanges pursued.</w:t>
      </w:r>
    </w:p>
    <w:p>
      <w:r>
        <w:t>753. Secondly, Heppner argues that the reduction in the opacity of business strategies resulting from exchanges on price increases would be "virtually nil" since these exchanges would not allow for anticipating the behaviors of companies in individual negotiations with the most important clients.</w:t>
      </w:r>
    </w:p>
    <w:p>
      <w:r>
        <w:t>754. However, it has never been claimed that practices regarding annual price increases covered in detail the specific negotiations with each client. Indeed, given the number of clients, it is unlikely that companies could coordinate their discussions client by client within the framework of information exchanges, nor could they set prices for so many different services (see in particular decision no. 14-D-20 regarding practices implemented in the wallpaper sector, paragraph 188).</w:t>
      </w:r>
    </w:p>
    <w:p>
      <w:r>
        <w:t>755. Thus, exchanges on price increase rates were likely to allow for greater market transparency for participating companies and also to promote better coordination of behaviors before and during negotiations. Therefore, even if each company had to manage discussions with its own clients individually, it benefited from a much more favorable negotiating position than would have resulted from a non-distorted competitive situation. Indeed, in the relatively difficult context described by Heppner, marked by the existence of overcapacities, the ability for companies to anticipate the increases requested by their competitors and to align their discourse on this matter was essential if they wanted to have a chance of obtaining all or part of the desired revaluations.</w:t>
      </w:r>
    </w:p>
    <w:p>
      <w:r>
        <w:t>756. Consequently, the argument that the exchanged information did not have a strategic nature must be dismissed.</w:t>
      </w:r>
    </w:p>
    <w:p>
      <w:r>
        <w:t>On the possibility of an exemption for the second grievance</w:t>
      </w:r>
    </w:p>
    <w:p>
      <w:r>
        <w:t>757. Heppner considers that the practices pursued by the second grievance should benefit from the exemption provided for in the second paragraph of I of Article L. 420-4 of the Commercial Code, insofar as the economic sector is subject to a global crisis. The practices in question would then constitute a state of necessity for improving the situation of messengers. It should be noted that Heppner does not explicitly request the benefit of Article 101, paragraph 3, of the TFEU.</w:t>
      </w:r>
    </w:p>
    <w:p>
      <w:r>
        <w:t>758. As indicated above in the context of the developments relating to the examination of an exemption for the practices pursued by the first grievance, a mere conjunctural improvement in the situation of messengers cannot, in itself, constitute an economic benefit within the meaning of Article L. 420-4 of the Commercial Code.</w:t>
      </w:r>
    </w:p>
    <w:p>
      <w:r>
        <w:t>759. Furthermore, the infringement pursued by the second grievance aimed solely at coordinating the pricing policies of the parties and contained no elements regarding market organization or production capacities. Heppner does not explain how this purely pricing coordination allowed for going beyond the improvement of the financial situation of each supplier. Indeed, no measures were taken to address what is identified by Heppner itself as the main problem in the market at the time, namely the existence of overcapacities. As long as overcapacities remained, an agreement on price increases could only allow for a temporary improvement in the accounts of the companies concerned and did not allow for the market to be sanitized.</w:t>
      </w:r>
    </w:p>
    <w:p>
      <w:r>
        <w:t>760. On the contrary, maintaining artificially high prices allowed for equally artificial overcapacities in the affected sector and thus perpetuated the structural problem highlighted by Heppner.</w:t>
      </w:r>
    </w:p>
    <w:p>
      <w:r>
        <w:t>761. Moreover, Heppner provides no specific evidence demonstrating that the practices of exchanging information on price increases were indeed capable of compensating for the crisis situation and restoring sustainable and effective competition in the sector.</w:t>
      </w:r>
    </w:p>
    <w:p>
      <w:r>
        <w:t>762. Finally, Heppner does not demonstrate at any point how clients could benefit, in the short, medium, or long term, from practices that essentially ensured they paid higher prices. Furthermore, these higher prices were, in one way or another, necessarily passed on at the end of the value chain, that is to say, to the final consumer.</w:t>
      </w:r>
    </w:p>
    <w:p>
      <w:r>
        <w:t>763. Consequently, Heppner's arguments are not sufficient to prove that the practices pursued by the second grievance should be exempted.</w:t>
      </w:r>
    </w:p>
    <w:p>
      <w:r>
        <w:t>d) Conclusion</w:t>
      </w:r>
    </w:p>
    <w:p>
      <w:r>
        <w:t>764. It follows from all of the above that the various concerted practices organized, for each of the two grievances, within the framework of the meetings of the Trade Council within TLF and the additional bilateral and multilateral contacts, have an anti-competitive object and are contrary to Articles 101 of the TFEU and L. 420-1 of the Commercial Code, without being able to benefit from the exemption under Union or domestic law.</w:t>
      </w:r>
    </w:p>
    <w:p>
      <w:r>
        <w:t>3. ON THE PARTICIPATION OF COMPANIES IN THE PRACTICES</w:t>
      </w:r>
    </w:p>
    <w:p>
      <w:r>
        <w:t>765. The following developments analyze the individual participation of companies in the two grievances. For the companies in the non-contestation procedure of the grievances, the facts will only be recalled below for the sake of clarity.</w:t>
      </w:r>
    </w:p>
    <w:p>
      <w:r>
        <w:t>a) The proof of a company's participation in a concerted practice</w:t>
      </w:r>
    </w:p>
    <w:p>
      <w:r>
        <w:t>Principles</w:t>
      </w:r>
    </w:p>
    <w:p>
      <w:r>
        <w:t>On the standard of proof of a company's participation in a horizontal agreement</w:t>
      </w:r>
    </w:p>
    <w:p>
      <w:r>
        <w:t>766. A company must rigorously refrain from participating in direct or indirect contacts with its competitors with a view to exchanging information on their business policies, particularly regarding the price of goods or services they offer on the market. This type of meeting calls for only one response from companies: to refuse to participate or, if the good faith of the participant is compromised, to distance themselves promptly and publicly from the anti-competitive mechanism of which the meeting is the support. Participation in even one of these meetings, even if passive, is sufficient to reinforce the mechanism of the agreement: on the one hand, it informs about the commercial behavior that other actors have decided to adopt in the market, whereas the autonomy required by competition among companies assumes that they remain uncertain about their competitors' strategies; on the other hand, it allows more active participants to anticipate that the absence of opposition from a company will not disrupt the collusive game (decision no. 07-D-48 of the Council of December 18, 2007, cited above, paragraph 180, confirmed by the ruling of the Paris Court of Appeal of February 25, 2009, cited above, page 9; see also the aforementioned ruling of the Court of Justice of June 4, 2009, T-Mobile Netherlands e.a., C-8/08, point 60).</w:t>
      </w:r>
    </w:p>
    <w:p>
      <w:r>
        <w:t>767. Furthermore, according to established case law, as soon as a company participates, even without taking an active part, in meetings between companies with an anti-competitive object and does not publicly distance itself from the content of those meetings, thereby leading other participants to believe that it subscribes to the outcomes of the meetings and will comply with them, it can be considered established that it participates in the agreement resulting from said meetings (rulings of the Court of First Instance of December 17, 1991, Hercules Chemicals/Commission, T-7/89, point 232, of March 10, 1992, Solvay/Commission, T-12/89, point 98, of April 6, 1995, Tréfileurope/Commission, T-141/89, points 85 and 86, and of March 20, 2002, T-21/99, Dansk Rorindustri/Commission, points 41 to 56; Sumitomo Metal Industries Ltd and Nippon Steel Corp, joined cases C-403/04 P and C-405/04 P).</w:t>
      </w:r>
    </w:p>
    <w:p>
      <w:r>
        <w:t>768. Under European law, participation, even passive, of a company in a meeting whose object is anti-competitive is sufficient to prove its adherence to the agreement of wills and its participation in the agreement, unless that company demonstrates that it did not subscribe to the anti-competitive practices decided at said meeting, by publicly distancing itself from them. Thus,</w:t>
      </w:r>
    </w:p>
    <w:p>
      <w:r>
        <w:rPr>
          <w:b/>
        </w:rPr>
        <w:t>[Pages 139–141]</w:t>
      </w:r>
    </w:p>
    <w:p>
      <w:r>
        <w:t>the mere circumstance that a company's behavior in the market was not in accordance with the agreed or announced behavior does not in any way affect its adherence to the agreement of wills, and consequently, its liability for a violation of Article 81 of the EC Treaty (now Article 101, paragraph 1, of the TFEU) (see the judgment of the Court of Justice of November 16, 2000, case C-291/98, Sarrio SA, paragraph 50, confirmed by the judgment of June 28, 2005, case C-189/02 P et al., Dansk Rørindustri). In particular, as the European Commission noted in its "Bananas" decision (Commission decision of October 15, 2008, regarding the implementation of Article 81 of the Treaty, No. COMP/39.188, Bananas, paragraph 324), "[i]t follows from consistent case law that a company which, despite an agreement with its competitors, pursues a more or less independent policy in the market, may simply attempt to use the agreement for its own benefit."</w:t>
      </w:r>
    </w:p>
    <w:p>
      <w:r>
        <w:t>769. In the case of concerted practices of information exchange, it follows from the case law of the Court of Justice that "it must be presumed, subject to contrary evidence which it is for the interested operators to provide, that companies participating in the consultation and remaining active in the market take into account the information exchanged with their competitors to determine their behavior in that market" (judgment of the Court of Justice of July 8, 1999, case C-49/92 P Commission/Anic Partecipazioni, paragraph 121).</w:t>
      </w:r>
    </w:p>
    <w:p>
      <w:r>
        <w:t>770. This presumption also applies when the company has limited itself to receiving information from competitors, without communicating any to them. Indeed, the Court of the European Union specified that "a company, by participating in a meeting with an anti-competitive object, not only pursued the aim of eliminating in advance the uncertainty regarding the future behavior of its competitors, but necessarily had to take into account, directly or indirectly, the information obtained during these meetings to determine the policy it intended to follow in the market. [...] This conclusion is also applicable when [...] the participation of one or more companies in meetings with an anti-competitive object is limited to the mere receipt of information regarding the future behavior of their competitors in the market" (judgment of the Court of July 12, 2001, Tate &amp; Lyle, case T-202/98 et al., paragraph 58, confirmed by the Court of Justice on April 29, 2004, case C-359/01 P).</w:t>
      </w:r>
    </w:p>
    <w:p>
      <w:r>
        <w:t>771. Thus, based on these principles, it appears that when a company has participated in exchanges with an anti-competitive object, it is sufficient to demonstrate its adherence to the practice by proving its presence during these exchanges. It is, however, not necessary to provide other elements related to its behavior in the market or the use of the information obtained.</w:t>
      </w:r>
    </w:p>
    <w:p>
      <w:r>
        <w:t>772. Furthermore, as indicated by the Court of Justice in its aforementioned "T-Mobile" judgment, "as long as the company participating in the consultation remains active in the relevant market, the presumption of a causal link between the consultation and the behavior of that company in that market is applicable even if the consultation is based solely on a single meeting of the companies concerned" (judgment of the Court of Justice, T-Mobile, case C-8/08 of June 4, 2009, paragraph 62).</w:t>
      </w:r>
    </w:p>
    <w:p>
      <w:r>
        <w:t>773. Consequently, under European law, a company's adherence to information exchange practices can be presumed when it has participated in a single meeting during which concerted anti-competitive practices took place.</w:t>
      </w:r>
    </w:p>
    <w:p>
      <w:r>
        <w:t>774. If French decision-making practice may have previously required a higher standard of proof when concerted practices took place within the framework of a statutory meeting, in the present case, both Article L. 420-1 of the Commercial Code and Article 101 TFEU are applicable. When a national authority or court also applies European competition law, it must exclusively apply the principles relating to the proof of adherence to a concerted practice developed by the Court of Justice, as recalled by the Court of Justice in the aforementioned T-Mobile case.</w:t>
      </w:r>
    </w:p>
    <w:p>
      <w:r>
        <w:t>775. It should be recalled that Article 101 TFEU, on the one hand, produces direct effects in relations between individuals and generates rights for litigants that national authorities must safeguard and that, on the other hand, it constitutes a public order provision, essential for the fulfillment of the missions entrusted to the European Union, which must be applied ex officio by national authorities. Therefore, when applying Article 101 TFEU, the interpretation given by the Court is binding on all national authorities and courts of the Member States (see, in this sense, judgments of June 4, 2009, T-Mobile, cited above, paragraph 58, and June 1, 1999, Eco Swiss, case C-126/97, paragraphs 36 and 39, as well as July 13, 2006, Manfredi et al., case C-295/04 et al., paragraphs 31 and 39).</w:t>
      </w:r>
    </w:p>
    <w:p>
      <w:r>
        <w:t>On the attendance of companies</w:t>
      </w:r>
    </w:p>
    <w:p>
      <w:r>
        <w:t>776. The liability of a specific company is validly established when it has participated in meetings with knowledge of their anti-competitive object. Its more or less great attendance at these meetings, the duration of its participation in the agreement, as well as the more or less complete implementation of the agreed measures may have consequences not on the existence of its liability but on the extent of it (see, in this sense, the judgment of the Court of Justice Dansk Rørindustri et al./Commission, cited above, paragraph 145).</w:t>
      </w:r>
    </w:p>
    <w:p>
      <w:r>
        <w:t>On the statement of a company representative</w:t>
      </w:r>
    </w:p>
    <w:p>
      <w:r>
        <w:t>777. The statement of a representative of a company acknowledging its participation in an agreement constitutes self-sufficient evidence of the existence and participation of the company in the infringement in question. Conversely, a statement implicating a company and coming from a representative of a competing company constitutes merely a simple indication of the participation of the company concerned in the agreement in question. It must therefore be examined whether such an indication is corroborated by other evidence, such as consistent statements from other indicted companies or other material indications (decision of the Authority No. 11-D-02 of January 26, 2011, regarding practices implemented in the sector of the restoration of historical monuments, paragraphs 372 and 373).</w:t>
      </w:r>
    </w:p>
    <w:p>
      <w:r>
        <w:t>Application to the case at hand</w:t>
      </w:r>
    </w:p>
    <w:p>
      <w:r>
        <w:t>On participation in a single meeting within the statutory framework of a professional organization</w:t>
      </w:r>
    </w:p>
    <w:p>
      <w:r>
        <w:t>778. The companies Ciblex, FedEx, and Normatrans contest the standard of proof used by the Authority regarding participation in a single meeting within the statutory framework of a professional organization, recalling that the Court of Justice's "T-Mobile" judgment did not address the issue of the specificity of statutory meetings and therefore could not call into question the distinction made in national law. Ciblex adds that since the publication of this judgment, the Authority and the Paris Court of Appeal have continued to apply the same principles in the so-called "road signage" cases (decision No. 10-D-39), "laundries" (decision No. 11-D-17), and "endives" (decision No. 12-D-08).</w:t>
      </w:r>
    </w:p>
    <w:p>
      <w:r>
        <w:t>779. As indicated in the principles developed previously, under Union law, it is sufficient to demonstrate a company's adherence to an illegal practice by proving its participation, even passive, in a single meeting with an anti-competitive object, without the need to provide additional evidence.</w:t>
      </w:r>
    </w:p>
    <w:p>
      <w:r>
        <w:t>780. Regarding FedEx, it has been found that this company participated in several statutory meetings during the various pricing campaigns for which it is involved (see table 20).</w:t>
      </w:r>
    </w:p>
    <w:p>
      <w:r>
        <w:t>781. Regarding Ciblex and Normatrans, it has been found that they participated in a meeting whose anti-competitive object is established.</w:t>
      </w:r>
    </w:p>
    <w:p>
      <w:r>
        <w:t>782. Consequently, the arguments of Ciblex, FedEx, and Normatrans will be dismissed.</w:t>
      </w:r>
    </w:p>
    <w:p>
      <w:r>
        <w:t>On the passive participation of certain companies in meetings</w:t>
      </w:r>
    </w:p>
    <w:p>
      <w:r>
        <w:t>783. In their submissions, the companies Normatrans and Transports Henri Ducros argue that their mere, passive presence at one or more meetings would not be sufficient to demonstrate their participation in the concerted practice of grievance No. 1.</w:t>
      </w:r>
    </w:p>
    <w:p>
      <w:r>
        <w:t>784. Similarly, the companies Ziegler, DHL, Geodis, BMVirolle, NDD, Transports Henri Ducros, and Normatrans argue that their mere, passive presence at certain meetings would not be sufficient to demonstrate their participation regarding one or more campaigns of grievance No. 2.</w:t>
      </w:r>
    </w:p>
    <w:p>
      <w:r>
        <w:t>785. However, as indicated in paragraph 767 above, as soon as a company participates, even without taking an active part, in meetings between companies with an anti-competitive object and does not publicly distance itself from the content of those meetings, thus leading other participants to believe that it subscribes to the results of the meetings and will comply with them, case law recognizes its participation in the agreement.</w:t>
      </w:r>
    </w:p>
    <w:p>
      <w:r>
        <w:t>786. Consequently, the aforementioned companies cannot challenge their participation in grievance No. 1 or in one or more campaigns of grievance No. 2 by claiming that they were present at the meetings passively.</w:t>
      </w:r>
    </w:p>
    <w:p>
      <w:r>
        <w:t>On the duration of participation of companies</w:t>
      </w:r>
    </w:p>
    <w:p>
      <w:r>
        <w:t>787. In their submissions, the companies BMVirolle, Ciblex, and Geodis argue that the end of their participation for one or more campaigns of grievance No. 2 in March of the year concerned by the campaign would have been determined arbitrarily and without real demonstration.</w:t>
      </w:r>
    </w:p>
    <w:p>
      <w:r>
        <w:t>788. But, firstly, the negotiations for price revaluation in the messaging sector followed, for all the years considered, a very similar schedule. The circulars requesting price increases were sent between the end of September and the end of November of a given year, after which negotiations with clients began, ending around the end of March of the following year.</w:t>
      </w:r>
    </w:p>
    <w:p>
      <w:r>
        <w:t>789. Exchanges between companies regarding price increases occurred at least once a year, just before or at the very beginning of the price revaluation campaigns, and were specifically aimed at strengthening the negotiating capacity of the participants.</w:t>
      </w:r>
    </w:p>
    <w:p>
      <w:r>
        <w:t>790. Secondly, the observation of annual negotiations generally ceasing in March is confirmed by numerous consistent statements from the companies. Thus, for example, the companies Heppner (reference no. 44467), Normatrans (reference no. 51000), Schenker-Joyau (reference no. 47943) indicated that price negotiations could last until March.</w:t>
      </w:r>
    </w:p>
    <w:p>
      <w:r>
        <w:rPr>
          <w:b/>
        </w:rPr>
        <w:t>[Pages 142–144]</w:t>
      </w:r>
    </w:p>
    <w:p>
      <w:r>
        <w:t>791. Gefco also indicated that the negotiations spanned from October to February (reference no. 48843) and Ziegler, for its part, after mentioning the date of November 1, explained that "the pricing outcome is sometimes recorded 3 or 4 months later" (reference no. 51175).</w:t>
      </w:r>
    </w:p>
    <w:p>
      <w:r>
        <w:t>792. Finally, the representative of the national association of freight transport users ("AUTF") stated that "[n]ormally, the rates apply from January 1, or even February 1. But sometimes negotiations last until March" (reference no. 54572).</w:t>
      </w:r>
    </w:p>
    <w:p>
      <w:r>
        <w:t>793. Thus, even if the new rate for certain clients was set for January 1, or even February 1, it is only in March that each company could make a definitive assessment of its own pricing revaluation campaign. The increases negotiated per campaign – negotiations that ended, as explained above, in March – were intended to apply for the entire year.</w:t>
      </w:r>
    </w:p>
    <w:p>
      <w:r>
        <w:t>794. The companies BMVirolle, Ciblex, and Geodis cannot therefore argue that the end of their participation would have been arbitrarily set for March of the year in question for one or more campaigns.</w:t>
      </w:r>
    </w:p>
    <w:p>
      <w:r>
        <w:t>On participation in different types of contacts</w:t>
      </w:r>
    </w:p>
    <w:p>
      <w:r>
        <w:t>795. The company DHL believes that the Authority should have distinguished, within each complaint, between, on the one hand, multilateral and bilateral contacts and, on the other hand, meetings of the Trade Council. Indeed, according to DHL, multilateral and bilateral contacts involved a more limited number of participants, which it refers to as the "core group" of the agreement and allowed for more in-depth and targeted exchanges, particularly regarding customer sharing. These particular exchanges would have allowed for the transmission of more reliable information.</w:t>
      </w:r>
    </w:p>
    <w:p>
      <w:r>
        <w:t>796. As explained above, the vast majority of the evidence collected concerns the meetings of the Trade Council, which constituted the core of the practices pursued. The ongoing consultation took place during meetings of the TLF Trade Council and was supplemented by collusive exchanges of a bilateral or multilateral nature between certain concerned companies, which allowed them to reassure each other about their willingness to adhere to the indications given in the meeting.</w:t>
      </w:r>
    </w:p>
    <w:p>
      <w:r>
        <w:t>797. Furthermore, not every exchange needs to be anti-competitive in itself for the practices in which it is embedded to be so in their entirety. It is the interplay of interactions between the different types of exchanges and how these exchanges combine with one another and converge towards a single goal that renders an information exchange system anti-competitive, given the economic and legal context in which it is situated (see decision no. 14-D-19, paragraphs 322 and 352). The mention of customer sharing invoked by DHL is ineffective, as neither of the two complaints targets customer sharing practices.</w:t>
      </w:r>
    </w:p>
    <w:p>
      <w:r>
        <w:t>798. DHL's argument will therefore be dismissed.</w:t>
      </w:r>
    </w:p>
    <w:p>
      <w:r>
        <w:t>On the body of evidence used</w:t>
      </w:r>
    </w:p>
    <w:p>
      <w:r>
        <w:t>799. FedEx contests for complaint no. 2, the body of evidence used to demonstrate its participation in the agreement. It argues that this should necessarily rely on:</w:t>
        <w:br/>
        <w:t>- the statements of the leniency applicants attesting that the information exchanges pursued took place at least from 2004 to 2010 within the framework of the September Trade Council meetings;</w:t>
      </w:r>
    </w:p>
    <w:p>
      <w:r>
        <w:t>- the fact that the incriminated company actually participated in the September Trade Council meeting corresponding to the negotiation cycle for which the company is being prosecuted;</w:t>
      </w:r>
    </w:p>
    <w:p>
      <w:r>
        <w:t>- the fact that the price increase announced by the incriminated company in its circular corresponds to the information communicated in the meeting.</w:t>
      </w:r>
    </w:p>
    <w:p>
      <w:r>
        <w:t>800. FedEx constructs this three-pronged framework as a standard that would be imposed on the Authority and consequently believes that, in its case, the three prongs are not met.</w:t>
      </w:r>
    </w:p>
    <w:p>
      <w:r>
        <w:t>801. FedEx's approach is erroneous on several counts.</w:t>
      </w:r>
    </w:p>
    <w:p>
      <w:r>
        <w:t>802. Firstly, concerning horizontal agreements, there is no specific rule regarding the structure or form of the body of evidence used to demonstrate the meeting of minds. As the principles recalled above show, the body of evidence must consist of a set of consistent pieces, presenting a high degree of reliability and credibility, which, when assessed as a whole, are capable of convincing. It is therefore not necessary for this body to include one type or another of evidence (statements, material evidence, economic elements, etc.) or to present several "branches."</w:t>
      </w:r>
    </w:p>
    <w:p>
      <w:r>
        <w:t>803. Secondly, following FedEx's reasoning, the statements of the leniency applicants would be the only basis used by the Authority to demonstrate that information exchanges took place during meetings of the Trade Council. The other two branches would then stem from the first. However, in addition to the statements of the leniency applicants, the Authority took into account emails, internal compilation notes made by Alloin and Graveleau, letters, and attendance sheets at meetings to demonstrate the presence of companies at the meetings and their participation in complaint no. 2.</w:t>
      </w:r>
    </w:p>
    <w:p>
      <w:r>
        <w:t>804. Thirdly, contrary to what FedEx claims, the fact that the price increase announced by the incriminated company in its circular corresponds to the information communicated in the meeting does not constitute a necessary prerequisite for it to be held liable for the agreement. Thus, the mere circumstance that a company's behavior in the market was not in accordance with the agreed or announced behavior does not affect its adherence to the meeting of minds and, consequently, its liability for a violation of Article 101, paragraph 1, of the TFEU (see the judgment of the Court of Justice of November 16, 2000, Sarrio SA, case C-291/98, paragraph 50, confirmed by the judgment of June 28, 2005, Dansk Rørindustri, case C-189/02 P et al.). In particular, as the European Commission noted in its "Bananas" decision, "[i]t follows from consistent case law that a company which, despite an agreement with its competitors, pursues a more or less independent policy in the market, may simply attempt to use the agreement for its own benefit" (European Commission decision of October 15, 2008, regarding the implementation of Article 81 of the Treaty, COMP/39.188, Bananas, paragraph 324, confirmed by the Tribunal by judgment of March 14, 2013, case T-588/08, itself confirmed by the Court of Justice by judgment of March 19, 2015, case C-286/13 P).</w:t>
      </w:r>
    </w:p>
    <w:p>
      <w:r>
        <w:t>805. Thus, a company that participated in information exchanges on price increases that occurred before the launch or at the beginning of an annual negotiation campaign, and that remained active in the market, must be considered to have participated in the infringement for the entire duration of the annual campaign in question. Consequently, it is sufficient, to establish a given company's participation in the practice for a particular pricing campaign, to demonstrate its participation in an anti-competitive exchange that occurred before or at the beginning of that campaign. As long as this company remained in the market, it could have made use of the information obtained during these exchanges and must therefore be considered to have adhered to the agreement.</w:t>
      </w:r>
    </w:p>
    <w:p>
      <w:r>
        <w:t>806. In this context, the tables listing the dates and rates displayed by the circulars actually sent by companies in the messaging and express sector, included in the notification of complaints, only serve to reinforce the demonstration of the existence of the practices and to confirm the actual impact on the market of the pursued exchanges. It is not necessary, for each company involved, to analyze the rate increases requested from its clients for each pricing campaign, as long as the participation of that company in one or more anti-competitive meetings is demonstrated.</w:t>
      </w:r>
    </w:p>
    <w:p>
      <w:r>
        <w:t>807. FedEx's arguments will therefore be dismissed.</w:t>
      </w:r>
    </w:p>
    <w:p>
      <w:r>
        <w:t>b) Regarding the complaint related to the diesel surcharge (complaint no. 1)</w:t>
      </w:r>
    </w:p>
    <w:p>
      <w:r>
        <w:t>On the participation of Schenker-Joyau</w:t>
      </w:r>
    </w:p>
    <w:p>
      <w:r>
        <w:t>808. The company Schenker-Joyau participated in the concerted practice referred to in complaint no. 1, notably by being the recipient of the email of May 26, 2004, and by participating in the meetings of June 8, 2004, September 30, 2004, June 8, 2005, and September 22, 2005. It also took part in informal exchanges at the end of summer 2005.</w:t>
      </w:r>
    </w:p>
    <w:p>
      <w:r>
        <w:t>809. In this context, Schenker-Joyau is held responsible for the entirety of the concerted practice referred to in complaint no. 1 between May 26, 2004, and January 5, 2006.</w:t>
      </w:r>
    </w:p>
    <w:p>
      <w:r>
        <w:t>On the participation of Alloin</w:t>
      </w:r>
    </w:p>
    <w:p>
      <w:r>
        <w:t>810. Regarding Alloin, the legal entities involved in this case do not contest the complaints.</w:t>
      </w:r>
    </w:p>
    <w:p>
      <w:r>
        <w:t>811. The company Alloin participated in the concerted practice referred to in complaint no. 1, notably by being the recipient of the email of May 26, 2004, and by participating in the meetings of June 8, 2004, September 30, 2004, June 8, 2005, and September 22, 2005. It also took part in informal exchanges at the end of summer 2005.</w:t>
      </w:r>
    </w:p>
    <w:p>
      <w:r>
        <w:t>812. In this context, Alloin is held responsible for the entirety of the concerted practice referred to in complaint no. 1 between May 26, 2004, and January 5, 2006.</w:t>
      </w:r>
    </w:p>
    <w:p>
      <w:r>
        <w:t>On the participation of Chronopost</w:t>
      </w:r>
    </w:p>
    <w:p>
      <w:r>
        <w:t>813. Regarding Chronopost, the legal entities involved in this case do not contest the complaints.</w:t>
      </w:r>
    </w:p>
    <w:p>
      <w:r>
        <w:t>814. The company Chronopost participated in the concerted practice referred to in complaint no. 1, notably by participating in the meetings of June 8, 2005, and September 22, 2005.</w:t>
      </w:r>
    </w:p>
    <w:p>
      <w:r>
        <w:t>815. In this context, Chronopost is held responsible for the entirety of the concerted practice referred to in complaint no. 1 between June 8, 2005, and January 5, 2006.</w:t>
      </w:r>
    </w:p>
    <w:p>
      <w:r>
        <w:t>On the participation of Ciblex</w:t>
      </w:r>
    </w:p>
    <w:p>
      <w:r>
        <w:t>816. The evidence in the file is not sufficient to establish the participation of the company Ciblex regarding complaint no. 1.</w:t>
      </w:r>
    </w:p>
    <w:p>
      <w:r>
        <w:rPr>
          <w:b/>
        </w:rPr>
        <w:t>[Pages 145–147]</w:t>
      </w:r>
    </w:p>
    <w:p>
      <w:r>
        <w:t xml:space="preserve">On the participation of Dachser  </w:t>
        <w:br/>
        <w:t xml:space="preserve">817. Regarding Dachser, the legal entities involved in this case do not contest the allegations.  </w:t>
        <w:br/>
        <w:t xml:space="preserve">818. The company Dachser participated in the concerted practice referred to in allegation no. 1, notably by receiving the email of May 26, 2004, and participating in the meetings of June 8, 2004, September 30, 2004, June 8, 2005, and September 22, 2005.  </w:t>
        <w:br/>
        <w:t>819. In this context, Dachser is held responsible for the entirety of the concerted practice referred to in allegation no. 1 between May 26, 2004, and January 5, 2006.</w:t>
      </w:r>
    </w:p>
    <w:p>
      <w:r>
        <w:t xml:space="preserve">On the participation of Exapaq  </w:t>
        <w:br/>
        <w:t xml:space="preserve">820. Regarding Exapaq, the legal entities involved in this case do not contest the allegations.  </w:t>
        <w:br/>
        <w:t xml:space="preserve">821. The company Exapaq participated in the concerted practice referred to in allegation no. 1, notably by participating in the meetings of June 8, 2005, and September 22, 2005.  </w:t>
        <w:br/>
        <w:t>822. In this context, Exapaq is held responsible for the entirety of the concerted practice referred to in allegation no. 1 between June 8, 2005, and January 5, 2006.</w:t>
      </w:r>
    </w:p>
    <w:p>
      <w:r>
        <w:t xml:space="preserve">On the participation of Gefco  </w:t>
        <w:br/>
        <w:t xml:space="preserve">823. Regarding Gefco, the legal entities involved in this case do not contest the allegations.  </w:t>
        <w:br/>
        <w:t xml:space="preserve">824. The company Gefco participated in the conference call of May 26, 2004. However, during this call, Gefco explicitly distanced itself from the practice aimed at implementing a diesel surcharge, stating that it did not intend to implement this surcharge.  </w:t>
        <w:br/>
        <w:t xml:space="preserve">825. The company Gefco then participated in the meetings of the Trade Council on June 8, 2004, September 30, 2004, June 8, 2005, and September 22, 2005. It also took part in informal exchanges at the end of summer 2005.  </w:t>
        <w:br/>
        <w:t xml:space="preserve">826. Gefco implemented a "diesel surcharge" in accordance with common guidelines in June 2005.  </w:t>
        <w:br/>
        <w:t>827. In this context, Gefco is held responsible for the entirety of the concerted practice referred to in allegation no. 1 between June 8, 2005, and January 5, 2006.</w:t>
      </w:r>
    </w:p>
    <w:p>
      <w:r>
        <w:t xml:space="preserve">On the participation of GLS  </w:t>
        <w:br/>
        <w:t xml:space="preserve">828. Regarding GLS, the legal entities involved in this case do not contest the allegations.  </w:t>
        <w:br/>
        <w:t xml:space="preserve">829. The company GLS participated in the concerted practice referred to in allegation no. 1, notably by participating in the meetings of June 8, 2004, September 30, 2004, June 8, 2005, and September 22, 2005.  </w:t>
        <w:br/>
        <w:t>830. In this context, GLS is held responsible for the entirety of the concerted practice referred to in allegation no. 1 between June 8, 2004, and January 5, 2006.</w:t>
      </w:r>
    </w:p>
    <w:p>
      <w:r>
        <w:t xml:space="preserve">On the participation of Heppner  </w:t>
        <w:br/>
        <w:t xml:space="preserve">831. The company Heppner participated in the concerted practice referred to in allegation no. 1, notably by receiving the email of May 26, 2004, and participating in the meetings of June 8, 2004, September 30, 2004, June 8, 2005, and September 22, 2005. It also took part in informal exchanges at the end of summer 2005.  </w:t>
        <w:br/>
        <w:t xml:space="preserve">832. As for the company Sodimaine, of which Heppner is the legal successor, it did not participate in the conference call of May 26, 2004. However, Sodimaine participated in the meetings of the Trade Council on June 8, 2004, June 8, 2005, and September 22, 2005. Furthermore, the company Sodimaine effectively implemented a diesel surcharge in accordance with common guidelines in September 2004 (reference no. 54464) and maintained it consistently until the integration of its activity within Heppner (reference no. 54462). Therefore, it should be considered that the company Sodimaine participated in the collusive practice regarding the implementation of a "diesel surcharge" in the classic and express messaging sector from June 8, 2004, to January 5, 2006, that is, for 1 year and 6 months.  </w:t>
        <w:br/>
        <w:t>833. In this context, the Heppner group, consisting of Heppner, Lambert and Valette, and XP France (paragraph 95 above) is held responsible for the entirety of the concerted practice referred to in allegation no. 1 between May 26, 2004, and January 5, 2006.</w:t>
      </w:r>
    </w:p>
    <w:p>
      <w:r>
        <w:t xml:space="preserve">On the participation of TNT  </w:t>
        <w:br/>
        <w:t xml:space="preserve">834. Regarding TNT, the legal entities involved in this case do not contest the allegations.  </w:t>
        <w:br/>
        <w:t xml:space="preserve">835. The company TNT participated in the concerted practice referred to in allegation no. 1, notably by receiving the email of May 26, 2004, and participating in the meetings of June 8, 2004, September 30, 2004, and June 8, 2005.  </w:t>
        <w:br/>
        <w:t>836. In this context, TNT is held responsible for the entirety of the concerted practice referred to in allegation no. 1 between May 26, 2004, and January 5, 2006.</w:t>
      </w:r>
    </w:p>
    <w:p>
      <w:r>
        <w:t xml:space="preserve">On the participation of Normatrans  </w:t>
        <w:br/>
        <w:t xml:space="preserve">837. The company Normatrans participated in the meeting of June 8, 2005, of the Trade Council.  </w:t>
        <w:br/>
        <w:t xml:space="preserve">838. Normatrans argues that it only participated in one meeting of the Trade Council and that it did not, on that occasion, adhere to any anti-competitive practice. Furthermore, it indicates that it had, as early as 2004, well before its participation in the aforementioned meeting, implemented a diesel surcharge.  </w:t>
        <w:br/>
        <w:t xml:space="preserve">839. However, it has been demonstrated in paragraphs 274 and following above that, during the aforementioned meeting of June 8, 2005, not only did the present members exchange views on the intensity of the use of the surcharge practice and its acceptance by clients, but they also debated the opportunity to reintegrate the "fuel tax," that is, the diesel surcharge, into the general tariff. A consensual position, consisting of not reintegrating the surcharge, emerged from these discussions.  </w:t>
        <w:br/>
        <w:t xml:space="preserve">840. Thus, this meeting was an opportunity to explicitly renew the agreement of wills between the parties regarding the existence of the diesel surcharge and its billing method. Such a common decision was particularly likely to impact companies that, like Normatrans, had already implemented a diesel surcharge.  </w:t>
        <w:br/>
        <w:t xml:space="preserve">841. Since Normatrans participated in the aforementioned meeting of June 8, 2005, without explicitly distancing itself from the discussions that took place, and in light of the principles recalled in paragraphs 766 and following above, this company must therefore be considered as having adhered to the agreement of wills that was expressed on that occasion.  </w:t>
        <w:br/>
        <w:t>842. In this context, Normatrans is held responsible for the entirety of the concerted practice referred to in allegation no. 1 between June 8, 2005, and January 5, 2006.</w:t>
      </w:r>
    </w:p>
    <w:p>
      <w:r>
        <w:t xml:space="preserve">On the participation of Transports H Ducros  </w:t>
        <w:br/>
        <w:t xml:space="preserve">843. The company Transports H Ducros participated in the concerted practice referred to in allegation no. 1, by participating in the meetings of June 8, 2004, September 30, 2004, June 8, 2005, and September 22, 2005.  </w:t>
        <w:br/>
        <w:t>844. The company Transports H Ducros does not contest its participation in the aforementioned meetings and does not demonstrate any distancing from the anti-competitive discussions, in accordance with the principles mentioned in paragraph 767 of this decision. It is therefore held responsible for the entirety of the concerted practice referred to in allegation no. 1 between June 8, 2004, and January 5, 2006.</w:t>
      </w:r>
    </w:p>
    <w:p>
      <w:r>
        <w:t xml:space="preserve">On the participation of Ziegler  </w:t>
        <w:br/>
        <w:t xml:space="preserve">845. The company Ziegler adhered to the concerted practice referred to in allegation no. 1, by participating in the meetings of June 8, 2004, September 30, 2004, and September 22, 2005.  </w:t>
        <w:br/>
        <w:t xml:space="preserve">846. Firstly, Ziegler argues that the meeting of June 8, 2004, of the Trade Council did not reflect any agreement among the participants regarding the diesel surcharge. Thus, discussions on the diesel surcharge and the surcharge practice would have been based on information gathered "on the ground" and would have remained very general.  </w:t>
        <w:br/>
        <w:t xml:space="preserve">847. However, the minutes of this meeting, drafted by TLF (reference no. 3905), contain very precise elements regarding the methodology used by several companies to implement a diesel surcharge and the timeline of this implementation. Furthermore, these elements, of a pricing and commercial nature, were extremely recent since circulars regarding this issue had been sent to clients at the very end of May 2004.  </w:t>
        <w:br/>
        <w:t xml:space="preserve">848. Secondly, Ziegler claims that there was no common circular for the entire company regarding the diesel surcharge and that the circular from the correspondence of June 8, 2004 (see paragraph 257 above) was solely an initiative of the company's "Atlantic agencies."  </w:t>
        <w:br/>
        <w:t xml:space="preserve">849. However, during the meeting of September 30, 2004, Ziegler discussed with its competitors its internal policy regarding the diesel surcharge and confirmed that it intended to maintain the principle of a separate diesel surcharge.  </w:t>
        <w:br/>
        <w:t>850. In this context, Ziegler is held responsible for the entirety of the concerted practice referred to in allegation no. 1 between June 8, 2004, and January 5, 2006.</w:t>
      </w:r>
    </w:p>
    <w:p>
      <w:r>
        <w:t xml:space="preserve">On the participation of DHL  </w:t>
        <w:br/>
        <w:t>851. The company DHL participated in the concerted practice referred to in allegation no. 1, notably by receiving the email of May 26, 2004, and participating in the meetings of June 8, 2004, September 30, 2004, June 8, 2005, and September 22, 2005. It also took part in informal exchanges at the end of summer 2005.</w:t>
      </w:r>
    </w:p>
    <w:p>
      <w:r>
        <w:t xml:space="preserve">Regarding participation in the conference call of May 26, 2004  </w:t>
        <w:br/>
        <w:t>852. Firstly, DHL considers that its participation in the conference call of May 26, 2004, is not sufficiently demonstrated, as the only evidence put forward would be a report (see paragraphs 208 and following above), drafted by Ms. Laure I..., and which was sent to several executives of DHL.</w:t>
      </w:r>
    </w:p>
    <w:p>
      <w:r>
        <w:rPr>
          <w:b/>
        </w:rPr>
        <w:t>[Pages 148–150]</w:t>
      </w:r>
    </w:p>
    <w:p>
      <w:r>
        <w:t>853. From the outset, it should be recalled that a body of evidence is, by definition, composed of different pieces of evidence that are not necessarily sufficiently probative individually but can form, when combined, a set of presumptions that are sufficiently serious and consistent. Therefore, it is quite artificial to analyze separately the different elements of the body of evidence developed during the investigation.</w:t>
      </w:r>
    </w:p>
    <w:p>
      <w:r>
        <w:t>854. The elements of this body of evidence are as follows.</w:t>
        <w:br/>
        <w:t>- The leniency applicants, Alloin and Schenker-Joyau, who were both present at the conference call on May 26, 2004, through Messrs. Henri H... and Jacques B..., provided fairly precise indications about this conference call, notably stating that "the people on the May 2004 email (references 4740 to 4743 file 10/0062F) are probably the same ones who were present at the conference call" (reference no. 54193).</w:t>
        <w:br/>
        <w:t>- The internal email at Schenker-Joyau dated February 17, 2005, which forwarded the email from May 26, 2004, from Ms. Laure I..., clearly indicated that the conference call on May 26, 2004, brought together several executives from transport groups. It specified that Ms. Laure I...'s email from May 26, 2004, served as a "report."</w:t>
        <w:br/>
        <w:t>- This conference call did not take place within the framework of a Trade Council. It brought together a more limited number of TLF members and was organized at the request of Mr. Jacques B... (reference no. 52765). No element of the file or explanation put forward by the parties justifies why this report was sent to Mr. Olivier K... (then CEO of DHL France and director of DHL Express France) and Mr. Stéphane L... (then CEO of DHL Express France) if they were not present at this meeting.</w:t>
        <w:br/>
        <w:t>- The attendance sheet from the Trade Council meeting on June 8, 2004 (reference no. 3910) shows that at that time the participants in this Trade Council were far more numerous than the eight companies that received Ms. Laure I...'s aforementioned email. DHL's arguments do not justify the sending of this email to the two representatives of DHL if they were not present while many members of the Trade Council were not on the list of recipients.</w:t>
        <w:br/>
        <w:t>- In the internal email from Schenker-Joyau, the expression "deliberately succinct report" (emphasis added) attests to the organizer's intention to keep the content of the meeting confidential. As Ms. Laure I... will further explain in her aforementioned email of September 10, 2009, this intention was linked to the fear of attracting the interest of competition authorities. DHL therefore received a report with limited distribution and confidential nature.</w:t>
      </w:r>
    </w:p>
    <w:p>
      <w:r>
        <w:t>855. Consequently, it is a precise analysis of the documents in the file, and not a mere hypothesis, that demonstrates that Ms. Laure I...'s email of May 26, 2004, was a report addressed to the participants of the conference call that had just taken place that same day, in order to summarize the information transmitted and the decisions made collectively, including those with an anticompetitive object.</w:t>
      </w:r>
    </w:p>
    <w:p>
      <w:r>
        <w:t>856. Secondly, DHL argues that its circular regarding the diesel surcharge was sent to its clients on June 28, 2004, and not a few days after the conference call on May 26, 2004, as the investigation would have indicated, thereby questioning its participation.</w:t>
      </w:r>
    </w:p>
    <w:p>
      <w:r>
        <w:t>857. The sending of a diesel surcharge circular by the participants in the conference call on May 26, 2004, was not used to demonstrate the reality of their participation in this discussion but solely to reinforce the body of evidence recalled above, thus rendering DHL's argument ineffective. In this case, DHL did indeed inform its clients in June 2004 of the establishment of such a mechanism, according to terms consistent with what had been discussed.</w:t>
      </w:r>
    </w:p>
    <w:p>
      <w:r>
        <w:t>On the timing of the implementation of the diesel surcharge</w:t>
      </w:r>
    </w:p>
    <w:p>
      <w:r>
        <w:t>858. DHL argues that the strong temporal coincidence between the dates of implementation of the diesel surcharges by each of the participants in the agreement would result from simple statistical logic. DHL thus considers that, due to the chronology of the increase in fuel prices, the courier operators could not have decided to implement a pass-through before the end of 2003. Then, DHL relies on an economic study dated March-April 2005 from the economic and statistical service of the Ministry of Transport to assert that the pass-through of road transport costs to prices in this sector would occur six months later, which would explain the implementation of diesel surcharges around June 2004.</w:t>
      </w:r>
    </w:p>
    <w:p>
      <w:r>
        <w:t>859. However, on the one hand, DHL's reasoning is ineffective in that it is established that concerted practices took place to coordinate the pass-through of diesel surcharges through meetings and bilateral and multilateral exchanges. On the other hand, and moreover, the companies could have individually decided to pass on a diesel surcharge at other times, notably at the end of 2003, when diesel prices rose sharply, after a reaction time of 9 days to 4.5 weeks from operators as indicated by the note cited by DHL.</w:t>
      </w:r>
    </w:p>
    <w:p>
      <w:r>
        <w:t>860. In this context, DHL is held responsible for the entirety of the concerted practice referred to in complaint no. 1 between May 26, 2004, and January 5, 2006.</w:t>
      </w:r>
    </w:p>
    <w:p>
      <w:r>
        <w:t>On the participation of TLF</w:t>
      </w:r>
    </w:p>
    <w:p>
      <w:r>
        <w:t>861. TLF participated in the concerted practice referred to in complaint no. 1, notably by taking part in the conference call on May 26, 2004, and participating in the meetings on June 8, 2004, September 30, 2004, June 8, 2005, and September 22, 2005.</w:t>
      </w:r>
    </w:p>
    <w:p>
      <w:r>
        <w:t>862. Firstly, TLF considers that it cannot be implicated in the first complaint, as it would not have played a distinct role from that of its members. All actions of Ms. Laure I..., then an employee of the association, would have been dictated by Mr. Jacques B..., former president of Schenker-Joyau, thus nullifying any independent will of TLF. Furthermore, TLF would have merely reported on the discussions of its members, without giving any instructions or exercising any control.</w:t>
      </w:r>
    </w:p>
    <w:p>
      <w:r>
        <w:t>863. Nevertheless, for such a distinct role to be identified, it is not necessary for the association in question to have initiated the agreement or to have ensured leadership or control functions. The notion of a distinct role indeed rests on the case where an association does not merely provide a framework for a discussion among competitors but intervenes itself in the agreement to facilitate or strengthen it. Thus, as soon as the association in question goes beyond the role of a simple forum by positively acting in favor of the anticompetitive practices implemented by its members, it may be held accountable by the competition authorities.</w:t>
      </w:r>
    </w:p>
    <w:p>
      <w:r>
        <w:t>864. In this case, TLF did not merely provide its members with a framework for their agreement but actively participated in the organization and implementation of the reproached behaviors. The association notably organized a specific conference call and drafted the report, which contained a clear injunction to implement the diesel surcharge. It subsequently organized discussions regarding the diesel surcharge that took place during the regular meetings of the Trade Council. Finally, it knowingly concealed the content of the anticompetitive exchanges in the reports of the Trade Council.</w:t>
      </w:r>
    </w:p>
    <w:p>
      <w:r>
        <w:t>865. In the case cited by TLF, known as the "household waste in Île de France" case (decision of the Competition Council no. 98-D-61 of October 6, 1998), a union informed its members of the possibility of passing on a new tax on waste storage to their clients. The encouragement to pass on this tax came from a ministerial circular, and the role of the union was limited to transmitting the information to its members. However, in the same case, the union was condemned for having encouraged its members to charge management fees in addition to the aforementioned tax. As soon as a professional association exceeds its traditional mission of informing its members and disseminates instructions regarding prices, it is deemed to adhere to the anticompetitive agreement.</w:t>
      </w:r>
    </w:p>
    <w:p>
      <w:r>
        <w:t>866. The argument regarding the instructions from Mr. Jacques B..., a member of the Trade Council, to Ms. Laure I..., could only be accepted if TLF had suffered from irresistible pressures from Mr. Jacques B... imposing a determined conduct. Even if it may be admitted that it was difficult for Ms. Laure I... to oppose Mr. Jacques B... alone, it was entirely open to her to inform the leaders of TLF of his requests and to seek their intervention. It was indeed TLF's duty to inform its members that such exchanges could constitute anticompetitive practices.</w:t>
      </w:r>
    </w:p>
    <w:p>
      <w:r>
        <w:t>867. Secondly, TLF emphasizes its role in "lobbying" public authorities and its mission of informing its members, particularly regarding the application of the rules of decree no. 2000-1052 relating to standard contracts in transport.</w:t>
      </w:r>
    </w:p>
    <w:p>
      <w:r>
        <w:t>868. But these actions, the legitimacy of which is not contested, do not change the fact that, on the other hand, TLF organized and participated in a direct consultation among competitors on the pass-through of the diesel surcharge.</w:t>
      </w:r>
    </w:p>
    <w:p>
      <w:r>
        <w:t>869. In this context, TLF is held responsible for the entirety of the concerted practice referred to in complaint no. 1 between May 26, 2004, and January 5, 2006.</w:t>
      </w:r>
    </w:p>
    <w:p>
      <w:r>
        <w:t>c) Regarding the complaint related to price increases (complaint no. 2)</w:t>
      </w:r>
    </w:p>
    <w:p>
      <w:r>
        <w:t>On the participation of Alloin</w:t>
      </w:r>
    </w:p>
    <w:p>
      <w:r>
        <w:t>870. Regarding Alloin, the legal entities implicated in this case do not contest the complaints.</w:t>
      </w:r>
    </w:p>
    <w:p>
      <w:r>
        <w:t>871. The company Alloin participated in the campaigns 2004-2005, 2005-2006, 2006-2007, 2007-2008, 2008-2009, and 2010-2011.</w:t>
      </w:r>
    </w:p>
    <w:p>
      <w:r>
        <w:t>872. In this context, Alloin is held responsible for the entirety of the concerted practice referred to in complaint no. 2 between September 30, 2004, and March 2009, and then from September 16, 2010, to September 29, 2010.</w:t>
      </w:r>
    </w:p>
    <w:p>
      <w:r>
        <w:t>On the participation of Chronopost</w:t>
      </w:r>
    </w:p>
    <w:p>
      <w:r>
        <w:t>873. Regarding Chronopost, the legal entities implicated in this case do not contest the complaints.</w:t>
      </w:r>
    </w:p>
    <w:p>
      <w:r>
        <w:rPr>
          <w:b/>
        </w:rPr>
        <w:t>[Pages 151–153]</w:t>
      </w:r>
    </w:p>
    <w:p>
      <w:r>
        <w:t>874. The company Chronopost participated in the campaigns 2005-2006, 2006-2007, 2007-2008, 2008-2009, 2009-2010, and 2010-2011.</w:t>
      </w:r>
    </w:p>
    <w:p>
      <w:r>
        <w:t>875. In this context, Chronopost is held responsible for the entirety of the concerted practice referred to in grievance no. 2 between September 22, 2005, and September 29, 2010.</w:t>
      </w:r>
    </w:p>
    <w:p>
      <w:r>
        <w:t>On the participation of Exapaq</w:t>
      </w:r>
    </w:p>
    <w:p>
      <w:r>
        <w:t>876. Regarding Exapaq, the legal entities involved in this case do not contest the grievances.</w:t>
      </w:r>
    </w:p>
    <w:p>
      <w:r>
        <w:t>877. The company Exapaq participated in the campaigns 2005-2006, 2006-2007, 2007-2008, 2008-2009, and 2009-2010.</w:t>
      </w:r>
    </w:p>
    <w:p>
      <w:r>
        <w:t>878. In this context, Exapaq is held responsible for the entirety of the concerted practice referred to in grievance no. 2 between September 22, 2005, and March 2010.</w:t>
      </w:r>
    </w:p>
    <w:p>
      <w:r>
        <w:t>On the participation of Dachser</w:t>
      </w:r>
    </w:p>
    <w:p>
      <w:r>
        <w:t>879. Regarding Dachser, the legal entities involved in this case do not contest the grievances.</w:t>
      </w:r>
    </w:p>
    <w:p>
      <w:r>
        <w:t>880. The company Dachser participated in the campaigns 2004-2005, 2005-2006, 2006-2007, 2007-2008, 2008-2009, 2009-2010, and 2010-2011.</w:t>
      </w:r>
    </w:p>
    <w:p>
      <w:r>
        <w:t>881. In this context, Dachser is held responsible for the entirety of the concerted practice referred to in grievance no. 2 between September 30, 2004, and September 29, 2010.</w:t>
      </w:r>
    </w:p>
    <w:p>
      <w:r>
        <w:t>On the participation of Gefco</w:t>
      </w:r>
    </w:p>
    <w:p>
      <w:r>
        <w:t>882. Regarding Gefco, the legal entities involved in this case do not contest the grievances.</w:t>
      </w:r>
    </w:p>
    <w:p>
      <w:r>
        <w:t>883. The company Gefco participated in the campaigns 2004-2005, 2005-2006, 2006-2007, 2007-2008, 2008-2009, 2009-2010, and 2010-2011.</w:t>
      </w:r>
    </w:p>
    <w:p>
      <w:r>
        <w:t>884. In this context, Gefco is held responsible for the entirety of the concerted practice referred to in grievance no. 2 between September 30, 2004, and September 29, 2010.</w:t>
      </w:r>
    </w:p>
    <w:p>
      <w:r>
        <w:t>On the participation of GLS</w:t>
      </w:r>
    </w:p>
    <w:p>
      <w:r>
        <w:t>885. Regarding GLS, the legal entities involved in this case do not contest the grievances.</w:t>
      </w:r>
    </w:p>
    <w:p>
      <w:r>
        <w:t>886. The company GLS participated in the campaigns 2004-2005, 2005-2006, 2006-2007, 2007-2008, 2008-2009, 2009-2010, and 2010-2011.</w:t>
      </w:r>
    </w:p>
    <w:p>
      <w:r>
        <w:t>887. In this context, GLS is held responsible for the entirety of the concerted practice referred to in grievance no. 2 between September 30, 2004, and September 29, 2010.</w:t>
      </w:r>
    </w:p>
    <w:p>
      <w:r>
        <w:t>On the participation of TNT</w:t>
      </w:r>
    </w:p>
    <w:p>
      <w:r>
        <w:t>888. Regarding TNT, the legal entities involved in this case do not contest the grievances.</w:t>
      </w:r>
    </w:p>
    <w:p>
      <w:r>
        <w:t>889. The company TNT participated in the campaigns 2004-2005, 2006-2007, 2007-2008, 2008-2009, and 2010-2011.</w:t>
      </w:r>
    </w:p>
    <w:p>
      <w:r>
        <w:t>890. In this context, TNT is held responsible for the entirety of the concerted practice referred to in grievance no. 2 between September 30, 2004, and March 2005, then from September 28, 2006, to March 2009, and then from September 16 to September 29, 2010.</w:t>
      </w:r>
    </w:p>
    <w:p>
      <w:r>
        <w:t>On the participation of BMVirolle</w:t>
      </w:r>
    </w:p>
    <w:p>
      <w:r>
        <w:t>891. The company BMV is accused of having participated in the concerted practice referred to in grievance no. 2 for the campaigns 2006-2007, 2008-2009, and 2009-2010.</w:t>
      </w:r>
    </w:p>
    <w:p>
      <w:r>
        <w:t>892. Regarding the campaign 2006-2007, the company BMV claims that it never communicated any information regarding its own price increases. BMV notes that no information concerning it is visible in the handwritten notes seized within the company TNT (reference no. 1431). Regarding the exchange of circulars by email (paragraph 408), it continues by stating that it only received a price increase circular from Alloin on November 2, 2006.</w:t>
      </w:r>
    </w:p>
    <w:p>
      <w:r>
        <w:t>893. Regarding the sending, on November 8, 2006, by Mr. Patrick 3..., the manager of the company BMVirolle, of a copy of Mory's price increase circular, which he had just received by fax, to Mr. Philippe X..., president of Graveleau (paragraph 411), BMV indicates that this circular was obtained through an existing partnership at the time for the department of Pyrénées-Atlantiques (64) between it and Mory. It then points out that at the time of this sending, the Mory circular had already been disseminated for more than a month.</w:t>
      </w:r>
    </w:p>
    <w:p>
      <w:r>
        <w:t>894. However, the sending by BMV of information concerning Mory to the president of the company Graveleau reflects not a distancing, but an adherence to the principle of consultations between companies in the messaging and express sector. Indeed, BMV does not provide in its submissions any element allowing to understand the reasons for the transmission of Mory's circular to Graveleau. Even if, at that time, BMV and Graveleau had subcontracting relations, such a transmission could have no operational or organizational interest, since it concerned information about a third company. This sending, on the other hand, confirms the desire of the involved companies to enhance the overall transparency of the market by sharing the pricing information they had.</w:t>
      </w:r>
    </w:p>
    <w:p>
      <w:r>
        <w:t>895. It should also be noted that the transmission of Mory's circular by BMV to Graveleau had a direct impact, as it provided an opportunity for Mr. Daniel T..., then director of land transport at Graveleau, to indicate to several executives of the company: "I invite you to take note of the circular sent by Mr. G..., CEO of MORY TEAM. It reinforces the position we have taken regarding our revaluations and the emphasis we have placed on North/South freights. Regarding lots and full loads, Mr. G...'s position seems very pragmatic to me. I believe we should draw inspiration from it regarding the increase during the period from June to September, a period during which we recorded a significant decrease in our net turnover rate, as the revaluations with our clients could not be made in the same proportions as the increase in subcontracting" (reference no. 846).</w:t>
      </w:r>
    </w:p>
    <w:p>
      <w:r>
        <w:t>896. Thus, at the very moment when negotiations with clients were taking place, this message reinforces the company's position on price revaluations and invites the recipients to draw inspiration from the mechanism established by Mory for certain types of clients.</w:t>
      </w:r>
    </w:p>
    <w:p>
      <w:r>
        <w:t>897. As for the fact that the circular had already been disseminated, reference is made on this point to paragraphs 730 and following of this decision.</w:t>
      </w:r>
    </w:p>
    <w:p>
      <w:r>
        <w:t>898. For all these reasons, BMV's participation in the campaign 2006-2007 must be regarded as established.</w:t>
      </w:r>
    </w:p>
    <w:p>
      <w:r>
        <w:t>899. Regarding the campaign 2008-2009, BMV claims not to have provided any numerical data during the meeting of January 15, 2009, of the Trade Council. It considers that the statements reported in the notes seized within Heppner (references nos. 998 to 1002) were very general and only concerned the general state of the market.</w:t>
      </w:r>
    </w:p>
    <w:p>
      <w:r>
        <w:t>900. However, the statements reproduced in BMV's observations concerned its own individual situation. They were indeed observations on the results of December, the company's cost-saving plans, or the evolution of the autonomy of the agencies. Thus, when BMV indicated "very difficult increase campaign," it was indeed referring to its own negotiation campaign.</w:t>
      </w:r>
    </w:p>
    <w:p>
      <w:r>
        <w:t>901. Furthermore, the aforementioned handwritten notes contain several mentions regarding the results of the pricing negotiations of the companies present. BMV did indeed participate in a meeting during which several competitors provided individual information about their price increase campaigns and did not distance itself from the statements exchanged on that occasion. BMV's argument will therefore be rejected.</w:t>
      </w:r>
    </w:p>
    <w:p>
      <w:r>
        <w:t>902. Consequently, the arguments invoking the absence of BMV's participation in the campaign 2008-2009 must be dismissed.</w:t>
      </w:r>
    </w:p>
    <w:p>
      <w:r>
        <w:t>903. Regarding the campaign 2009-2010, BMV argues that it could not have disclosed any information regarding its future price increases during the meeting of September 17, 2009, since it was only on December 1, 2009, that it informed its teams of the rates to be applied on January 1, 2010.</w:t>
      </w:r>
    </w:p>
    <w:p>
      <w:r>
        <w:t>904. However, since BMV had not yet determined its own increase rate on September 17, 2009, it could take into account the information obtained from its competitors to establish this rate in order to remain within a range consistent with the rest of the market. It could also use this information to strengthen its position during negotiations and resist client pressures.</w:t>
      </w:r>
    </w:p>
    <w:p>
      <w:r>
        <w:t>905. BMV's participation in the campaign 2009-2010 must therefore be regarded as established.</w:t>
      </w:r>
    </w:p>
    <w:p>
      <w:r>
        <w:t>906. BMV participated in the concerted practice of grievance no. 2 between September 28, 2006, and March 2007. It then resumed, in the same manner, its participation in the same practice from September 18, 2008, to March 2010.</w:t>
      </w:r>
    </w:p>
    <w:p>
      <w:r>
        <w:t>On the participation of Ciblex</w:t>
      </w:r>
    </w:p>
    <w:p>
      <w:r>
        <w:t>907. The company Ciblex is implicated for the pricing campaign 2008-2009 and notably for its participation in the meeting of the Trade Council on September 18, 2008.</w:t>
      </w:r>
    </w:p>
    <w:p>
      <w:r>
        <w:t>908. Ciblex considers that its presence at this single meeting cannot suffice to establish its participation in the practice and cites in this regard the judgment of the Court of Justice in the so-called "Anic Partecipazioni" case (judgment of the Court of Justice of July 8, 1999, Commission/Anic Partecipazioni, case C-49/92 P, paragraph 121). It indicates that the participation of a company in a meeting during which sensitive information exchanges took place would only establish a presumption of adherence to an agreement and believes that it has sufficient elements to overturn this presumption.</w:t>
      </w:r>
    </w:p>
    <w:p>
      <w:r>
        <w:rPr>
          <w:b/>
        </w:rPr>
        <w:t>[Pages 154–156]</w:t>
      </w:r>
    </w:p>
    <w:p>
      <w:r>
        <w:t>909. First of all, Ciblex claims that it could not take into account the rates announced by its competitors during the Trade Council meeting on September 18, 2008, since its own tariff revaluation circular is dated September 11, 2008. Thus, for it, the exchanges of information would not have had a future character.</w:t>
      </w:r>
    </w:p>
    <w:p>
      <w:r>
        <w:t>910. However, as already indicated in paragraphs 730 and following of this decision, the fact that Ciblex had already defined its own rate of price increase at that time does not change the anti-competitive nature of its participation in any way.</w:t>
      </w:r>
    </w:p>
    <w:p>
      <w:r>
        <w:t>911. Ciblex provided its competitors with information about its commercial policy even as it had just sent its own request for a price increase and while negotiations with clients had just started. Its competitors were therefore able to benefit from this information regarding Ciblex's pricing strategy and the fact that it was already being implemented. Ciblex was also able to receive numerous pieces of information about the choices made by its competitors regarding price increases. The revaluation circulars of most members of the Trade Council were sent to clients after September 18, 2008, that is, seven days later. Consequently, Ciblex was able to obtain from its competitors, on that day, information of a future nature.</w:t>
      </w:r>
    </w:p>
    <w:p>
      <w:r>
        <w:t>912. In this context, the fact that, on that date, Ciblex had already determined its own rate of price increase does not detract from the strategic interest of the data received from other participants in the meeting.</w:t>
      </w:r>
    </w:p>
    <w:p>
      <w:r>
        <w:t>913. Thus, it should be noted that Ciblex participated in a meeting during which it is demonstrated that exchanges regarding the price increases of companies took place. Ciblex remained in the market after this meeting and provides no evidence indicating that it distanced itself from the exchanges in question.</w:t>
      </w:r>
    </w:p>
    <w:p>
      <w:r>
        <w:t>914. Therefore, Ciblex's participation in the practices pursued by the second complaint for the 2008-2009 campaign must be regarded as established between September 18, 2008, and March 2009.</w:t>
      </w:r>
    </w:p>
    <w:p>
      <w:r>
        <w:t>On the participation of DHL</w:t>
      </w:r>
    </w:p>
    <w:p>
      <w:r>
        <w:t>915. DHL is accused of having participated in the concerted practice referred to in complaint no. 2 for the campaigns 2004-2005, 2005-2006, 2006-2007, 2007-2008, 2008-2009, and 2009-2010.</w:t>
      </w:r>
    </w:p>
    <w:p>
      <w:r>
        <w:t>916. Regarding the 2004-2005 campaign, DHL first argues that, during the Trade Council meeting on September 30, 2004, it did not provide any indication of the rate of increase it was considering and intended to implement its own market recovery policy, which it believes constitutes evidence of the company's distancing from the agreement or a deviation from the rest of the participants in the agreement. DHL cites a ruling from the Court of Justice dated January 7, 2004 (case C-204/00 P et al., Aalborg Portland v. Commission, paragraph 81) in which it is notably indicated that a company participating in an anti-competitive meeting can, to demonstrate its absence of adherence to the agreement, provide evidence proving that it had indicated to its competitors that it participated in these meetings with a different perspective than theirs.</w:t>
      </w:r>
    </w:p>
    <w:p>
      <w:r>
        <w:t>917. However, participation in a concerted practice concerning pricing policies is established for a company as soon as it provides its competitors with sensitive information about its own policy, even if this information reflects the choice to adopt a behavior different from that of its competitors.</w:t>
      </w:r>
    </w:p>
    <w:p>
      <w:r>
        <w:t>918. In this case, DHL indicated during the aforementioned meeting on September 30, 2004, that it would attempt to regain its market share with pricing grids (see reference no. 1917), thereby providing its competitors with sensitive information about its own policy.</w:t>
      </w:r>
    </w:p>
    <w:p>
      <w:r>
        <w:t>919. The information communicated to competitors cannot be equated, as DHL would wish, to a public distancing. Indeed, none of DHL's statements reflect a desire not to take into account the information received from its competitors. Thus, as soon as DHL provided sensitive information about itself during the Trade Council meeting on September 30, 2004 – DHL's competitors were informed in advance of the strategy that was going to be implemented by the company and were able to adapt their own behavior based on this data – and heard the elements indicated by its competitors, without explicitly stating that it did not wish to receive them and did not intend to take them into account, its participation in the practices is characterized.</w:t>
      </w:r>
    </w:p>
    <w:p>
      <w:r>
        <w:t>920. Secondly, DHL states that it was not reprimanded like the company Mory (see paragraphs 356 and following above), which would demonstrate that its market recovery strategy would resemble a public distancing.</w:t>
      </w:r>
    </w:p>
    <w:p>
      <w:r>
        <w:t>921. However, during the meeting on September 30, 2004, DHL had clearly indicated that it intended to demonstrate commercial aggressiveness and thus attempt to regain market share. Consequently, the other participants had no reason to reprimand it, as it was indeed following this policy, unlike the company Mory, which had not followed the strategy it had announced in the meeting.</w:t>
      </w:r>
    </w:p>
    <w:p>
      <w:r>
        <w:t>922. Regarding the 2005-2006 campaign, DHL argues that the internal compilations made by Alloin and Graveleau (see paragraphs 374 and following of this decision) would not constitute evidence of its participation in the practices, since the increase that DHL requested from its clients (+2.5%) was lower than the increases mentioned in the internal compilations (between +3 and +3.9%).</w:t>
      </w:r>
    </w:p>
    <w:p>
      <w:r>
        <w:t>923. But DHL, which applied its revaluation significantly later than its competitors, allowed other interested parties to determine their future behavior with knowledge of its intentions. By knowing the increase rates of its competitors, it was able to set its own rate at a lower level without reducing it too drastically.</w:t>
      </w:r>
    </w:p>
    <w:p>
      <w:r>
        <w:t>924. The fact that DHL decided to request a smaller increase than expected, while mentioning that the economic context would justify an increase of 4 to 5% (see paragraph 381 of this decision), does not undermine its participation in the concerted practice. The arguments presented by DHL do not challenge the evidential value of the internal emails from Graveleau and Alloin, which leave no doubt about the source of this information.</w:t>
      </w:r>
    </w:p>
    <w:p>
      <w:r>
        <w:t>925. Furthermore, contrary to what DHL claims, these elements are consistent with the market recovery strategy developed at the time by the company.</w:t>
      </w:r>
    </w:p>
    <w:p>
      <w:r>
        <w:t>926. DHL's participation is therefore established for the 2005-2006 campaign.</w:t>
      </w:r>
    </w:p>
    <w:p>
      <w:r>
        <w:t>927. Consequently, DHL is held responsible for the entirety of the concerted practice referred to in complaint no. 2 between September 30, 2004, and March 2010.</w:t>
      </w:r>
    </w:p>
    <w:p>
      <w:r>
        <w:t>On the participation of FedEx</w:t>
      </w:r>
    </w:p>
    <w:p>
      <w:r>
        <w:t>928. FedEx is accused of having participated in the campaigns 2006-2007, 2007-2008, 2008-2009, and 2009-2010.</w:t>
      </w:r>
    </w:p>
    <w:p>
      <w:r>
        <w:t>929. The arguments of FedEx have been addressed in paragraphs 778 and following and 799 and following.</w:t>
      </w:r>
    </w:p>
    <w:p>
      <w:r>
        <w:t>930. FedEx is therefore held responsible for the entirety of the concerted practice referred to in complaint no. 2 between September 28, 2006, and March 2010.</w:t>
      </w:r>
    </w:p>
    <w:p>
      <w:r>
        <w:t>On the participation of Geodis</w:t>
      </w:r>
    </w:p>
    <w:p>
      <w:r>
        <w:t>931. Geodis is accused of having participated in the campaigns 2005-2006, 2006-2007, 2007-2008, 2008-2009, 2009-2010, and 2010-2011.</w:t>
      </w:r>
    </w:p>
    <w:p>
      <w:r>
        <w:t>932. Regarding the 2005-2006 campaign, Geodis first recalls that at the time of this campaign it was not a member of TLF and that it only received circulars from some of its competitors, without distancing itself from them.</w:t>
      </w:r>
    </w:p>
    <w:p>
      <w:r>
        <w:t>933. First of all, while Geodis did not participate in meetings aimed at collusion during the 2005-2006 campaign, it nevertheless received sensitive information from its competitors on at least four occasions, including circulars regarding future price increases that had not yet been communicated to clients. Thus, Geodis received sensitive information that it could take into account in developing its own pricing policy.</w:t>
      </w:r>
    </w:p>
    <w:p>
      <w:r>
        <w:t>934. Consequently, the participation of this company for the 2005-2006 campaign must be regarded as established, Geodis's reference to the conclusions of Advocate General Nils Wahl in the "Total Marketing Services" case, case C-634/13 P, being unfounded.</w:t>
      </w:r>
    </w:p>
    <w:p>
      <w:r>
        <w:t>935. Secondly, Geodis states that its involvement in the 2005-2006 campaign is contradictory to the treatment received by the company Darfeuille, which also received a circular from a competitor, Alloin, on November 2, 2006, and which was not involved in the 2006-2007 campaign.</w:t>
      </w:r>
    </w:p>
    <w:p>
      <w:r>
        <w:t>936. However, Geodis's situation for the 2005-2006 campaign is different from that of Darfeuille for the 2006-2007 campaign. Indeed, while Darfeuille received only one circular from a competitor, about two weeks after this document was sent to clients, Geodis was regularly copied on all exchanges of circulars identified for the 2005-2006 campaign, some of which concerned circulars that had not yet been sent to clients. Geodis cannot therefore compare its situation to that of Darfeuille.</w:t>
      </w:r>
    </w:p>
    <w:p>
      <w:r>
        <w:t>937. Regarding the 2009-2010 and 2010-2011 campaigns, Geodis contests any participation. It argues that Mr. Jean S..., who was its representative at the Trade Council meetings, was no longer its employee (deputy general manager) as of March 2009, and therefore could not engage it. It further argues that the information provided by Mr. Jean S... during the Trade Council meetings on January 28, May 20, and September 16, 2010, would be merely past, would have a general character, and would be of no strategic interest.</w:t>
      </w:r>
    </w:p>
    <w:p>
      <w:r>
        <w:t>938. The presence of an employee or other representatives at anti-competitive meetings is a factual element that allows establishing a company's liability for an infringement of Article 101 TFEU (Judgment of the Tribunal of December 12, 2014, H&amp;R ChemPharm Gmbh, case T-551/08, paragraph 73). The attribution of an infringement to a company under the aforementioned article does not require an action or even knowledge on the part of the partners or main managers of the concerned company regarding this infringement but the action of a person who is authorized to act (Judgments of the Court of Justice of June 7, 1983, Musique Diffusion française, cases 100/80 to 103/80, paragraph 97, and February 7, 2013, Protimonopolny urad Slovenskej republiky, case C-68/12, paragraph 25; and Judgment of the Tribunal of March 20, 2002, Brugg, case T-15/99, paragraph 58).</w:t>
      </w:r>
    </w:p>
    <w:p>
      <w:r>
        <w:t>939. Indeed, a company's liability can be engaged as soon as it has participated in anti-competitive meetings through an "employee or other representatives" (for a recent application see Judgment of the Tribunal of December 12, 2014, Tudapetrol, case</w:t>
      </w:r>
    </w:p>
    <w:p>
      <w:r>
        <w:rPr>
          <w:b/>
        </w:rPr>
        <w:t>[Pages 157–159]</w:t>
      </w:r>
    </w:p>
    <w:p>
      <w:r>
        <w:t>T-550/08, point 64). The existence of an employment contract or the exercise of a specific responsibility by the representative within a company is therefore not necessarily required to hold the company liable as the perpetrator of the offense. The link between the company and its "representative" is not subject to any formal requirement. While European courts note that this individual is "generally authorized to act on behalf of the company" (emphasis added), they do not make the existence of such "authorization" a sine qua non condition for holding the company liable.</w:t>
      </w:r>
    </w:p>
    <w:p>
      <w:r>
        <w:t>940. In this regard, as the Commission points out, participation in agreements prohibited by competition law, which often constitutes a clandestine activity, is not subject to formal rules. It is rare for a representative of a company participating in a meeting to be equipped with a mandate for the purpose of committing an offense (Court of Justice, Protimonopolny, cited above, point 25).</w:t>
      </w:r>
    </w:p>
    <w:p>
      <w:r>
        <w:t>941. The decision-making practice and national case law adopt a similar approach in this matter. The Court of Appeal recently recalled that "to demonstrate a company's participation in an agreement concluded, as in this case, during secret meetings, it is not necessary to determine whether the person representing it at these meetings held a mandate or specific authority for this purpose, but only to establish, based on a body of sufficiently serious, precise, and consistent evidence, that the company was indeed present at these meetings" (decision no. 14-D-19, paragraph 1108 and judgment of the Paris Court of Appeal of January 30, 2014, Sté Colgate-Palmolive Services, page 26).</w:t>
      </w:r>
    </w:p>
    <w:p>
      <w:r>
        <w:t>942. Case law therefore does not require the signature of an employment contract, the existence of a mandate, or the exercise of specific authority by the individual representing the company to hold it accountable for the practices. Indeed, under competition law, the legal entity is responsible for acts committed by its representatives whether they act on behalf of the company or on their own account. It is the responsibility of the legal entity to ensure that all its employees and representatives do not engage in anti-competitive behavior. According to the Tribunal, if it were not permissible to equate individuals with the companies they represent during anti-competitive meetings, the prohibition set forth in Article 101 TFEU would become impossible to enforce (judgment of the Tribunal of March 6, 2012, FLS Plast, T-64/06, point 69).</w:t>
      </w:r>
    </w:p>
    <w:p>
      <w:r>
        <w:t>943. Several elements support the continuity of the representation link between Mr. Jean S... and Geodis, as they demonstrate that, on the one hand, the former was still able to represent the company and, on the other hand, information was indeed transmitted between the two.</w:t>
      </w:r>
    </w:p>
    <w:p>
      <w:r>
        <w:t>On Mr. Jean S...'s capacity to represent Geodis</w:t>
      </w:r>
    </w:p>
    <w:p>
      <w:r>
        <w:t>944. In this case, the minutes of the Trade Council meetings mentioned Mr. Jean S... as a representative of Geodis after March 2009 and during the year 2010.</w:t>
      </w:r>
    </w:p>
    <w:p>
      <w:r>
        <w:t>945. Several documents in the file show that, during working groups organized by TLF, distinct from the Trade Council, Mr. Jean S... was still mentioned as representing Geodis after his retirement in March 2009. This was the case on May 5, 2009 (reference no. 46068) and on September 15, 2009 (reference no. 55272).</w:t>
      </w:r>
    </w:p>
    <w:p>
      <w:r>
        <w:t>946. Contrary to what Geodis claims, between 2008 and 2010, the attendance sheets of the Trade Council were regularly updated with the identities of the participants in the meetings (see, for example, references nos. 54613, 55271, and 54523). Therefore, Geodis cannot argue that the mention of Mr. Jean S... as a representative of Geodis was due to an absence of updates to old attendance sheets of the Trade Council.</w:t>
      </w:r>
    </w:p>
    <w:p>
      <w:r>
        <w:t>947. Contrary to what Geodis claims, which asserts that the departure of an employee automatically leads to the deactivation of their accounts, the file also reveals that Mr. Jean S... retained his Geodis email address after his retirement. Indeed, Mr. Jean S... corresponded in February 2010 with Mr. Philippe X..., a representative of Graveleau, using this professional email (references nos. 2683 to 2686).</w:t>
      </w:r>
    </w:p>
    <w:p>
      <w:r>
        <w:t>948. It is important to note, in the same vein, that Geodis did not appoint a new representative to the Trade Council after Mr. Jean S...'s retirement. However, Geodis continued to pay its contributions to TLF. Certainly, this contribution covered all of Geodis's activities, but, as indicated by DHL and TLF, the meetings of the Trade Council were of major interest to players in the express and messaging sector, which went beyond the practices pursued. Discussions thus covered the monitoring of economic indicators, regulatory issues, and also the joint management of social negotiations, such as mandatory annual negotiations (NAO).</w:t>
      </w:r>
    </w:p>
    <w:p>
      <w:r>
        <w:t>949. According to calculations made by TLF, the express and messaging sectors represented approximately 20 to 30% of Geodis's total activity at the time. In this context, it is unlikely that Geodis would have abandoned all presence at a Trade Council that concerns a significant part of its transport activity. On the other hand, the absence of the appointment of a new representative for Geodis since March 2009 can easily be explained if Mr. Jean S... continued to represent the company after his retirement.</w:t>
      </w:r>
    </w:p>
    <w:p>
      <w:r>
        <w:t>950. The Authority finally notes that Geodis took no explicit measures to sever the representation link with its former employee, Mr. Jean S.... Indeed, it did not make any request to TLF in this regard, even to inform other participants in the meetings that it was distancing itself from its former employee and that it was no longer transmitting any sensitive information to him. Likewise, Mr. Jean S..., as president of the Trade Council of TLF, took no measures to dissociate himself from his former employer while he appeared in the attendance sheets as continuing to represent the latter.</w:t>
      </w:r>
    </w:p>
    <w:p>
      <w:r>
        <w:t>On the information actually transmitted</w:t>
      </w:r>
    </w:p>
    <w:p>
      <w:r>
        <w:t>951. It has been established that Mr. Jean S... provided information concerning Geodis to participants during the Trade Council meetings on January 28, 2010, May 20, 2010, and September 16, 2010 (see references nos. 1017 to 1019, 995 to 997, and 1014 to 1016).</w:t>
      </w:r>
    </w:p>
    <w:p>
      <w:r>
        <w:t>952. Regarding the aforementioned meeting of January 28, 2010, Geodis provides no explanation to justify how certain information was transmitted in its name during the roundtable discussion, mentioning its level of activity, the fact that "the express continues to suffer," or that "the activity remains profitable but with a deterioration in results." Concerning the situation of Cool Jet, mentioned in the same handwritten notes, Mr. Jean S... referred to information on actual prices and on the quality of freight, updated and strategic information that could only have come from Geodis itself.</w:t>
      </w:r>
    </w:p>
    <w:p>
      <w:r>
        <w:t>953. Next, regarding the meeting of May 20, 2010, the information present in the notes seized within the company Heppner concerns for Geodis elements on the evolution of its turnover and on the "price effect." Geodis provides in its developments a number of elements suggesting that the information in question could be erroneous and would in any case be unverifiable. Nevertheless, the person representing Geodis did provide information that was intended to be precise and detailed during this meeting.</w:t>
      </w:r>
    </w:p>
    <w:p>
      <w:r>
        <w:t>954. Finally, during the meeting of September 16, 2010, the price increase rate of Geodis of 2.9% was mentioned. While the price increase circular had already been sent to Geodis's clients on August 31, 2010, knowledge of the increase rate through competitive monitoring – incompatible with Mr. S...'s alleged retired status – does not appear plausible.</w:t>
      </w:r>
    </w:p>
    <w:p>
      <w:r>
        <w:t>955. Regarding the other information visible on the aforementioned material elements, these, contrary to what Geodis claims, possess a certain degree of precision. They notably mention activity forecasts for Geodis and for Ciblex (reference no. 1016).</w:t>
      </w:r>
    </w:p>
    <w:p>
      <w:r>
        <w:t>956. It follows from all these elements that, contrary to what Geodis claims, the information provided about it during the Trade Council meetings on January 28, 2010, May 20, 2010, and September 16, 2010, is sensitive and could not have been obtained from sources external to the company.</w:t>
      </w:r>
    </w:p>
    <w:p>
      <w:r>
        <w:t>On the other elements retained against Geodis</w:t>
      </w:r>
    </w:p>
    <w:p>
      <w:r>
        <w:t>957. Regarding the email of September 1, 2010, from the company Graveleau (now Dachser) (see paragraph 499), Geodis argues that its price revaluation circular, dated August 31, 2010, could have been sent to Dachser as a client by email. Thus, Mr. Vincent V..., the author of the email of September 1, 2010, could have been informed of Geodis's increase rate as of that date.</w:t>
      </w:r>
    </w:p>
    <w:p>
      <w:r>
        <w:t>958. It is true that Geodis's sales representatives could have used email to send price revaluation circulars to their clients. Dachser could materially have been informed of Geodis's revaluation rate on September 1, 2010 (see references nos. 3474 to 3477).</w:t>
      </w:r>
    </w:p>
    <w:p>
      <w:r>
        <w:t>959. However, the wording of Mr. Vincent V...'s email, which mentioned "fishing for information from our competitors," shows that Dachser was not positioning itself as a client but rather as a competitor seeking to gather information on price increases.</w:t>
      </w:r>
    </w:p>
    <w:p>
      <w:r>
        <w:t>960. Therefore, Geodis's argument should once again be dismissed.</w:t>
      </w:r>
    </w:p>
    <w:p>
      <w:r>
        <w:t>961. It results from all the serious, precise, and consistent evidence gathered in the file and recalled above that Mr. S...'s participation in anti-competitive meetings, both before and after March 2009, evidenced Geodis's adherence to the concerted practices subject to grievance no. 2. When considered alongside the other probative elements analyzed in the preceding paragraphs, they establish Geodis's participation, which must be held responsible for all the practices targeted by grievance no. 2 between October 17, 2005, and September 29, 2010.</w:t>
      </w:r>
    </w:p>
    <w:p>
      <w:r>
        <w:t>On the participation of Heppner</w:t>
      </w:r>
    </w:p>
    <w:p>
      <w:r>
        <w:t>962. Heppner participated in the campaigns 2004-2005, 2005-2006, 2006-2007, 2007-2008, 2008-2009, 2009-2010, and 2010-2011.</w:t>
      </w:r>
    </w:p>
    <w:p>
      <w:r>
        <w:t>963. Consequently, the Heppner group, consisting of Heppner, Lambert et Valette, and XP France (paragraph 95 above), is held responsible for the entirety of the agreement targeted by grievance no. 2 between September 30, 2004, and September 29, 2010.</w:t>
      </w:r>
    </w:p>
    <w:p>
      <w:r>
        <w:rPr>
          <w:b/>
        </w:rPr>
        <w:t>[Pages 160–162]</w:t>
      </w:r>
    </w:p>
    <w:p>
      <w:r>
        <w:t>On the participation of Norbert Dentressangle Distribution (NDD)</w:t>
      </w:r>
    </w:p>
    <w:p>
      <w:r>
        <w:t>964. NDD participated in the 2007-2008 campaign.</w:t>
      </w:r>
    </w:p>
    <w:p>
      <w:r>
        <w:t>On NDD's participation in the meeting of June 21, 2007, of the Trade Council</w:t>
      </w:r>
    </w:p>
    <w:p>
      <w:r>
        <w:t>965. Regarding this meeting, NDD considers that the notes seized within Heppner (reference no. 978) would not demonstrate that Darfeuille Services participated in the discussions on North/South pricing and on the effective date of price increases. NDD claims that these discussions could have taken place on the sidelines of the Trade Council meeting, without the presence of Mr. Didier D....</w:t>
      </w:r>
    </w:p>
    <w:p>
      <w:r>
        <w:t>966. However, the notes from the company Heppner show, on the contrary, that the incriminated exchanges took place at the beginning of this meeting, under the item "economic situation." These notes, explicitly titled "TLF 21/06," refer to discussions on pricing issues. Furthermore, the other mentions present in these handwritten notes correspond exactly to the agenda of the Trade Council meeting of June 21, 2007, which is also included in the file (reference no. 977).</w:t>
      </w:r>
    </w:p>
    <w:p>
      <w:r>
        <w:t>967. Thus, the details of the handwritten notes from Heppner confirm that, on June 21, 2007, discussions among participants regarding price increases indeed took place at the beginning of the meeting, as was the case throughout the entirety of the infringement pursued, and not on the sidelines of the Trade Council meeting.</w:t>
      </w:r>
    </w:p>
    <w:p>
      <w:r>
        <w:t>968. NDD provides no evidence to cast doubt on the presence of Darfeuille Services during these discussions. On the contrary, the company is mentioned in the attendance sheet.</w:t>
      </w:r>
    </w:p>
    <w:p>
      <w:r>
        <w:t>969. Consequently, NDD's argument will be rejected.</w:t>
      </w:r>
    </w:p>
    <w:p>
      <w:r>
        <w:t>On the meeting of September 13, 2007, of the Trade Council</w:t>
      </w:r>
    </w:p>
    <w:p>
      <w:r>
        <w:t>970. NDD argues that the aforementioned notes from Mr. Éric C... do not have sufficient probative value. NDD cites a series of precedents in which the Authority or the Paris Court of Appeal considered that certain documents used to demonstrate the existence of exchanges between companies were insufficient to form a convincing body of evidence (Authority decision no. 10-D-26 of July 28, 2010, points 82 to 86, 89 to 90, and 93; judgment of the Paris Court of Appeal of October 10, 2013, RG no. 2012/13744, on the decision of the Competition Council no. 06-D-07 bis of March 21, 2006, page 7; judgment of the Paris Court of Appeal of January 15, 2008, RG no. 2007/02775, on the decision of the Competition Council no. 07-D-01 of January 17, 2007, pages 5 and 6). NDD thus lists the documents that were dismissed as insufficiently probative in these cases.</w:t>
      </w:r>
    </w:p>
    <w:p>
      <w:r>
        <w:t>971. However, it appears from this list that most of these documents were isolated, undated, and, above all, contained information that could have been transmitted by individuals other than competitors. As soon as there was doubt about the origin of this information, the probative nature of the documents in question was affected. They were therefore dismissed.</w:t>
      </w:r>
    </w:p>
    <w:p>
      <w:r>
        <w:t>972. This is not the case for the aforementioned notes seized within TNT.</w:t>
      </w:r>
    </w:p>
    <w:p>
      <w:r>
        <w:t>973. Firstly, NDD indicates that the author of the aforementioned handwritten notes is unknown.</w:t>
      </w:r>
    </w:p>
    <w:p>
      <w:r>
        <w:t>974. However, these notes were seized in Mr. Éric C...'s office, who was then the president of TNT. A comparison of the handwriting on this document with that of Mr. Éric C...'s notes regarding the meeting of September 28, 2006 (reference no. 1431) seems to support that these are indeed notes written by this person. In any case, and without it being necessary to resolve the question of the identity of the author of the handwritten notes, it must be noted that the report, found in Mr. Éric C...'s office, mentions exchanges of confidential information concerning the future behavior of competitors.</w:t>
      </w:r>
    </w:p>
    <w:p>
      <w:r>
        <w:t>975. Secondly, NDD claims that the email dated September 10, 2007, which serves as the basis for Mr. Éric C...'s annotations, did not necessarily concern the Trade Council meeting of September 13, 2007, since it only mentions a "messaging workshop" without a specific date and was sent only to the companies Geodis and Heppner.</w:t>
      </w:r>
    </w:p>
    <w:p>
      <w:r>
        <w:t>976. However, according to the report prepared by TLF (references nos. 45507 and 45508), the aforementioned meeting of September 13, 2007, took the form of a "mini-council," organized within the framework of the TLF University. This corresponds to the notion of "workshop" mentioned in the email of September 10, 2009. Furthermore, as indicated in the attendance sheet prepared for this "mini-council," Mr. Jean N... (Heppner) was then the president of the Trade Council, and Messrs. Éric C... (TNT) and Jean S... (Geodis) were its vice-presidents. Consequently, all three, members of the presidency of the Trade Council, received the email sent on behalf of Ms. Laure I... by Ms. Sylvie 17....</w:t>
      </w:r>
    </w:p>
    <w:p>
      <w:r>
        <w:t>977. Thirdly, NDD considers that the source of the data noted by Mr. Éric C... is unknown and does not necessarily come from competitors. But this assertion does not take into account the fact that, on September 13, 2007, certain information could not have been known to Mr. Éric C... other than through indications provided by his competitors. Indeed, the aforementioned notes mention the exact rate requested that year by Exapaq (3.9%), whereas this company only sent its pricing circulars starting from September 27, 2007. The exact increases of Heppner and Schenker-Joyau are also visible, whereas the latter had just sent their circulars on September 10, 2007. Given, in particular, the postal delays, it is very unlikely that TNT could have known, on the morning of September 13, 2007, the increase rates of these two companies, with which it had no subcontracting relationship (reference no. 48302). It should also be noted that, during his hearing (reference no. 48307), Mr. Éric C... stated that the aforementioned handwritten notes could not be from competitive intelligence. Consequently, this information must have been provided directly by the companies participating in the aforementioned meeting of September 13, 2007.</w:t>
      </w:r>
    </w:p>
    <w:p>
      <w:r>
        <w:t>978. Finally, it should be recalled that TNT does not contest the grievances in this case nor the interpretation made of Mr. Éric C...'s handwritten notes.</w:t>
      </w:r>
    </w:p>
    <w:p>
      <w:r>
        <w:t>979. Based on the preceding elements, it is established that Darfeuille Services, now NDD, participated, for the 2007-2008 campaign, in the meetings of the Trade Council on June 21, July 18, and September 13, 2007. These three meetings provided an opportunity for exchanges of sensitive information regarding price increases among companies in the messaging sector.</w:t>
      </w:r>
    </w:p>
    <w:p>
      <w:r>
        <w:t>980. Consequently, the participation of Darfeuille Services, now NDD, must be retained for the entirety of the 2007-2008 campaign. NDD is held responsible for the entirety of the agreement referred to in grievance no. 2 between June 21, 2007, and March 2008.</w:t>
      </w:r>
    </w:p>
    <w:p>
      <w:r>
        <w:t>On the participation of Normatrans</w:t>
      </w:r>
    </w:p>
    <w:p>
      <w:r>
        <w:t>981. The company Normatrans participated in the campaigns 2006-2007, 2007-2008, 2008-2009, 2009-2010, and 2010-2011.</w:t>
      </w:r>
    </w:p>
    <w:p>
      <w:r>
        <w:t>982. Firstly, Normatrans argues that its participation in the practices would have had little impact due to its low economic weight.</w:t>
      </w:r>
    </w:p>
    <w:p>
      <w:r>
        <w:t>983. Consequently, Normatrans does not deny its participation in the infringement but claims that it would not have had an effect.</w:t>
      </w:r>
    </w:p>
    <w:p>
      <w:r>
        <w:t>984. The Court of Justice of the European Union recalled, in its "Coppens" judgment of December 6, 2012 (Verhuizingen Coppens NV, aff. C-441/11, point 64), that "under Article 81(1) EC itself, the application of the prohibition set out in that provision requires only to know whether the agreement in which a company participated with others had as its object or effect the restriction of competition and whether it was likely to affect trade between Member States. Consequently, the question of whether the individual participation of a company in such an agreement could, in itself, given its low position in the relevant market, restrict competition or affect trade between Member States is irrelevant when it comes to establishing the existence of an infringement."</w:t>
      </w:r>
    </w:p>
    <w:p>
      <w:r>
        <w:t>985. Consequently, Normatrans's argument is irrelevant.</w:t>
      </w:r>
    </w:p>
    <w:p>
      <w:r>
        <w:t>986. Secondly, Normatrans indicates that it was in a particular situation with respect to the other members of the Trade Council, as it generated 77 to 80% of its turnover with them.</w:t>
      </w:r>
    </w:p>
    <w:p>
      <w:r>
        <w:t>987. However, since Normatrans does not state that it was subject to effective pressure from its competitors to force it to participate in the agreement, its argument cannot be retained.</w:t>
      </w:r>
    </w:p>
    <w:p>
      <w:r>
        <w:t>988. Furthermore, even if Normatrans generated 77 to 80% of its turnover with the other members of the Trade Council, it remains that it was still a competitor of the latter for 20 to 23% of its turnover. Normatrans's argument cannot be accepted either.</w:t>
      </w:r>
    </w:p>
    <w:p>
      <w:r>
        <w:t>989. Normatrans finally argues that its participation in the meetings of the Trade Council was devoid of anti-competitive spirit: the company explains that it only wished to obtain general information about its sector and its business.</w:t>
      </w:r>
    </w:p>
    <w:p>
      <w:r>
        <w:t>990. However, according to established case law, the subjective intention of the parties is not a criterion for qualifying practices under competition law (see in particular the judgment of the Court of Justice of November 20, 2008, Beef Industry, aff. C-209/07, point 21).</w:t>
      </w:r>
    </w:p>
    <w:p>
      <w:r>
        <w:t>991. Consequently, Normatrans must be held responsible for the entirety of the agreement referred to in grievance no. 2 between September 28, 2006, and September 29, 2010.</w:t>
      </w:r>
    </w:p>
    <w:p>
      <w:r>
        <w:t>On the participation of Schenker-Joyau</w:t>
      </w:r>
    </w:p>
    <w:p>
      <w:r>
        <w:t>992. Schenker-Joyau participated in the campaigns 2004-2005, 2005-2006, 2006-2007, 2007-2008, 2008-2009, and 2010-2011.</w:t>
      </w:r>
    </w:p>
    <w:p>
      <w:r>
        <w:t>993. Schenker-Joyau must be held responsible for the entirety of the agreement referred to in grievance no. 2 between September 30, 2004, and March 2009, and then from September 16, 2010, to September 29, 2010.</w:t>
      </w:r>
    </w:p>
    <w:p>
      <w:r>
        <w:t>On the participation of Transports H Ducros</w:t>
      </w:r>
    </w:p>
    <w:p>
      <w:r>
        <w:t>994. Transports H Ducros participated in the campaigns 2004-2005, 2005-2006, 2006-2007, 2007-2008, 2008-2009, 2009-2010, and 2010-2011.</w:t>
      </w:r>
    </w:p>
    <w:p>
      <w:r>
        <w:t>995. Transports Henri Ducros claims that it was completely absent from the exchanges of circulars and other bilateral or multilateral exchanges that took place between certain companies.</w:t>
      </w:r>
    </w:p>
    <w:p>
      <w:r>
        <w:rPr>
          <w:b/>
        </w:rPr>
        <w:t>[Pages 163–165]</w:t>
      </w:r>
    </w:p>
    <w:p>
      <w:r>
        <w:t>996. On this point, it should be recalled that these particular exchanges were far from constituting the essence of the practices pursued, as most of the incriminated exchanges took place during the meetings of the Trade Council. Since Transports H Ducros participated in one or more meetings for each campaign in which it is involved, during which exchanges of information on the future pricing behavior of the participants took place, its argument must be rejected.</w:t>
      </w:r>
    </w:p>
    <w:p>
      <w:r>
        <w:t>997. It is therefore established that Transports H Ducros participated in all the concerted practices referred to in complaint no. 2 between September 30, 2004, and September 29, 2010.</w:t>
      </w:r>
    </w:p>
    <w:p>
      <w:r>
        <w:t>On the participation of TLF</w:t>
      </w:r>
    </w:p>
    <w:p>
      <w:r>
        <w:t>998. TLF participated in the campaigns 2004-2005, 2005-2006, 2006-2007, 2007-2008, 2008-2009, 2009-2010, and 2010-2011.</w:t>
      </w:r>
    </w:p>
    <w:p>
      <w:r>
        <w:t>999. TLF first contests the evidentiary value of the exchanges of emails between Ms. Laure I..., then an employee of TLF, and Mr. Christophe M..., then the general director of Sernam, to conclude that contacts took place every year during the September meetings of the Trade Council.</w:t>
      </w:r>
    </w:p>
    <w:p>
      <w:r>
        <w:t>1000. However, the Authority relies on precise and explicit material evidence demonstrating the reality of the exchanges that took place during the Trade Council meetings for each pricing campaign.</w:t>
      </w:r>
    </w:p>
    <w:p>
      <w:r>
        <w:t>1001. Regarding the 2005-2006 campaign, which is specifically mentioned by TLF, reference is made to paragraphs 1011 to 1015 below.</w:t>
      </w:r>
    </w:p>
    <w:p>
      <w:r>
        <w:t>1002. Next, TLF challenges the interpretation of the email from September 10, 2009, from Ms. Laure I...:</w:t>
      </w:r>
    </w:p>
    <w:p>
      <w:r>
        <w:t>"I have taken note of your email. As you know, I must be vigilant regarding the titles of the points on the agenda. This is to avoid both TLF and the member companies of the council facing the risks of controls and financial sanctions from the competition council [sic], hence my caution. This aspect is addressed in point 1 referred to as conjuncture, etc. In oral discussions, participants mention the themes they wish."</w:t>
      </w:r>
    </w:p>
    <w:p>
      <w:r>
        <w:t>1003. TLF does not hesitate to argue that this exchange could be interpreted as a "subtle warning" (reference no. 71973), as Ms. Laure I... did not have the power to oppose members on a particular subject. According to TLF, the vigilance displayed by Ms. Laure I... would demonstrate that TLF did not endorse this type of exchange.</w:t>
      </w:r>
    </w:p>
    <w:p>
      <w:r>
        <w:t>1004. However, this interpretation of Ms. Laure I...'s remarks is contradicted by the conclusion of the concerned email. Indeed, after indicating that she did not mention exchanges on price increases in the agenda of the meetings, to avoid taking risks in the event of proceedings opened by competition authorities, she states that "this aspect is addressed in point 1 referred to as conjuncture. etc. In oral discussions, participants mention the themes they wish." Indeed, all the minutes of the Trade Council during the period in question are extremely discreet regarding exchanges between competitors on the evolution of their prices. But such indications can hardly be interpreted as a warning. On the contrary, it was about encouraging greater discretion on the part of the participants.</w:t>
      </w:r>
    </w:p>
    <w:p>
      <w:r>
        <w:t>1005. Furthermore, it is the responsibility of professional associations, when they detect anti-competitive exchanges among their members, to remind members of the principles of competition law and the risks incurred. Thus, it was TLF's duty to explicitly oppose such actions. In this regard, Ms. Laure I... had every opportunity, if she deemed it necessary, to request the intervention of the president of TLF on these matters.</w:t>
      </w:r>
    </w:p>
    <w:p>
      <w:r>
        <w:t>1006. Finally, TLF indicates that it would never have played a role in monitoring price increases. However, the questioning of TLF is linked to the fact that the incriminated exchanges mainly took place within the framework of the meetings of the Messaging/Express Trade Council of the association and that the permanent employee in charge of this Trade Council took an active part in it, just like the president of the Trade Council.</w:t>
      </w:r>
    </w:p>
    <w:p>
      <w:r>
        <w:t>1007. Consequently, TLF's participation in all the concerted practices referred to in complaint no. 2 is established from September 30, 2004, to September 29, 2010.</w:t>
      </w:r>
    </w:p>
    <w:p>
      <w:r>
        <w:t>On the participation of Ziegler</w:t>
      </w:r>
    </w:p>
    <w:p>
      <w:r>
        <w:t>1008. The company Ziegler is accused of having participated in the campaigns 2004-2005, 2005-2006, 2006-2007, 2007-2008, 2008-2009, 2009-2010, and 2010-2011.</w:t>
      </w:r>
    </w:p>
    <w:p>
      <w:r>
        <w:t>1009. Ziegler argues that, regarding the 2004-2005 campaign, its participation is mentioned only in a single document, the email from Mr. Philippe X... dated October 6, 2004 (references nos. 1916 and 1917), which would be insufficient to demonstrate any participation.</w:t>
      </w:r>
    </w:p>
    <w:p>
      <w:r>
        <w:t>1010. However, Ziegler's participation in the 2004-2005 campaign at this single meeting on September 30, 2004, during which the present companies exchanged precise information on their price increase rates and their policy regarding diesel surcharges, influenced Ziegler's commercial autonomy for the entire 2004-2005 negotiation cycle. Indeed, the most sensitive data for this campaign were exchanged during this meeting. Since it is demonstrated, notably by the attendance sheets for the meetings in the file, that Ziegler participated in the meeting of September 30, 2004, of the Trade Council, its participation in the practices for the 2004-2005 negotiation campaign is considered established.</w:t>
      </w:r>
    </w:p>
    <w:p>
      <w:r>
        <w:t>1011. Regarding the 2005-2006 campaign, Ziegler indicates that the only element retained against it would have been its mere presence at the meeting of September 22, 2005, of the Trade Council, which would not be sufficient to establish its participation in the practices for the 2005-2006 campaign. Furthermore, the body of evidence retained would be imprecise in terms of timing.</w:t>
      </w:r>
    </w:p>
    <w:p>
      <w:r>
        <w:t>1012. However, according to the Degussa AG ruling (judgment of the Court of First Instance of April 5, 2006, Degussa AG v. Commission, case T-279/02, paragraphs 152 and 153), the continuity of a company's participation in an anti-competitive practice can be established by a competition authority when elements such as company statements, fitting into the general context of the practice pursued, established by other material elements, allow for the presumption that this practice continued during the considered period. These principles have been reiterated by the Authority in its decision in the "laundries" case (decision no. 11-D-17, paragraphs 457 and 458), which was fully confirmed by the Paris Court of Appeal (judgment of January 30, 2014, RG no. 2012/00723).</w:t>
      </w:r>
    </w:p>
    <w:p>
      <w:r>
        <w:t>1013. In the present case, the Authority has retained a number of elements allowing it to consider with a sufficient degree of certainty that during the meeting of September 22, 2005, of the Trade Council, the practice related to exchanges of information on price revaluations continued (see paragraphs 283 and following above).</w:t>
      </w:r>
    </w:p>
    <w:p>
      <w:r>
        <w:t>1014. Finally, solid evidence, demonstrating the existence of exchanges in September 2004, then in September 2006, reinforces the finding of a continuity of practices. Indeed, nothing would explain a cessation of exchanges solely for the year 2005. Numerous exchanges recorded for this year for many other participants in the agreement testify to the maintenance of their anti-competitive intent at that time. Moreover, the leniency applicants did not claim any suspension of exchanges in 2005.</w:t>
      </w:r>
    </w:p>
    <w:p>
      <w:r>
        <w:t>1015. Thus, the body of evidence that has just been detailed does not aim to directly demonstrate the existence of sensitive information exchanges during the meeting of September 22, 2005, but only the continuity of the practice over the entire considered period.</w:t>
      </w:r>
    </w:p>
    <w:p>
      <w:r>
        <w:t>1016. Regarding the 2006-2007 campaign, Ziegler first argues that the handwritten notes seized at the premises of the company TNT would not be sufficient to demonstrate that exchanges on price increases took place during the meeting of September 28, 2006, of the Trade Council. It considers that nothing would allow for a precise dating of these notes since the sheet mentioned by the investigating services is preceded by four undated sheets, the fifth being dated September 18, 2006. The sheet cited in the statement of objections is also followed by a sheet that would be dated "Nov 2002" and then by two undated sheets, before reaching a sheet dated October 7, 2006.</w:t>
      </w:r>
    </w:p>
    <w:p>
      <w:r>
        <w:t>1017. Regarding the issue of the presence of several undated sheets around the document used as incriminating evidence, it should be noted that these sheets come from a personal notebook. It is therefore not surprising that not all sheets are dated, especially when they follow one another. Furthermore, no element provided by Ziegler challenges the chronological succession of Mr. Éric C...'s notes.</w:t>
      </w:r>
    </w:p>
    <w:p>
      <w:r>
        <w:t>1018. Moreover, a comparison of the notes present on this document with the content of the minutes of the meeting of September 28, 2006, of the Trade Council, drafted by TLF, shows that the sheet mentioning "Nov 2002" is actually just a continuation of Mr. Éric C...'s notes related to the same meeting. Indeed, the sheet cited by Ziegler largely deals with issues of labor law and salary negotiations. This area was indeed the subject of discussions during the meeting of September 28, 2006, of the Trade Council, as indicated in point 4 of TLF's minutes (references nos. 3824 and 3825).</w:t>
      </w:r>
    </w:p>
    <w:p>
      <w:r>
        <w:t>1019. More specifically, the mention "Nov 2002" corresponds to a reference to a directive of November 5, 2002, which is mentioned on the first page of the official minutes of the meeting (reference no. 3823). It is therefore not the date on which these notes would have been written. Finally, the "TAPA standard" mentioned on this sheet is a standard aimed at ensuring the safety of transported goods. This issue of freight security was addressed during the meeting of September 28, 2006, of the Trade Council by Mr. Éric C..., the author of the notes analyzed here, as indicated in the official minutes of the meeting (reference no. 3826).</w:t>
      </w:r>
    </w:p>
    <w:p>
      <w:r>
        <w:t>1020. Consequently, the sheet cited by Ziegler confirms that these were indeed notes taken during the meeting of September 28, 2006, of the Trade Council.</w:t>
      </w:r>
    </w:p>
    <w:p>
      <w:r>
        <w:t>1021. Next, regarding the monitoring of pricing negotiations, Ziegler indicates that it is mentioned only for the meeting of January 18, 2007, of the Trade Council and claims that the notes seized within the company Heppner (references nos. 1003 to 1006) and used as incriminating evidence to retain this meeting would not be conclusive.</w:t>
      </w:r>
    </w:p>
    <w:p>
      <w:r>
        <w:t>1022. The notes seized within the company Heppner present numerical elements and use the term "circular." Numerous material elements and statements, notably from leniency applicants, attest that these elements refer to the circulars of evolution.</w:t>
      </w:r>
    </w:p>
    <w:p>
      <w:r>
        <w:rPr>
          <w:b/>
        </w:rPr>
        <w:t>[Pages 166–168]</w:t>
      </w:r>
    </w:p>
    <w:p>
      <w:r>
        <w:t>tariff revaluation circulars sent by the messengers to their clients (see paragraphs 421 and following). The discussions during the meeting on January 18, 2007, which Ziegler attended, indeed focused on tariff revaluations.</w:t>
      </w:r>
    </w:p>
    <w:p>
      <w:r>
        <w:t>1023. Finally, Ziegler indicates that the rate "circular 6.2%", which appears on the notes seized within the company Heppner, would not correspond to the figure "5 net" that she announced during the meeting on September 28, 2006.</w:t>
      </w:r>
    </w:p>
    <w:p>
      <w:r>
        <w:t>1024. However, it should be recalled that, for the 2006-2007 campaign, it has been demonstrated that discussions among competitors led to a phenomenon of upward convergence in the tariff revaluation requests of the companies. Thus, several companies, such as Schenker-Joyau or Alloin, deviated from the figure announced in the meeting and followed the companies requesting higher increases. This led to announced increase rates converging between 6 and 7%.</w:t>
      </w:r>
    </w:p>
    <w:p>
      <w:r>
        <w:t>1025. Ziegler's arguments regarding the 2006-2007 campaign will therefore be rejected.</w:t>
      </w:r>
    </w:p>
    <w:p>
      <w:r>
        <w:t>1026. Regarding the 2007-2008 campaign, Ziegler first argues concerning the "messaging workshop" meeting of September 13, 2007, of the Trade Council, which she attended (see table 20), that nothing would demonstrate that the notes from the president of TNT, Mr. Éric C..., appearing on the document seized at TNT (reference no. 1706), actually related to this meeting.</w:t>
      </w:r>
    </w:p>
    <w:p>
      <w:r>
        <w:t>1027. However, the document in question is a paper copy of an email sent by Ms. Sylvie 17..., a permanent member of TLF, which aimed to prepare this "messaging workshop" of September 13, 2007. The organization of Mr. Éric C...'s notes is characteristic of the "round table" mechanism denounced by the leniency applicants and visible in all the documents and notes used to demonstrate the existence of the practices. The companies mentioned in these notes (Heppner, Schenker-Joyau, Gefco, Kuhne+Nagel, Darfeuille, Exapaq, and Geodis) were all present at this meeting (reference no. 4550).</w:t>
      </w:r>
    </w:p>
    <w:p>
      <w:r>
        <w:t>1028. In this regard, it is worth noting the presence of the company Kuehne+Nagel. However, in 2007, Kuehne+Nagel had not yet acquired Alloin Transport, was not very active in the French messaging market, and was rarely present at the meetings of the Trade Council (references nos. 51581 and 51582). The presence of this company, verified by the attendance sheet (reference no. 45508), was therefore exceptional. In this context, the mention of this company in Mr. C...'s notes is an additional indication confirming that these were indeed references to the meeting of September 13, 2007, of the Trade Council.</w:t>
      </w:r>
    </w:p>
    <w:p>
      <w:r>
        <w:t>1029. Secondly, regarding the meeting of November 29, 2007, of the Trade Council, Ziegler indicates that the handwritten notes seized within the company Heppner (references nos. 984 to 989) are not dated. She considers that nothing proves that these notes indeed refer to this meeting.</w:t>
      </w:r>
    </w:p>
    <w:p>
      <w:r>
        <w:t>1030. However, these documents were seized within a folder bearing the TLF logo and on which was placed a label indicating "Trade Council Messaging-Express - Thursday, November 29, 2007 - 9:30 AM/1:00 PM" (reference no. 984). There is therefore no doubt that these documents indeed related to this meeting.</w:t>
      </w:r>
    </w:p>
    <w:p>
      <w:r>
        <w:t>1031. Regarding the 2008-2009 campaign, Ziegler claims that the existence of exchanges of sensitive information during the meeting of September 18, 2008, of the Trade Council is not sufficiently demonstrated.</w:t>
      </w:r>
    </w:p>
    <w:p>
      <w:r>
        <w:t>1032. But the letter from FedEx dated December 23, 2008, described the practices that occurred very precisely. The beginning of this letter was written as follows:</w:t>
      </w:r>
    </w:p>
    <w:p>
      <w:r>
        <w:t>"I am writing to you on behalf of FedEx Express ("FedEx") following the 'Express Messaging Council' meeting of September 18, 2008. I have been informed that during a round table among TLF members regarding the general market situation (Agenda part 1 'Economic Situation'), a number of TLF members were able to disclose and/or discuss information particular to their company, which could be considered sensitive under competition law" (reference no. 4039).</w:t>
      </w:r>
    </w:p>
    <w:p>
      <w:r>
        <w:t>1033. These elements confirm the occurrence of the concerted practice established every year since at least 2004 and until September 2010. They show that the pursued practices continued during the meeting of September 18, 2008, of the Trade Council.</w:t>
      </w:r>
    </w:p>
    <w:p>
      <w:r>
        <w:t>1034. Ziegler's participation is established for the 2008-2009 campaign.</w:t>
      </w:r>
    </w:p>
    <w:p>
      <w:r>
        <w:t>1035. Regarding the 2010-2011 campaign, Ziegler argues that the existence of anti-competitive exchanges during the meeting of September 16, 2010, is not sufficiently demonstrated. According to her, the interpretation that the handwritten notes seized within the company Heppner (reference no. 1016) would demonstrate the existence, during this meeting, of exchanges on recent or future tariff increases requested by the participating companies is not supported by any other element.</w:t>
      </w:r>
    </w:p>
    <w:p>
      <w:r>
        <w:t>1036. However, since the aforementioned notes constitute direct evidence, standing on their own, of the pursued practices, Ziegler's argument is not admissible. Indeed, on these notes, each company name is perfectly legible and is followed by clear annotations, which are repeated in paragraphs 502 and 504 of this decision. The terms "increase" or "rise," as well as the indicated percentages, leave no doubt. These handwritten notes follow very precisely the structure of a round table, during which the present companies provided information on their ongoing or upcoming tariff increases.</w:t>
      </w:r>
    </w:p>
    <w:p>
      <w:r>
        <w:t>1037. Thus, the modalities of the exchanges during this meeting correspond to those described in the statements of the leniency applicants, which are themselves corroborated by numerous material elements for the previous campaigns.</w:t>
      </w:r>
    </w:p>
    <w:p>
      <w:r>
        <w:t>1038. The company Ziegler therefore participated in the concerted practice during the 2010-2011 campaign.</w:t>
      </w:r>
    </w:p>
    <w:p>
      <w:r>
        <w:t>1039. Consequently, Ziegler must be held responsible for all the concerted practices referred to in complaint no. 2 between September 30, 2004, and March 2009, and then between September 16, 2010, and September 29, 2010.</w:t>
      </w:r>
    </w:p>
    <w:p>
      <w:r>
        <w:t>E. ATTRIBUTION OF PRACTICES</w:t>
      </w:r>
    </w:p>
    <w:p>
      <w:r>
        <w:t>1. ON THE APPLICABLE LAW</w:t>
      </w:r>
    </w:p>
    <w:p>
      <w:r>
        <w:t>a) On attribution within a group of companies</w:t>
      </w:r>
    </w:p>
    <w:p>
      <w:r>
        <w:t>1040. It follows from consistent case law that Articles L. 420-1 and L. 420-2 of the Commercial Code and Articles 101 and 102 of the TFEU target offenses committed by companies, understood as designating entities engaged in economic activity. The Union judge has clarified that the notion of a company must be understood as designating an economic unit, even if, from a legal point of view, it consists of several natural or legal persons.</w:t>
      </w:r>
    </w:p>
    <w:p>
      <w:r>
        <w:t>1041. Under both domestic law and Union law,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These coherent judicial solutions are based on the fact that in the absence of autonomy of the subsidiary in relation to the parent company, these two companies are part of the same economic unit and, therefore, form a single company within the meaning of competition law.</w:t>
      </w:r>
    </w:p>
    <w:p>
      <w:r>
        <w:t>1042. In the specific case where a parent company holds, directly or indirectly, all or almost all of the capital of its subsidiary that engages in infringing behavior, there is a rebuttable presumption that this parent company effectively exerts a decisive influence on the behavior of its subsidiary. In this case, the competition authority will be able to consider the parent company as jointly liable for the payment of the fine imposed on its subsidiary, unless this parent company, which bears the burden of overturning this presumption, provides sufficient evidence to demonstrate that its subsidiary behaves autonomously in the market (Judgment of the Court of Justice of September 10, 2009, Akzo Nobel e.a./Commission, case C-97/08 P, paragraphs 60 and 61, and judgment of the Paris Court of Appeal of March 29, 2012, Lacroix Signalisation e.a., RG no. 2011/01228, page 19).</w:t>
      </w:r>
    </w:p>
    <w:p>
      <w:r>
        <w:t>b) On attribution in the event of transformation of the company</w:t>
      </w:r>
    </w:p>
    <w:p>
      <w:r>
        <w:t>1043. It follows from consistent case law that as long as the legal entity responsible for the operation of the company that implemented practices infringing competition rules legally exists, it must be held responsible for these practices.</w:t>
      </w:r>
    </w:p>
    <w:p>
      <w:r>
        <w:t>1044. If this legal entity has changed its corporate name or legal form, it nonetheless continues to be liable for the offense committed.</w:t>
      </w:r>
    </w:p>
    <w:p>
      <w:r>
        <w:t>1045. Conversely, when the legal entity responsible for the operation of the company that committed the practices has ceased to exist legally, these practices must be attributed to the legal entity to which the company has been legally transferred, that is to say, the one that has received the rights and obligations of the entity that committed the offense, and, in the absence of such a transfer, to the one that ensures its economic and functional continuity in fact (Judgments BNP Paribas e.a., cited, and of the Paris Court of Appeal of January 14, 2009, Eurelec Midi Pyrénées e.a., RG no. 2008/01095, page 5).</w:t>
      </w:r>
    </w:p>
    <w:p>
      <w:r>
        <w:t>2. ASSESSMENT IN THE CASE AT HAND</w:t>
      </w:r>
    </w:p>
    <w:p>
      <w:r>
        <w:t>a) Regarding the companies involved in the two complaints</w:t>
      </w:r>
    </w:p>
    <w:p>
      <w:r>
        <w:t>Regarding Alloin</w:t>
      </w:r>
    </w:p>
    <w:p>
      <w:r>
        <w:t>1046. The complaints have been notified to the companies Alloin Holding SAS, Kuehne+Nagel Road, and Nagel International AG.</w:t>
      </w:r>
    </w:p>
    <w:p>
      <w:r>
        <w:rPr>
          <w:b/>
        </w:rPr>
        <w:t>[Pages 169–171]</w:t>
      </w:r>
    </w:p>
    <w:p>
      <w:r>
        <w:t>1047. Until June 2007, Transports Alloin SAS was in charge of the messaging activities within the Alloin group. It was then absorbed by Alloin Holding SAS. On January 6, 2009, Alloin Holding SAS was itself acquired by the Kuehne+Nagel group. Since January 1, 2013, the company responsible for messaging within the group is now Kuehne+Nagel Road SAS.</w:t>
      </w:r>
    </w:p>
    <w:p>
      <w:r>
        <w:t>1048. In light of these elements, for the practice related to the "diesel surcharge" prior to 2007, it is appropriate to hold Alloin Holding SAS responsible, as the legal successor of Transports Alloin SAS, the author of the practice, and also as the parent company holding 100% of the capital of Transports Alloin SAS at the time of the facts, which is not contested by the parties involved.</w:t>
      </w:r>
    </w:p>
    <w:p>
      <w:r>
        <w:t>1049. For the practice related to price increases, it is appropriate to hold Alloin Holding SAS responsible, as the legal successor of Transports Alloin SAS, the author of the practice, until June 30, 2007, and that of SAS Kuehne+Nagel Road, formerly known as Alloin Transports SAS, as the author of the practice from July 1, 2007, which is not contested by the parties involved.</w:t>
      </w:r>
    </w:p>
    <w:p>
      <w:r>
        <w:t>Regarding Chronopost and La Poste</w:t>
      </w:r>
    </w:p>
    <w:p>
      <w:r>
        <w:t>1050. The grievances have been notified to Chronopost and La Poste, which do not contest them.</w:t>
      </w:r>
    </w:p>
    <w:p>
      <w:r>
        <w:t>1051. Throughout the period of the practices in question, SAS Chronopost was directly 100% owned by the public limited company GeoPost, which was itself directly 100% owned by La Poste, the ultimate parent company of the group. Until 2010, La Poste was a public establishment with economic and commercial characteristics. It has since been transformed into a public limited company. It is therefore presumed that SA La Poste exercised a determining influence over SAS Chronopost during the period of the practices.</w:t>
      </w:r>
    </w:p>
    <w:p>
      <w:r>
        <w:t>1052. In light of these elements, it is appropriate to hold SAS Chronopost responsible as the author of the two practices and SA La Poste as the parent company exercising a determining influence over SAS Chronopost for the same practices.</w:t>
      </w:r>
    </w:p>
    <w:p>
      <w:r>
        <w:t>Regarding Dachser</w:t>
      </w:r>
    </w:p>
    <w:p>
      <w:r>
        <w:t>1053. The grievances have been notified to Dachser France and Dachser Holding GmbH &amp; Co. KG, which do not contest them.</w:t>
      </w:r>
    </w:p>
    <w:p>
      <w:r>
        <w:t>1054. The company Graveleau, author of the practices, was renamed SAS Dachser France in August 2009. Throughout the period of the practices, SAS Dachser France was 100% owned by the limited liability company Dachser France Holding, which was itself directly 100% owned by the German company Dachser Holding GmbH &amp; Co. KG. It is therefore presumed that the German company Dachser Holding GmbH &amp; Co. KG exercised a determining influence over SAS Dachser France during the period of the practices.</w:t>
      </w:r>
    </w:p>
    <w:p>
      <w:r>
        <w:t>1055. In light of these elements, it is appropriate to hold SAS Dachser France responsible as the author of the practice and the German company Dachser Holding GmbH &amp; Co. KG as the parent company exercising a determining influence over SAS Dachser France throughout the entire period of commission of the two practices in question.</w:t>
      </w:r>
    </w:p>
    <w:p>
      <w:r>
        <w:t>Regarding DHL</w:t>
      </w:r>
    </w:p>
    <w:p>
      <w:r>
        <w:t>1056. The grievances have been notified to DHL Express (France) SAS, DHL Holding France SAS, and Deutsche Post AG.</w:t>
      </w:r>
    </w:p>
    <w:p>
      <w:r>
        <w:t>1057. The company Ducros Euro Express, which became the simplified joint-stock company DHL Express (France) SAS, underwent significant transformations on December 31, 2004.</w:t>
      </w:r>
    </w:p>
    <w:p>
      <w:r>
        <w:t>1058. Before this date, Ducros Euro Express was directly 100% owned by the company Ducros Services Rapides, which was itself 100% owned by the German company Deutsche Post AG. Ducros Services Rapides became the simplified joint-stock company DHL Holding France SAS.</w:t>
      </w:r>
    </w:p>
    <w:p>
      <w:r>
        <w:t>1059. From January 2005 until the end of the practices, DHL Express (France) SAS was directly 100% owned by DHL Holding France SAS. The latter was directly 100% owned by the German company DP Beteiligungen Holding GmbH, which was itself directly 100% owned by the German company Deutsche Post AG.</w:t>
      </w:r>
    </w:p>
    <w:p>
      <w:r>
        <w:t>1060. DHL refers to the particular situation of its messaging activity to argue that its parent company Deutsche Post AG (hereinafter, "DPAG") should not be held responsible for the practices, due to an alleged disconnection of the French messaging activities from those of the rest of the group.</w:t>
      </w:r>
    </w:p>
    <w:p>
      <w:r>
        <w:t>1061. DHL points out that each of its local entities is solely responsible for carrying out the core missions of its business (sales, pickup, and delivery) and contracts with other components of the group to obtain a "service package" (air transport, customs, delivery to destination, insurance, legal assistance, etc.).</w:t>
      </w:r>
    </w:p>
    <w:p>
      <w:r>
        <w:t>1062. However, the elements put forward by DHL do not present any particularly atypical characteristics compared to other messaging companies. Indeed, this decision has described a similar organization for the entire sector (paragraphs 43 and following).</w:t>
      </w:r>
    </w:p>
    <w:p>
      <w:r>
        <w:t>1063. DHL's argument invoking an alleged atypical organization of its network will therefore be dismissed.</w:t>
      </w:r>
    </w:p>
    <w:p>
      <w:r>
        <w:t>1064. DHL then indicates that its messaging activity in France had very little connection with the rest of the group's activities, which were primarily focused on international air transport. According to DHL, the link with the messaging activity was essentially related to the right to use the group's brand and logo.</w:t>
      </w:r>
    </w:p>
    <w:p>
      <w:r>
        <w:t>1065. However, as indicated by DHL itself, from January 1, 2005, to 2008, the ground messaging and international air transport activities were grouped within the same company, DHL Express France. Moreover, as stated by the company, DPAG hoped at the time to generate synergies between the two activities in order to offer a unique global offer. In this context, the fact that this strategy ultimately did not yield the expected results does not change the finding that the ground messaging activity of DHL Express France was part of a global policy of DPAG.</w:t>
      </w:r>
    </w:p>
    <w:p>
      <w:r>
        <w:t>1066. Finally, DHL indicates that starting in May 2008, DPAG granted full powers to a new president, Mr. Vittorio 4..., to restructure the company and prepare it for sale, which was done in June 2010.</w:t>
      </w:r>
    </w:p>
    <w:p>
      <w:r>
        <w:t>1067. But again, this circumstance shows that the Deutsche Post group was heavily involved in the strategy of DHL Express France, as it was the group that decided on the appointment of Mr. 4... and the preparation for the sale of the activity.</w:t>
      </w:r>
    </w:p>
    <w:p>
      <w:r>
        <w:t>1068. All the elements presented by DHL do not allow for the conclusion that the Deutsche Post group was minimally involved in the management and organization of DHL Express France. On the contrary, it appears that the latter was an important element of a strategy developed and implemented by the group. The fact that this strategy failed does not change this finding.</w:t>
      </w:r>
    </w:p>
    <w:p>
      <w:r>
        <w:t>1069. In this regard, one can compare the situation of Deutsche Post in the present case with that of Deutsche Bahn in the so-called "chemical commodities" case (Authority decision, no. 13-D-12 of May 28, 2013, regarding practices implemented in the marketing of chemical commodities, paragraphs 844 to 846). In this latter case, Deutsche Bahn had acquired the company Stinnes AG on October 18, 2002, solely for its transport and logistics activities and had announced from the outset its intention to sell it on the grounds that the activity of this company did not correspond to the one on which it primarily operated. This resale was effective in February 2004. For these reasons, the Authority accepted that Deutsche Bahn provided sufficient evidence of the autonomy of its subsidiary to overturn the presumption of liability.</w:t>
      </w:r>
    </w:p>
    <w:p>
      <w:r>
        <w:t>1070. In contrast, the Deutsche Post group retained the activities of DHL Express France for several years and intervened in the organization and restructuring of the company.</w:t>
      </w:r>
    </w:p>
    <w:p>
      <w:r>
        <w:t>1071. Furthermore, it should be noted that DHL does not provide any organizational elements that would overturn the presumption of determining influence of DPAG over DHL Express France.</w:t>
      </w:r>
    </w:p>
    <w:p>
      <w:r>
        <w:t>1072. In light of these elements, it is appropriate to hold DHL Express France SAS responsible as the author of the two practices in question and SAS DHL Holding France SAS as the parent company exercising a determining influence over SAS DHL Express France SAS throughout the entire period of commission of these practices. Similarly, it is appropriate to hold Deutsche Post AG responsible as the parent company exercising a determining influence over DHL Express France SAS throughout the entire period of commission of the two practices in question.</w:t>
      </w:r>
    </w:p>
    <w:p>
      <w:r>
        <w:t>Regarding Exapaq</w:t>
      </w:r>
    </w:p>
    <w:p>
      <w:r>
        <w:t>1073. The grievances have been notified to SAS Exapaq, which does not contest them.</w:t>
      </w:r>
    </w:p>
    <w:p>
      <w:r>
        <w:t>1074. From March 2006 until the end of the practices, SAS Exapaq was 100% owned by SA GeoPost, which was itself directly 100% owned by the public limited company La Poste, the ultimate parent company of the group. It is therefore presumed that SA La Poste exercised a determining influence over SAS Exapaq during this period.</w:t>
      </w:r>
    </w:p>
    <w:p>
      <w:r>
        <w:t>1075. In light of these elements, it is appropriate to hold SAS Exapaq responsible as the author of the two practices in question and for the period from March 2006 to the end of the practices, that of SA La Poste as the parent company exercising a determining influence over SAS Exapaq.</w:t>
      </w:r>
    </w:p>
    <w:p>
      <w:r>
        <w:t>Regarding Gefco and Peugeot SA</w:t>
      </w:r>
    </w:p>
    <w:p>
      <w:r>
        <w:t>1076. The grievances have been notified to Gefco and Peugeot SA, which do not contest them.</w:t>
      </w:r>
    </w:p>
    <w:p>
      <w:r>
        <w:t>1077. Throughout the period of the practices, SA Gefco was 99.9% owned by Peugeot SA. It is therefore presumed that the latter exercised a determining influence over SA Gefco during the period of the practices.</w:t>
      </w:r>
    </w:p>
    <w:p>
      <w:r>
        <w:t>1078. In light of these elements, it is appropriate to hold Gefco responsible as the author of the two practices in question. Similarly, it is appropriate to hold Peugeot SA responsible as the parent company exercising a determining influence over SA Gefco throughout the entire period of the practices.</w:t>
      </w:r>
    </w:p>
    <w:p>
      <w:r>
        <w:t>Regarding Geodis</w:t>
      </w:r>
    </w:p>
    <w:p>
      <w:r>
        <w:t>1079. Grievance no. 2 has been notified to Geodis, EPIC SNCF, Geodis Ciblex, and Ciblex Financière.</w:t>
      </w:r>
    </w:p>
    <w:p>
      <w:r>
        <w:rPr>
          <w:b/>
        </w:rPr>
        <w:t>[Pages 172–174]</w:t>
      </w:r>
    </w:p>
    <w:p>
      <w:r>
        <w:t>1080. SNCF presents two arguments which, according to it, would demonstrate the autonomy of its subsidiary Geodis SA, of which it has held 100% of the capital since a takeover bid in July 2008:</w:t>
        <w:br/>
        <w:t>- on the one hand, and despite the capital links uniting SNCF and Geodis SA, the subsidiary would enjoy total autonomy of behavior in its various markets since the privatization decree of 1996 and would therefore exercise its prerogatives independently of the parent company;</w:t>
        <w:br/>
        <w:t>- on the other hand, after the takeover bid in July 2008 through which SNCF acquired the majority of Geodis' capital, the autonomous organizations and decision-making structures established during this period would have remained unchanged.</w:t>
      </w:r>
    </w:p>
    <w:p>
      <w:r>
        <w:t>1081. As indicated in paragraph 1042 above, in the specific case where a parent company holds, directly or indirectly, 100% of the capital of its subsidiary that engages in unlawful behavior, there is a rebuttable presumption that this parent company effectively exerts a determining influence on the behavior of its subsidiary. In this scenario, the competition authority will be able to consider the parent company jointly liable for the fine imposed on its subsidiary, unless this parent company, which bears the burden of overturning this presumption, provides sufficient evidence to demonstrate that its subsidiary behaves autonomously in the market.</w:t>
      </w:r>
    </w:p>
    <w:p>
      <w:r>
        <w:t>Regarding the alleged commercial autonomy of Geodis SA</w:t>
      </w:r>
    </w:p>
    <w:p>
      <w:r>
        <w:t>1082. To support the claimed autonomy of its subsidiary Geodis SA, SNCF relies on testimonies, which it elevates to testimonial evidence, from executives, representatives, and independent directors of the parent company and its subsidiary. Thus, Mr. Pierre 5..., former CEO of Geodis, asserts that the company had significant autonomy, both before and after SNCF's takeover bid. In particular, commercial policy matters would have been discussed only within the Executive Committee, which did not include any representatives from SNCF. Furthermore, Mr. 5..., as CEO of Geodis, had the broadest powers to commit the company, except for acquisition or divestiture operations exceeding a certain amount. Mr. Pierre 6..., former permanent representative of SNCF Participations on the board of directors of Geodis, also states that the matters discussed in the board concerned purely financial issues and did not address Geodis' commercial strategy. Finally, Mr. Yves 7..., former independent director of Geodis, essentially confirms the statements of Messrs. 5... and 6....</w:t>
      </w:r>
    </w:p>
    <w:p>
      <w:r>
        <w:t>1083. It should be noted from the outset that the Court of Justice, in its judgment of January 25, 2007, considered that "in cases of Community competition law, testimonial evidence plays only a secondary role, while written documents play a central role" (Judgment of the Court of Justice of January 25, 2007, Salzgitter Mannesmann, case C-411/04 P, paragraph 42). Thus, these testimonies do not have the evidentiary value that SNCF attributes to them.</w:t>
      </w:r>
    </w:p>
    <w:p>
      <w:r>
        <w:t>1084. First of all, the testimony of Mr. 5..., CEO of its subsidiary Geodis SA, states that "the Geodis group had all the organizational and decision-making structures allowing it to adopt an economically autonomous behavior in its markets" and specifies "that this organization was not modified after SNCF's takeover bid."</w:t>
      </w:r>
    </w:p>
    <w:p>
      <w:r>
        <w:t>1085. However, SNCF indicates, in its observations and within Mr. 5...'s testimony: "The control of the Geodis group by the SNCF group, after the takeover bid, led to the establishment of procedures concerning the control of commitments presenting significant financial stakes, as well as procedures concerning the reporting of results for the needs of SNCF group reporting and the monitoring of Geodis' financial performance" (emphasis and underlining added).</w:t>
      </w:r>
    </w:p>
    <w:p>
      <w:r>
        <w:t>1086. Thus, the takeover bid in July 2008 led to the establishment of certain procedures related to SNCF's control over Geodis' commitments presenting significant financial stakes and the monitoring of Geodis' financial performance.</w:t>
      </w:r>
    </w:p>
    <w:p>
      <w:r>
        <w:t>1087. Next, in his testimony, Mr. Pierre 6... argues that SNCF could exert no influence over its subsidiary Geodis. He adds that the Strategic Committee provided for by the internal regulations of the board of directors of Geodis, which brings together representatives of SNCF, never met between 2007 and 2013. Similarly, SNCF asserts in its observations that the various bodies bringing together members of the parent company and its subsidiary aimed solely to measure the impact on the overall financial situation of SNCF Participations.</w:t>
      </w:r>
    </w:p>
    <w:p>
      <w:r>
        <w:t>1088. Finally, Mr. Yves 7... supports in his testimony the thesis of absolute independence of the members of the board of directors of Geodis: the members of the board did not receive any detailed information regarding the commercial policy and notably the pricing policy of Geodis and its subsidiaries, but he does mention an exception regarding semi-annual information on the proportion of the group's revenue with its 15 main clients.</w:t>
      </w:r>
    </w:p>
    <w:p>
      <w:r>
        <w:t>1089. It is therefore noted that the testimony states an absolute independence before adding a qualification indicating a link between Geodis SA and SNCF, which directly concerns the commercial policy and customer structure.</w:t>
      </w:r>
    </w:p>
    <w:p>
      <w:r>
        <w:t>1090. The preceding statements are essentially made by assertions and do not present any concrete structural or organizational elements demonstrating the autonomy of Geodis SA.</w:t>
      </w:r>
    </w:p>
    <w:p>
      <w:r>
        <w:t>1091. It is indeed incumbent upon the applicant: "to provide elements to demonstrate that its subsidiary determined its commercial policy autonomously so as not to constitute, with it, a single economic entity [...]. Regarding [...] the arguments based on the organization and functioning of the group [...] characterized by a decentralized and autonomous organization of its subsidiaries and sub-subsidiaries, they cannot be retained since the applicant has not presented any concrete elements to support this allegation" (Judgment of the Tribunal of April 30, 2009, case T-12/03 paragraphs 52 and 53, emphases and underlining added).</w:t>
      </w:r>
    </w:p>
    <w:p>
      <w:r>
        <w:t>1092. Thus, the arguments invoked are not sufficient to demonstrate a real autonomy of Geodis in relation to SNCF.</w:t>
      </w:r>
    </w:p>
    <w:p>
      <w:r>
        <w:t>On the organizational structure of Geodis before and after the takeover bid in July 2008</w:t>
      </w:r>
    </w:p>
    <w:p>
      <w:r>
        <w:t>1093. SNCF refers to an organizational structure of Geodis that would be marked by autonomy in its operational functioning.</w:t>
      </w:r>
    </w:p>
    <w:p>
      <w:r>
        <w:t>1094. SNCF indeed argues that, despite the fact that before SNCF's takeover bid the board of directors of Geodis SA consisted of 12 members, including between five and six directors appointed or coming from SNCF, depending on the years, autonomy in governance, organization, strategy, and the pursuit of Geodis' development was ensured and that the 2008 takeover bid was carried out with the aim of maintaining this independence in all respects.</w:t>
      </w:r>
    </w:p>
    <w:p>
      <w:r>
        <w:t>1095. While SNCF produces statements reflecting a certain desire to maintain the independence of Geodis SA from SNCF, the composition of the board of directors of Geodis SA during the period 2008-2010 demonstrates the contrary.</w:t>
      </w:r>
    </w:p>
    <w:p>
      <w:r>
        <w:t>1096. SNCF indeed asserts that the governance and management structures of Geodis are far from being filled by representatives of SNCF. It even goes so far as to claim that after SNCF's takeover bid and in any case until 2010, its management teams were never made up of SNCF personnel.</w:t>
      </w:r>
    </w:p>
    <w:p>
      <w:r>
        <w:t>1097. However, it should be noted, in accordance with the documents provided by SNCF itself and regarding the composition of the board of directors of Geodis SA, that contrary to what it indicates, SNCF did have governance links with its subsidiary.</w:t>
      </w:r>
    </w:p>
    <w:p>
      <w:r>
        <w:t>1098. At that time, members of the board of directors of Geodis SA included: Mr. Jean-Pierre 8..., Director of Finance, Purchasing, and Information Systems of SNCF, Mr. Dominique 9..., Deputy CEO of SNCF Participations, Mr. Olivier 10..., Deputy CEO of SNCF Freight, and Mr. Armand 11..., Advisor to the President of SNCF. Similarly, the companies SNCF Participations and SPFR-D, both part of the SNCF group, were represented on the board of directors of Geodis SA.</w:t>
      </w:r>
    </w:p>
    <w:p>
      <w:r>
        <w:t>1099. After the takeover bid, these governance links between Geodis SA and the parent company SNCF persisted since, as indicated by SNCF, as of December 31, 2010, the board of directors of Geodis SA was composed notably of Mr. David 12..., Deputy CEO of Strategy and Finance of SNCF, but also of Messrs. 10... and 9..., already mentioned, as well as the company SNCF Participations.</w:t>
      </w:r>
    </w:p>
    <w:p>
      <w:r>
        <w:t>1100. Thus, the alleged independence of Geodis SA is contradicted by the multiple links existing between the two companies and by the presence of key members of the parent company SNCF on the board of directors of its subsidiary.</w:t>
      </w:r>
    </w:p>
    <w:p>
      <w:r>
        <w:t>1101. This lack of structural autonomy is confirmed by a genuine desire expressed by SNCF, at the time of the takeover bid, to create a union between the two companies, in order to strengthen their power in the logistics and freight transport market. This intention is explicitly evident from the documents provided by SNCF in support of its observations.</w:t>
      </w:r>
    </w:p>
    <w:p>
      <w:r>
        <w:t>1102. Thus, during the exceptional Executive Committee meeting on April 7, 2008, on the occasion of the takeover bid project, Mr. 5..., CEO of Geodis SA indicated that this offer characterized: "the desire of SNCF to build a true multimodal and international group in the logistics and freight transport sector. [...] He indicates that he would therefore become Deputy CEO of Logistics and Freight Transport of the SNCF Group, while retaining his functions as Chairman and CEO of Geodis" (references nos. 60164 and 60165).</w:t>
      </w:r>
    </w:p>
    <w:p>
      <w:r>
        <w:t>1103. Similarly, during the deliberations of the Board of Directors meeting on April 6, 2008, it was decided that "Mr. 5... [...] would become Deputy CEO of logistics and freight transport of SNCF. [...] He would, however, retain his functions as Chairman and CEO of Geodis."</w:t>
      </w:r>
    </w:p>
    <w:p>
      <w:r>
        <w:t>1104. Thus, after the takeover bid in July 2008, the legal representative of Geodis also began to hold significant positions within the SNCF group. This development unequivocally reflects the significant rapprochement between SNCF and Geodis after this date. Furthermore, such a circumstance significantly reduces the relevance of the argument developed by Mr. 5..., cited above, that he had the broadest powers to commit Geodis.</w:t>
      </w:r>
    </w:p>
    <w:p>
      <w:r>
        <w:rPr>
          <w:b/>
        </w:rPr>
        <w:t>[Pages 175–177]</w:t>
      </w:r>
    </w:p>
    <w:p>
      <w:r>
        <w:t>1105. Finally, it is clearly stated in the minutes of the deliberations of the Board of Directors meeting on April 28, 2008, that the takeover bid aimed to create strong synergies between SNCF and its subsidiary: "This project of primary importance requires ultimately bringing together under unified leadership all the resources and skills existing within the SNCF group. [...] This operation is obviously, for SNCF, a strategic move and a long-term investment and not a mere financial placement. [...] It is evident that SNCF expects the Offer to strengthen its control, that is to say, the possibility of establishing with GEODIS, or even around GEODIS, the Transport and Logistics Branch [...]" (Annex 9).</w:t>
      </w:r>
    </w:p>
    <w:p>
      <w:r>
        <w:t>1106. Therefore, SNCF wrongly denies the strategy pursued by this takeover bid, which indeed aimed to create a genuine alliance between the two companies: "SNCF would benefit from the strong complementarity of its customer portfolio with that of Geodis, from Geodis's commercial network in Europe, and from the latter's expertise in contract management and information systems."</w:t>
      </w:r>
    </w:p>
    <w:p>
      <w:r>
        <w:t>1107. It follows from the above that the organizational, legal, and economic links between SNCF and Geodis are evidenced by several consistent elements against which SNCF does not provide compelling evidence.</w:t>
      </w:r>
    </w:p>
    <w:p>
      <w:r>
        <w:t>1108. As noted by the Court of the Union, the organizational, economic, and legal links existing between the parent company and its subsidiary can establish the existence of an influence of the former on the strategy of the latter and, consequently, justify considering them as a single economic entity (Judgment of the Court of December 12, 2007, Akzo Nobel, case T-112/05, paragraph 83, confirmed on appeal by the Court of Justice).</w:t>
      </w:r>
    </w:p>
    <w:p>
      <w:r>
        <w:t>1109. Consequently, the elements provided by the company do not allow for overturning the presumption of a decisive influence exercised by SNCF over Geodis SA during the period of the infringement for which it received the complaints.</w:t>
      </w:r>
    </w:p>
    <w:p>
      <w:r>
        <w:t>1110. In light of the above, it is appropriate to hold the company SA Geodis responsible as the perpetrator of the acts and the EPIC SNCF, holder of 100% of the capital of the company SA Geodis since the end of July 2008 for complaint no. 2, due to its status as the parent company having exercised a decisive influence on the behavior of its subsidiary during the period of the practices, which is not contested by the parties involved.</w:t>
      </w:r>
    </w:p>
    <w:p>
      <w:r>
        <w:t>Regarding GLS</w:t>
      </w:r>
    </w:p>
    <w:p>
      <w:r>
        <w:t>1111. The complaints were notified to GLS France, General Logistics Systems BV, Royal Mail Group Limited, and Royal Mail plc, which do not contest them.</w:t>
      </w:r>
    </w:p>
    <w:p>
      <w:r>
        <w:t>1112. Throughout the period of its participation in the practices, SAS GLS France was 100% owned by GLS Invest France SAS, which itself was directly 100% owned by the Dutch company General Logistics Systems BV. It is therefore presumed that the Dutch company General Logistics Systems BV exercised a decisive influence over SAS GLS France during the period of the practices.</w:t>
      </w:r>
    </w:p>
    <w:p>
      <w:r>
        <w:t>1113. Until December 31, 2006, General Logistics Systems BV was directly 100% owned by the British company Royal Mail Investment Ltd, which was itself directly 100% owned by the British company Royal Mail Group plc. It is therefore presumed that the British company Royal Mail Group Ltd exercised a decisive influence over SAS GLS France during this period.</w:t>
      </w:r>
    </w:p>
    <w:p>
      <w:r>
        <w:t>1114. From January 1, 2007, until the end of the practices, the group structure remained unchanged, except for the creation of a new parent company. Royal Mail Holdings plc, directly holding 100% of the shares of Postal Services Holding Company Limited. The complaints not having been notified to Postal Services Holding Company, the latter is excluded from liability.</w:t>
      </w:r>
    </w:p>
    <w:p>
      <w:r>
        <w:t>1115. In view of these elements, it is appropriate to hold SAS GLS France responsible as the perpetrator of the two practices in question: that of the Dutch company General Logistics Systems BV as the parent company exercising a decisive influence over SAS GLS France throughout the entire period of the practices, and that of the British company Royal Mail Group Limited, as the parent company exercising a decisive influence over SAS GLS France until 2007.</w:t>
      </w:r>
    </w:p>
    <w:p>
      <w:r>
        <w:t>Regarding Heppner</w:t>
      </w:r>
    </w:p>
    <w:p>
      <w:r>
        <w:t>1116. The complaints were notified to the companies Heppner Société de Transports, Lambert et Valette, XP France, and FINALTRA.</w:t>
      </w:r>
    </w:p>
    <w:p>
      <w:r>
        <w:t>1117. The "Heppner group" consists, as indicated in paragraph 95 above, of several legal entities, all 100% owned by the public limited company Financière alsacienne de transport (hereinafter, "FINALTRA"): the simplified joint-stock company Heppner Société de Transports, the simplified joint-stock company Lambert et Valette, and the public limited company XP France, the latter having been acquired in July 2004.</w:t>
      </w:r>
    </w:p>
    <w:p>
      <w:r>
        <w:t>1118. From 2005, SAS Heppner Société de Transports gradually acquired capital in the public limited company SA Sodimaine Transports. In January 2006, it held 100% of the public limited company SA Sodimaine Transports, which itself owned 100% of the company Sodimaine Transports.</w:t>
      </w:r>
    </w:p>
    <w:p>
      <w:r>
        <w:t>1119. In view of these elements, it is appropriate to hold SAS Heppner Société de Transports, SAS Lambert et Valette, and SA XP France responsible as perpetrators of the practice related to the "diesel surcharge" and SAS Heppner Société de Transports as the legal successor of the company Sodimaine Transports, also a perpetrator of the same practice. Similarly, it is appropriate to hold SA FINALTRA responsible as the parent company having exercised a decisive influence over the behavior of its subsidiaries during this period, which is not contested by the parties involved.</w:t>
      </w:r>
    </w:p>
    <w:p>
      <w:r>
        <w:t>1120. For the practice related to price increases, it is appropriate to hold SAS Heppner Société de Transports, SAS Lambert et Valette, and SA XP France responsible as perpetrators throughout the entire period of commission of this practice. Similarly, it is appropriate to hold SA FINALTRA responsible as the parent company exercising a decisive influence over SAS Heppner Société de Transports, SAS Lambert et Valette, and SA XP France throughout the entire period.</w:t>
      </w:r>
    </w:p>
    <w:p>
      <w:r>
        <w:t>Regarding Normatrans</w:t>
      </w:r>
    </w:p>
    <w:p>
      <w:r>
        <w:t>1121. The complaints were notified to SAS Normatrans.</w:t>
      </w:r>
    </w:p>
    <w:p>
      <w:r>
        <w:t>1122. It is appropriate to hold SAS Normatrans responsible as the perpetrator throughout the entire period of the two practices in question.</w:t>
      </w:r>
    </w:p>
    <w:p>
      <w:r>
        <w:t>Regarding Schenker-Joyau</w:t>
      </w:r>
    </w:p>
    <w:p>
      <w:r>
        <w:t>1123. The complaints were notified to the companies Schenker-Joyau SAS and Deutsche Bahn AG, which do not contest them. Deutsche Bahn AG holds 100% of the capital of Schenker-Joyau SAS.</w:t>
      </w:r>
    </w:p>
    <w:p>
      <w:r>
        <w:t>1124. In view of these elements, it is appropriate to hold Schenker-Joyau SAS responsible as the perpetrator of the practices (complaints nos. 1 and 2) and Deutsche Bahn AG, holder of Schenker-Joyau SAS at 100%, due to its status as the parent company having exercised a decisive influence over the behavior of its subsidiary during the period of the practices, which is not contested by the parties involved.</w:t>
      </w:r>
    </w:p>
    <w:p>
      <w:r>
        <w:t>Regarding TNT</w:t>
      </w:r>
    </w:p>
    <w:p>
      <w:r>
        <w:t>1125. The complaints were notified to the companies SAS TNT Express France and TNT Express NV, which do not contest them.</w:t>
      </w:r>
    </w:p>
    <w:p>
      <w:r>
        <w:t>1126. Throughout the entire period considered, SAS TNT Express France was indirectly 99.99% owned by the Dutch company TNT Post Group NV, which became TNT Express NV. It is therefore presumed that the latter exercised a decisive influence over SAS TNT Express France during the period of the practices.</w:t>
      </w:r>
    </w:p>
    <w:p>
      <w:r>
        <w:t>1127. In view of these elements, it is appropriate to hold SAS TNT Express France responsible as the perpetrator of the two practices in question and the company TNT Express NV as the parent company exercising a decisive influence over SAS TNT Express France throughout the entire period of commission of these practices.</w:t>
      </w:r>
    </w:p>
    <w:p>
      <w:r>
        <w:t>Regarding Transport H Ducros</w:t>
      </w:r>
    </w:p>
    <w:p>
      <w:r>
        <w:t>1128. The complaints were notified to SAS Transport H Ducros.</w:t>
      </w:r>
    </w:p>
    <w:p>
      <w:r>
        <w:t>1129. It is appropriate to attribute the two practices to SAS Transport H Ducros as the perpetrator throughout the entire period of commission of these practices.</w:t>
      </w:r>
    </w:p>
    <w:p>
      <w:r>
        <w:t>Regarding TLF</w:t>
      </w:r>
    </w:p>
    <w:p>
      <w:r>
        <w:t>1130. The complaints were notified to the Union of Transport and Logistics Companies of France (TLF). It is appropriate to hold the TLF association responsible as the perpetrator of the two practices in question for the entirety of the two periods considered.</w:t>
      </w:r>
    </w:p>
    <w:p>
      <w:r>
        <w:t>Regarding Ziegler</w:t>
      </w:r>
    </w:p>
    <w:p>
      <w:r>
        <w:t>1131. The complaints were notified to the companies SA Ziegler France and Balspeed France.</w:t>
      </w:r>
    </w:p>
    <w:p>
      <w:r>
        <w:t>1132. During the years 2004 and 2005, the company SA Ziegler France was directly 95.64% owned by SA Balspeed France. From the year 2006, until the end of the period of commission of the practices, SA Ziegler France was directly owned by more than 99% by SA Balspeed France.</w:t>
      </w:r>
    </w:p>
    <w:p>
      <w:r>
        <w:t>1133. In view of these elements, it is appropriate to hold the company SA Ziegler France responsible as the perpetrator of the two practices in question and the company SA Balspeed France, as the parent company exercising a decisive influence over SA Ziegler France throughout the entire period of commission of these practices.</w:t>
      </w:r>
    </w:p>
    <w:p>
      <w:r>
        <w:t>b) Regarding companies implicated solely for complaint no. 2</w:t>
      </w:r>
    </w:p>
    <w:p>
      <w:r>
        <w:t>Regarding BMVirolle</w:t>
      </w:r>
    </w:p>
    <w:p>
      <w:r>
        <w:t>1134. Only complaint no. 2 was notified to the public limited company BMVirolle. In view of the elements in the file, it is appropriate to hold the company SA BMVirolle responsible for the practice related to price increases as the perpetrator of the practice throughout the entire period of commission of the practice in question.</w:t>
      </w:r>
    </w:p>
    <w:p>
      <w:r>
        <w:rPr>
          <w:b/>
        </w:rPr>
        <w:t>[Pages 178–180]</w:t>
      </w:r>
    </w:p>
    <w:p>
      <w:r>
        <w:t>responsabilité personnelle des dirigeants de l’entreprise ou de l’organisme sanctionné ».</w:t>
      </w:r>
    </w:p>
    <w:p>
      <w:r>
        <w:t>1163. En outre, le I de l’article L. 464-2 du code de commerce précise que « les sanctions pécuniaires peuvent être assorties d’une publication de la décision de sanction, dans les conditions prévues par l’article L. 464-2-1 du code de commerce ».</w:t>
      </w:r>
    </w:p>
    <w:p>
      <w:r>
        <w:t>1164. Enfin, le I de l’article L. 464-2 du code de commerce indique que « les sanctions pécuniaires peuvent être assorties d’une interdiction d’exercer certaines activités professionnelles ou commerciales, dans les conditions prévues par l’article L. 464-2-2 du code de commerce ».</w:t>
      </w:r>
    </w:p>
    <w:p>
      <w:r>
        <w:t>1165. La détermination du montant de la sanction doit tenir compte de l’ensemble des éléments de l’affaire, notamment la durée de l’infraction, la nature des pratiques anticoncurrentielles, le chiffre d’affaires réalisé par l’entreprise concernée, ainsi que sa coopération avec l’Autorité.</w:t>
      </w:r>
    </w:p>
    <w:p>
      <w:r>
        <w:t>1166. En l’espèce, les pratiques reprochées ont eu lieu sur une période prolongée et ont eu un impact significatif sur le marché. Les entreprises concernées ont tiré des bénéfices substantiels de ces pratiques, ce qui justifie une sanction proportionnée à la gravité des faits.</w:t>
      </w:r>
    </w:p>
    <w:p>
      <w:r>
        <w:t>1167. En conséquence, il convient d’imposer des sanctions pécuniaires aux entreprises impliquées dans les pratiques anticoncurrentielles, conformément aux dispositions du code de commerce et aux principes énoncés ci-dessus.</w:t>
      </w:r>
    </w:p>
    <w:p>
      <w:r>
        <w:rPr>
          <w:b/>
        </w:rPr>
        <w:t>[Pages 181–183]</w:t>
      </w:r>
    </w:p>
    <w:p>
      <w:r>
        <w:t>the repetition of practices prohibited by [Title VI of Book IV of the Commercial Code]. They are determined individually for each sanctioned company or organization and reasoned for each sanction."</w:t>
      </w:r>
    </w:p>
    <w:p>
      <w:r>
        <w:t>1163. The Authority generally assesses the legal criteria set forth above according to the methods described in its press release of May 16, 2011, regarding the method for determining monetary sanctions (hereinafter, the "sanctions press release"). Similarly, for the implementation of III of Article L. 464-2 of the Commercial Code, the Authority applies its procedural press release of February 10, 2012, regarding the non-contestation of grievances (hereinafter, the "press release on the non-contestation of grievances").</w:t>
      </w:r>
    </w:p>
    <w:p>
      <w:r>
        <w:t>1164. In this case, the following will be presented successively:</w:t>
        <w:br/>
        <w:t>- the possibility for the Authority to deviate from the sanctions press release for the first grievance (B);</w:t>
        <w:br/>
        <w:t>- the determination of the sanction corresponding to the second grievance (C);</w:t>
        <w:br/>
        <w:t>- the total amount of sanctions for the two grievances (D).</w:t>
      </w:r>
    </w:p>
    <w:p>
      <w:r>
        <w:t>1165. Each of the companies involved in this case has been given the opportunity to make observations on the main elements of law and fact in the file that may influence the determination of the sanction that may be imposed on them, following the receipt of the notification of grievances and the report describing these various elements.</w:t>
      </w:r>
    </w:p>
    <w:p>
      <w:r>
        <w:t>B. ON THE FIRST GRIEVANCE</w:t>
      </w:r>
    </w:p>
    <w:p>
      <w:r>
        <w:t>1166. In point 7 of its sanctions press release, the Authority indicates that the method it outlines in this text is binding on it "unless it explains, in the reasoning of its decision, the particular circumstances or reasons of general interest leading it to deviate from it in a given case."</w:t>
      </w:r>
    </w:p>
    <w:p>
      <w:r>
        <w:t>1167. As a preliminary point, it should be noted that any difficulties in the economic sector concerned by the grievances or the actions of public authorities are not among the criteria to be considered for determining the sanctions set out in I of Article L. 464-2 of the Commercial Code and cannot constitute particular circumstances or reasons of general interest that would call into question the application of the sanctions press release by the Authority. In accordance with the case law of the Court of Cassation as stated in the judgment of March 29, 2011, Manpower France Holding and Manpower France, only the difficulties encountered individually by the companies can be taken into account in calculating the sanction.</w:t>
      </w:r>
    </w:p>
    <w:p>
      <w:r>
        <w:t>1168. However, it is noted that the collusive practices regarding the diesel surcharge took place in a very particular economic context.</w:t>
      </w:r>
    </w:p>
    <w:p>
      <w:r>
        <w:t>1169. Firstly, the price of diesel experienced a significant increase during the period 2004-2005. Thus, between January 2004 and October 2005, the CNR professional diesel index rose from 98.56 to 139.56, representing an increase of 41.6%.</w:t>
      </w:r>
    </w:p>
    <w:p>
      <w:r>
        <w:t>1170. Secondly, while public authorities have never known, authorized, or encouraged collusive practices regarding the diesel surcharge, it remains that these practices occurred in a particular context.</w:t>
      </w:r>
    </w:p>
    <w:p>
      <w:r>
        <w:t>1171. Indeed, the coincidence of significant increases in the price of diesel with parliamentary debates and interventions by public authorities in favor of passing on variations in fuel costs in transport contracts may have created some confusion in the minds of professionals.</w:t>
      </w:r>
    </w:p>
    <w:p>
      <w:r>
        <w:t>1172. This does not call into question the existence of an infringement of competition rules, as the parties engaged in autonomous anti-competitive behavior by developing a common method that allowed carriers to facilitate the acceptance of the diesel surcharge, whereas the national regulatory framework at the time did not impose this requirement.</w:t>
      </w:r>
    </w:p>
    <w:p>
      <w:r>
        <w:t>1173. However, in light of the very particular circumstances of the case, the Authority will deviate from the method described in the press release of May 16, 2011, regarding the determination of monetary sanctions in favor of a flat-rate determination method.</w:t>
      </w:r>
    </w:p>
    <w:p>
      <w:r>
        <w:t>1. REGARDING THE GRAVITY</w:t>
      </w:r>
    </w:p>
    <w:p>
      <w:r>
        <w:t>1174. When assessing the gravity of an infringement, the Authority takes into account, in particular, the nature of the practices it is pursuing, the persons likely to be affected, and the objective characteristics of the infringement (secret or not, degree of sophistication, existence of policing mechanisms or retaliatory measures, circumvention of legislation, etc.) (see point 26 of the sanctions press release). The determination of the degree of gravity of a practice therefore involves examining its characteristics in light of these various criteria.</w:t>
      </w:r>
    </w:p>
    <w:p>
      <w:r>
        <w:t>1175. Firstly, the grievance concerns a horizontal agreement between competitors regarding future pricing elements: the companies involved agreed on the principle of a diesel surcharge and on a common methodology for its implementation. These anti-competitive actions served a common objective: controlling the passing on of variations in the price of diesel in the final price of the messaging service, that is, controlling an element of the price. It is well established that practices aimed at obstructing price setting by the free play of competition are, by their nature, very serious practices.</w:t>
      </w:r>
    </w:p>
    <w:p>
      <w:r>
        <w:t>1176. Secondly, the practices constituting the grievance were secretive with respect to clients. It can be noted that the first conference call on this subject, dated May 26, 2004, was organized outside the usual meetings of the Trade Council, thereby reinforcing its confidential nature. Similarly, the various bilateral or multilateral contacts between certain participants were always confidential and were not communicated to the market.</w:t>
      </w:r>
    </w:p>
    <w:p>
      <w:r>
        <w:t>1177. Nevertheless, in this case, the gravity of the practices must be relativized.</w:t>
      </w:r>
    </w:p>
    <w:p>
      <w:r>
        <w:t>1178. Firstly, the consultation among competitors primarily concerned the definition of a common methodology for passing on a cost element, and not the rates for passing on variations in the price of diesel as such.</w:t>
      </w:r>
    </w:p>
    <w:p>
      <w:r>
        <w:t>1179. Secondly, the sophistication of the practices appears relatively limited. Indeed, there was no formalized system for summarizing the surcharges actually imposed by the members of the agreement. Moreover, no coordination was implemented regarding negotiations with clients. Furthermore, the analysis of other contacts pursued, and notably the sending of circulars regarding the diesel surcharge to competitors by email, shows that these were often one-off initiatives taken by one or more companies and were not necessarily followed by all participants.</w:t>
      </w:r>
    </w:p>
    <w:p>
      <w:r>
        <w:t>2. REGARDING THE DAMAGE TO THE ECONOMY</w:t>
      </w:r>
    </w:p>
    <w:p>
      <w:r>
        <w:t>1180. The legal criterion of the importance of the damage caused to the economy is not to be confused with the harm suffered by the victims of the practices in question, but is assessed based on the general disruption they are likely to cause to the economy (see, for example, the judgment of the Paris Court of Appeal of October 8, 2008, SNEF, no. 2007/18040, page 4).</w:t>
      </w:r>
    </w:p>
    <w:p>
      <w:r>
        <w:t>1181. The Authority, which is not required to precisely quantify the damage caused to the economy, must assess its existence and importance based on as complete an analysis as possible of the elements of the file and by examining the various aspects of the general disruption of the normal functioning of the economy caused by the practices in question (judgments of the Paris Court of Appeal of June 30, 2011, Orange France, RG no. 2010/12049, page 5, confirmed on appeal by the judgment of the Court of Cassation of May 30, 2012, cited above; and of January 26, 2012, Beauté Prestige International et al., RG no. 2012/23945, page 89). The existence of damage to the economy cannot therefore be presumed (judgment of the Court of Cassation of April 7, 2010, Orange France et al. nos. 09-12984, 09-13163, and 09-65940).</w:t>
      </w:r>
    </w:p>
    <w:p>
      <w:r>
        <w:t>1182. Based on established case law, the Authority takes into account, in assessing the economic impact of the practice in question, the extent of the infringement, characterized, among other things, by its geographical coverage or by the cumulative market share of the participants in the relevant sector or market, its cyclical or structural consequences, as well as the relevant economic characteristics of the sector or market concerned (see, for example, judgments of the Paris Court of Appeal of June 30, 2011, cited above, page 5, and of January 26, 2012, cited above, page 89; see also, in this sense, the judgment of the Court of Cassation of May 30, 2012, cited above). Both proven and potential effects of the practice can be taken into consideration in this regard (see, in this sense, the judgment of the Court of Cassation of June 28, 2005, Novartis Pharma, no. 04-13910). Regarding the extent of the practice targeted by grievance no. 1, it took place over two pricing campaigns, namely 2004-2005 and 2005-2006. The ten companies that participated in the practices during these two campaigns represented, in 2008, approximately 48.5% of market share by value (see table 21 below).</w:t>
      </w:r>
    </w:p>
    <w:p>
      <w:r>
        <w:t>1183. The two largest companies in the sector, Geodis and GeoPost France (La Poste group), which represented, in 2008, 32.4% of market share by value, did not participate in the practices targeting the first pricing campaign. These two companies could therefore pose a real threat to the members of the agreement if prices deviated from their competitive level, especially since the sector had, at that time, excess capacity (see below and references nos. 55889 and 48350). During the second pricing campaign, Gefco, GeoPost France, Ciblex, and Normatrans joined the agreement, which then covered 65.9% of the messaging market across all segments.</w:t>
      </w:r>
    </w:p>
    <w:p>
      <w:r>
        <w:t>1184. The presence of significant competitors outside the agreement during both periods, including the sector leader Geodis, which alone represented about 20% of the market, serves to relativize the extent of the practice, even though Geodis subsequently implemented a diesel surcharge with a methodology similar to that determined during the meetings initiated by the other members of the agreement.</w:t>
      </w:r>
    </w:p>
    <w:p>
      <w:r>
        <w:rPr>
          <w:b/>
        </w:rPr>
        <w:t>[Pages 184–186]</w:t>
      </w:r>
    </w:p>
    <w:p>
      <w:r>
        <w:t>Table 21: Market shares of companies that participated in the first complaint, according to the number of campaigns concerned in 2008</w:t>
        <w:br/>
        <w:t>Companies that participated in both "diesel surcharge" campaigns (in %)</w:t>
        <w:br/>
        <w:t>Transport Henri Ducros 0.4</w:t>
        <w:br/>
        <w:t>Alloin 2.9</w:t>
        <w:br/>
        <w:t>Ziegler 2.9</w:t>
        <w:br/>
        <w:t>Schenker Joyau 3.4</w:t>
        <w:br/>
        <w:t>GLS 3.8</w:t>
        <w:br/>
        <w:t>Heppner 4.1</w:t>
        <w:br/>
        <w:t>Dachser (formerly Graveleau) 5.6</w:t>
        <w:br/>
        <w:t>Mory 7.2</w:t>
        <w:br/>
        <w:t>TNT Express France 8.8</w:t>
        <w:br/>
        <w:t>DHL Express 9.4</w:t>
        <w:br/>
        <w:t>Total market share for both campaigns 48.5</w:t>
        <w:br/>
        <w:t>Companies that only participated in the second campaign (in %)</w:t>
        <w:br/>
        <w:t>Normatrans 0.4</w:t>
        <w:br/>
        <w:t>Ciblex 1.7</w:t>
        <w:br/>
        <w:t>Gefco 3.7</w:t>
        <w:br/>
        <w:t>Geopost 11.5</w:t>
        <w:br/>
        <w:t>Total market share 65.9</w:t>
      </w:r>
    </w:p>
    <w:p>
      <w:r>
        <w:t>1185. Regarding the objective characteristics of the sector, these are identical to those developed in the assessment of the damage to the economy related to complaint no. 2. Reference is therefore made to paragraphs 1231 and following of this decision.</w:t>
      </w:r>
    </w:p>
    <w:p>
      <w:r>
        <w:t>1186. Regarding the conjunctural effects related to the practice referred to in the complaint, it should first be noted that the argument that operators would have, in the absence of consultation, opted for an identical method of passing on the cost of diesel contradicts the fact that operators coordinated on this method. The degree of certainty with which this method of passing on costs would have been imposed on operators was therefore not sufficient for companies to refrain from coordinating.</w:t>
      </w:r>
    </w:p>
    <w:p>
      <w:r>
        <w:t>1187. Secondly, the exchange of information and the development of a common method allowed messengers to facilitate the acceptance of the diesel surcharge by clients even though, at the time of the events, there was no legislation requiring the billing of such a surcharge.</w:t>
      </w:r>
    </w:p>
    <w:p>
      <w:r>
        <w:t>1188. Nevertheless, the conjunctural effects associated with this practice can be considered limited for two reasons.</w:t>
      </w:r>
    </w:p>
    <w:p>
      <w:r>
        <w:t>1189. First, economic analysis shows that in the event of rising costs, the passing on of this increase in selling prices is all the greater when competition among sellers is strong, as the low level of margins does not allow competitors to absorb a significant portion of the cost increase. However, competition in the messaging sector, due to the large number of operators involved, the relative homogeneity of their services, the bargaining power of certain clients, and the overcapacities that could be observed during the period of rising diesel prices, would have been substantial in the absence of anti-competitive practices. Thus, regardless of any anti-competitive practice, the cost increase caused by the rise in diesel prices would likely have been passed on significantly to the clients of the messengers.</w:t>
      </w:r>
    </w:p>
    <w:p>
      <w:r>
        <w:t>1190. Next, considering the method of passing on costs presented by Dachser in its economic study (references nos. 77485 and following) as an alternative to the method provided during the consultation, and even assuming that the passing on rate in the absence of the practices would have been only 70%, the difference in diesel surcharge between the two methods of passing on costs studied appears minimal, ranging from 0.26% to 0.78% depending on the type of truck considered. Related to the weight of this cost item in the cost price of messaging services (between 15% and 22% of the cost price of a vehicle depending on the type of vehicle), the additional cost then borne by clients would be between 0.06% and 0.12%, which attests to the limited effect of the practice.</w:t>
      </w:r>
    </w:p>
    <w:p>
      <w:r>
        <w:t>1191. It follows from all of the above that a flat-rate sanction appears more appropriate than a monetary sanction calculated according to the method recalled in the sanctions press release. Such an assessment is favorable to the companies involved.</w:t>
      </w:r>
    </w:p>
    <w:p>
      <w:r>
        <w:t>3. ON THE AMOUNT OF THE SANCTION</w:t>
      </w:r>
    </w:p>
    <w:p>
      <w:r>
        <w:t>1192. In light of the above considerations, it is appropriate, by grouping the companies into several categories to reflect the respective economic weight of each of them, to impose the following sanctions under complaint no. 1.</w:t>
      </w:r>
    </w:p>
    <w:p>
      <w:r>
        <w:t>Table 22 - Flat-rate amounts of sanctions imposed under complaint no. 1</w:t>
        <w:br/>
        <w:t>Flat-rate amount</w:t>
        <w:br/>
        <w:t>Company</w:t>
        <w:br/>
        <w:t>(in euros)</w:t>
        <w:br/>
        <w:t>Alloin 100,000</w:t>
        <w:br/>
        <w:t>Chronopost 200,000</w:t>
        <w:br/>
        <w:t>Exapaq 200,000</w:t>
        <w:br/>
        <w:t>Dachser France 100,000</w:t>
        <w:br/>
        <w:t>DHL Express (France) 200,000</w:t>
        <w:br/>
        <w:t>Gefco 100,000</w:t>
        <w:br/>
        <w:t>GLS France 200,000</w:t>
        <w:br/>
        <w:t>Heppner 100,000</w:t>
        <w:br/>
        <w:t>Lambert et Valette 50,000</w:t>
        <w:br/>
        <w:t>XP France 100,000</w:t>
        <w:br/>
        <w:t>Normatrans 50,000</w:t>
        <w:br/>
        <w:t>Schenker-Joyau 200,000</w:t>
        <w:br/>
        <w:t>TNT Express France 200,000</w:t>
        <w:br/>
        <w:t>Transport Henri Ducros 50,000</w:t>
        <w:br/>
        <w:t>Ziegler France 50,000</w:t>
        <w:br/>
        <w:t>Total 1,900,000</w:t>
      </w:r>
    </w:p>
    <w:p>
      <w:r>
        <w:t>4. ON THE VERIFICATION OF THE LEGAL CEILING</w:t>
      </w:r>
    </w:p>
    <w:p>
      <w:r>
        <w:t>1193. None of the flat-rate amounts mentioned in table 22 above exceeds the respective legal ceiling of the companies involved.</w:t>
      </w:r>
    </w:p>
    <w:p>
      <w:r>
        <w:t>C. REGARDING COMPLAINT NO. 2</w:t>
      </w:r>
    </w:p>
    <w:p>
      <w:r>
        <w:t>1194. Pursuant to I of Article L. 464-2 of the Commercial Code, the base amount of the sanction for each company involved is determined based on the severity of the facts and the extent of the damage caused to the economy, criteria that both relate to the infringement in question. The Authority's assessments in this regard find a numerical translation in the choice of a proportion, determined on a case-by-case basis, of the sales value retained for each company involved, a criterion that, as mentioned above, allows for the sanction's base to be proportionate to the economic magnitude of the infringement in question, on the one hand, and to the relative weight in the affected sector of each company that participated, on the other hand. Other relevant individualization elements related to the situation and behavior of each of the companies involved will be taken into account at a later stage.</w:t>
      </w:r>
    </w:p>
    <w:p>
      <w:r>
        <w:t>1195. The duration of the practices constitutes a relevant factor for assessing both the severity of the facts (see, in this sense, the judgments of the Court of Cassation of June 28, 2003, Domo services maintenance, and of June 28, 2005, Novartis Pharma) and the extent of the damage caused to the economy (judgment of the Court of Cassation of July 12, 2011, Lafarge ciments e.a.); it will be taken into account from this dual perspective according to the practical modalities described in the press release of May 16, 2011.</w:t>
      </w:r>
    </w:p>
    <w:p>
      <w:r>
        <w:t>1196. In this case, the following will be successively presented:</w:t>
        <w:br/>
        <w:t>- the value of sales (1),</w:t>
        <w:br/>
        <w:t>- the severity of the practices (2),</w:t>
        <w:br/>
        <w:t>- the extent of the damage caused to the economy (3),</w:t>
        <w:br/>
        <w:t>- the duration of the practices (4),</w:t>
        <w:br/>
        <w:t>- unequal participation (5),</w:t>
        <w:br/>
        <w:t>- individualization of sanctions (6),</w:t>
        <w:br/>
        <w:t>- final adjustments (7),</w:t>
        <w:br/>
        <w:t>- the amounts of the sanction under complaint no. 2 (8).</w:t>
      </w:r>
    </w:p>
    <w:p>
      <w:r>
        <w:rPr>
          <w:b/>
        </w:rPr>
        <w:t>[Pages 187–189]</w:t>
      </w:r>
    </w:p>
    <w:p>
      <w:r>
        <w:t xml:space="preserve">1. ON THE VALUE OF SALES  </w:t>
        <w:br/>
        <w:t xml:space="preserve">1197. The value of sales of all categories of products or services related to the offenses committed by the companies involved, during their last complete accounting year of participation in these offenses, is retained as the basis for their respective sanctions. Indeed, as indicated by the Authority in the press release of May 16, 2011, in paragraph 23, "To provide a quantified translation of its assessment of the seriousness of the facts and the importance of the damage caused to the economy, the Authority retains, as the base amount of the financial penalty, a proportion of the value of sales made by each company or organization involved, of products or services related to the offense or, where applicable, the offenses in question. The value of these sales constitutes an appropriate and objective reference for determining the base amount of the financial penalty, as it allows for a case-by-case proportionality of the basis to the economic magnitude of the offense or offenses in question, on the one hand, and to the relative weight, on the sectors or markets concerned, of each company or organization that participated, on the other hand" (emphasis added).  </w:t>
        <w:br/>
        <w:t xml:space="preserve">1198. Certainly, the Commercial Code, by not referring to the turnover related to the sector or market in question, but only to the consolidated or combined global turnover, does not impose on the Authority to proceed in this manner (judgment of the Court of Cassation of May 13, 1997, Société française de transports Gondrand frères, no. 95-16378). However, this parameter generally constitutes an appropriate and objective reference allowing for a case-by-case proportionality of the basis of the sanction to the economic reality of the offense in question, and more specifically to its magnitude as well as to the relative weight on the concerned sector of each of the companies that participated (see, in this sense, judgment of the Paris Court of Appeal of October 11, 2012, Entreprise H. Chevalier Nord e.a., no. 2011/03298, page 72; see also judgment of the Paris Court of Appeal of March 29, 2012, Lacroix Signalisation e.a., no. 2011/01228, pages 37 and 38), as also evidenced by the consistent case law of the Union courts (judgments of the Court of Justice of June 7, 1983, Musique diffusion française/Commission, 100/80, paragraphs 119 to 121, of September 3, 2009, Papierfabrik August Koehler e.a./Commission, C-322/07 P, C-327/07 P and C-338/07 P, paragraph 114).  </w:t>
        <w:br/>
        <w:t xml:space="preserve">1199. In the present case, the practices pursued concerned domestic messaging and express messaging services on French territory. It is therefore appropriate to retain the turnover related to these activities as the value of sales.  </w:t>
        <w:br/>
        <w:t xml:space="preserve">1200. In this case, the parties argued that the practices agreed upon by the participants in the agreement had not been applied to all contracts they had concluded with their clients. They particularly argued that several categories of clients or services should be deducted from the value of sales.  </w:t>
        <w:br/>
        <w:t xml:space="preserve">1201. However, as stated by the European Commission in the decision "International Moving Services" (Commission decision of March 11, 2008, C(2008) 926 final (aff. COMP/38543 – international moving services), recitals 532 and 533), the use of the expression "of goods or services related to the offense" indicates that this point of the guidelines does not refer to the sales of goods or services for which there is direct evidence of their being affected by the offense. It emphasizes that "such an interpretation of this point would require the Commission, in order to determine the base amount of the fine in cartel cases, to prove each time which individual sales were affected by the cartel, whereas the case law excludes that for the purposes of applying Article 81 [EC], the concrete effects of an agreement be taken into consideration, as long as it appears that it aims to prevent, restrict or distort competition within the common market."  </w:t>
        <w:br/>
        <w:t xml:space="preserve">1202. This decision was confirmed by a ruling of the Union Court (aff. T-204/08 and T-212/08, paragraphs 60 to 68) which recalls that "it follows from consistent case law that the share of turnover from goods subject to the offense is likely to provide a fair indication of the extent of an offense in the relevant market. In particular, the turnover generated from products that have been subject to a restrictive practice constitutes an objective element that provides a fair measure of the harmfulness of this practice to the normal functioning of competition." This position is also reiterated in a ruling of the Court of Justice LG Display, paragraph 54. In this case, the Court specified that the portion of the total turnover from the sale of products that are the subject of the offense is best suited to reflect the economic importance of this offense (previously cited LG Display, paragraph 55 and Guardian Industries and Guardian Europe/Commission, paragraph 59). Thus, the Court of Justice was able to estimate that "the possibility for the Commission to include in the value of sales relevant for the calculation of the fine the sales of cartelized LCDs made by the applicants to LGE and Philips depends not on whether these sales were made at prices influenced by the agreement, but on the simple fact that they were made in a market affected by the existence of an agreement to which the applicants participated" (emphasis added) (previously cited ruling, paragraph 56).  </w:t>
        <w:br/>
        <w:t xml:space="preserve">1203. In other words, only the value of sales of all goods or services made in the affected market should be taken into account in order to determine the base amount of the fine. In this case, it is appropriate to retain, for the value of sales, and as provided for in point 35 of the sanctions press release, the turnover generated by the companies involved in the marketing of the services included in the scope of the value of sales, in this case the turnover related to messaging services.  </w:t>
        <w:br/>
        <w:t xml:space="preserve">1204. However, the turnover generated when companies act exclusively as subcontractors for another carrier as well as the turnover generated during intra-group services may be deducted from this value of sales. Indeed, not deducting these two categories of services would amount to counting the same turnover of the subcontracted companies or those belonging to the same group twice.  </w:t>
        <w:br/>
        <w:t xml:space="preserve">1205. The turnover generated during international services may also be excluded insofar as the Authority only retains the sales made in France (point 34 of the sanctions press release).  </w:t>
        <w:br/>
        <w:t xml:space="preserve">1206. Any other deduction from the value of sales requested by the parties involved, such as turnover related to new clients, multi-year contracts, turnover corresponding to options or additional fees, turnover generated by clients not receiving the circulars, turnover generated by small clients receiving the circulars, turnover generated by clients who did not experience any price increase during the year, turnover generated by clients experiencing higher increases due to the low profitability of contracts, turnover generated by sales made for cash, "commissions" received by carriers, turnover specific to chartering, turnover generated by "dedicated networks" cannot be accepted.  </w:t>
        <w:br/>
        <w:t xml:space="preserve">1207. According to the method developed by the press release of May 16, 2011, the reference retained by the Authority is the value of sales during the last complete accounting year of participation of each company involved.  </w:t>
        <w:br/>
        <w:t xml:space="preserve">1208. In cases where it considers that the last complete accounting year of participation in the offense does not clearly constitute a representative reference, the Authority retains a year it deems more appropriate.  </w:t>
        <w:br/>
        <w:t xml:space="preserve">1209. Given the individual participation of the companies Alloin, BMVirolle, Chronopost, Exapaq, Dachser, DHL, FedEx, Gefco, Geodis, GLS, Heppner, Lambert and Valette, XP France, Normatrans, Schenker-Joyau, Ziegler, Transports Henri Ducros, and TNT in the offense, as referred to by the complaint and established above in paragraphs 150 to 172, the last complete accounting year retained to determine this value of sales will be the year 2009.  </w:t>
        <w:br/>
        <w:t xml:space="preserve">1210. The Authority will retain, to the benefit of the company, the year 2009 for Ciblex. As for NDD, which ceased all participation in the offense in March 2008, the last complete accounting year is 2007.  </w:t>
        <w:br/>
        <w:t>1211. In light of the above considerations, the table below summarizes the values of sales serving as the basis for the individual sanction of each of the companies (in euros):</w:t>
      </w:r>
    </w:p>
    <w:p>
      <w:r>
        <w:rPr>
          <w:b/>
        </w:rPr>
        <w:t>[Pages 190–192]</w:t>
      </w:r>
    </w:p>
    <w:p>
      <w:r>
        <w:t>Table 23 – Value of sales concerning complaint no. 2</w:t>
        <w:br/>
        <w:t>Value of</w:t>
        <w:br/>
        <w:t>Year of</w:t>
        <w:br/>
        <w:t>Company sales</w:t>
        <w:br/>
        <w:t>reference</w:t>
        <w:br/>
        <w:t>(in euros)</w:t>
        <w:br/>
        <w:t>Alloin 2009 223,673,000</w:t>
        <w:br/>
        <w:t>BMVirolle 2009 38,920,000</w:t>
        <w:br/>
        <w:t>Chronopost 2009 496,952,000</w:t>
        <w:br/>
        <w:t>Exapaq 2009 249,633,000</w:t>
        <w:br/>
        <w:t>Ciblex 2009 132,023,000</w:t>
        <w:br/>
        <w:t>Dachser France 2009 132,523,000</w:t>
        <w:br/>
        <w:t>DHL Express France 2009 281,124,000</w:t>
        <w:br/>
        <w:t>FedEx Express France 2009 95,426,000</w:t>
        <w:br/>
        <w:t>Gefco 2009 121,360,000</w:t>
        <w:br/>
        <w:t>Geodis 2009 738,465,000</w:t>
        <w:br/>
        <w:t>GLS France 2009 239,553,000</w:t>
        <w:br/>
        <w:t>Heppner 2009 109,542,000</w:t>
        <w:br/>
        <w:t>Lambert et Valette 2009 21,534,000</w:t>
        <w:br/>
        <w:t>XP France 2009 37,770,000</w:t>
        <w:br/>
        <w:t>Norbert Dentressangle</w:t>
        <w:br/>
        <w:t>2007/2008* 181,796,000</w:t>
        <w:br/>
        <w:t>Distribution</w:t>
        <w:br/>
        <w:t>Normatrans 2009 8,620,000</w:t>
        <w:br/>
        <w:t>Schenker-Joyau 2009 282,102,000</w:t>
        <w:br/>
        <w:t>TNT Express France 2009 459,502,000</w:t>
        <w:br/>
        <w:t>Transports Henri Ducros 2009 18,216,000</w:t>
        <w:br/>
        <w:t>Ziegler France 2009 37,606,000</w:t>
        <w:br/>
        <w:t>*Closure of accounts on March 31, 2008</w:t>
      </w:r>
    </w:p>
    <w:p>
      <w:r>
        <w:t>2. ON THE GRAVITY OF THE FACTS</w:t>
        <w:br/>
        <w:t>1212. When assessing the gravity of an infringement, the Authority takes into account, in particular, the nature of the practices it pursues, the persons likely to be affected, and the objective characteristics of the infringement (secret or not, degree of sophistication, existence of policing mechanisms or retaliatory measures, circumvention of legislation, etc.) (point 26 of the sanctions communication).</w:t>
      </w:r>
    </w:p>
    <w:p>
      <w:r>
        <w:t>1213. The determination of the degree of gravity of a practice therefore involves examining its characteristics in light of these criteria.</w:t>
      </w:r>
    </w:p>
    <w:p>
      <w:r>
        <w:t>a) Regarding the nature of the practice</w:t>
        <w:br/>
        <w:t>1214. It follows from the case law of the Union courts that a horizontal agreement concerning future prices constitutes a very serious infringement (judgment of the Court of Justice of September 24, 2009, Erste Gruppe Bank e.a./Commission, case C-125/07 P e.a., point 103).</w:t>
      </w:r>
    </w:p>
    <w:p>
      <w:r>
        <w:t>1215. Similarly, at the national level, the Paris Court of Appeal ruled in this sense in its judgment of April 24, 2007, JH Industrie, as well as in its judgment of February 25, 2009, Société Transeuro Desbordes Worldwide Relocations, in which it stated that: "Considering, on proportionality, that, regarding the gravity of the price-fixing agreement, the Council rightly recalled that agreements or concerted actions aimed at preventing the play of competition by obstructing the free setting of prices by market forces are among those considered unjustifiable by the OECD in its recommendation of March 25, 1998, that they cause serious harm to the functioning of the market and thus to the benefits that consumers can expect, regardless of whether some of the clients affected by the practices have significant market power [...]" (emphasis added).</w:t>
      </w:r>
    </w:p>
    <w:p>
      <w:r>
        <w:t>1216. In its Tate &amp; Lyle judgment, concerning practices that consisted of "communication of prices from British Sugar to other participants" during bilateral meetings with Tate &amp; Lyle and multilateral meetings with traders, the Court stated that "the incriminated agreement must be considered horizontal [...] and that it concerned price-fixing. Such an agreement has always been regarded as particularly harmful and is classified as 'very serious' in the guidelines" (judgment of the Court of the European Union of July 12, 2001, Tate &amp; Lyle plc. v. Commission, case T-202/98 e.a., point 103).</w:t>
      </w:r>
    </w:p>
    <w:p>
      <w:r>
        <w:t>1217. In this case, the Court did not exclude that exchanges between competitors may have concerned prices already communicated to distributors. However, it noted that this did not prevent the finding of an infringement of Article 85, paragraph 1, of the EC Treaty, now Article 101, paragraph 1, of the TFEU. This element was also not taken into account, at the stage of determining the sanction, to mitigate the gravity of the practice. It follows that practices such as those identified in this case, which concern future prices, are as serious as those identified in the Tate &amp; Lyle judgment.</w:t>
      </w:r>
    </w:p>
    <w:p>
      <w:r>
        <w:t>1218. More recently, in the Fresh del Monte judgment (the so-called "bananas" case), the Court of the European Union fully validated the position of the European Commission that exchanges of information on prices constituted a very serious practice (judgment of the Court of the European Union of March 14, 2013, Fresh del Monte Produce, Inc. v. Commission, case T-587/08, point 778, confirmed by a judgment of the Court of Justice of June 24, 2015, case C-293/13 P).</w:t>
      </w:r>
    </w:p>
    <w:p>
      <w:r>
        <w:t>1219. The Commission had considered in this same case that "the companies concerned had participated in a single and continuous infringement through a concerted practice, by which they coordinated their reference prices for bananas in Northern Europe and which is therefore related to price-fixing, practices related to prices being among the most serious restrictions on competition by their very nature as they distort competition on a key parameter of competition." In its decision, the Commission noted that the reference prices, subject to the exchanges, did not accurately reflect the prices of bananas but served "as signals, trends, and/or indications for the market regarding the anticipated evolution of banana prices."</w:t>
      </w:r>
    </w:p>
    <w:p>
      <w:r>
        <w:t>1220. Finally, in its recent decision regarding practices in the hygiene and maintenance sectors, the Authority stated that "[t]he practices in question can be classified as infringements of particular gravity even though they are concerted practices and not agreements (see in this sense, for reference regarding Union case law, the judgments of the Court of July 13, 2011, Polimeri Europa SpA /Commission, T-59/07, point 225, and of March 14, 2013, Fresh del Monte Produce, cited above, points 771 and 772). Similarly, and contrary to what most of the defendants argue, the finding of the particular gravity of a secret horizontal agreement on future prices also applies when such an infringement materializes through exchanges of information (see in this sense, also for reference, the judgments of the Court of July 12, 2001, Tate &amp; Lyle PLC, cited above, point 103, and of March 14, 2013, Fresh del Monte Produce, cited above, point 778)" (decision no. 14-D-19 of December 18, 2014, regarding practices implemented in the cleaning products and insecticides sector and in the hygiene and body care products sector).</w:t>
      </w:r>
    </w:p>
    <w:p>
      <w:r>
        <w:t>1221. In this case, the exchanged information was not limited to "signals," "trends," or mere "indications": they reflected tangible elements of the price increases that would actually be requested from clients. Regular and following the course of the annual negotiation cycles, the concerted practices took the form of exchanges of information relating to individualized, strategic, and private data. Moreover, within the framework of these practices, the companies exchanged information on their future price increases, before these were sent to clients, or in some cases, at the time or shortly after their transmission, but in any case before the completion of the pricing negotiations with their clients, which spanned several months.</w:t>
      </w:r>
    </w:p>
    <w:p>
      <w:r>
        <w:t>1222. These concerted practices contributed either directly or indirectly to setting price increases at a level higher than that which would have resulted from a non-distorted competitive situation, significantly reducing uncertainty during each annual negotiation campaign.</w:t>
      </w:r>
    </w:p>
    <w:p>
      <w:r>
        <w:t>1223. Ultimately, the practices allowed participants to improve their individual negotiating position by substituting for the play of competition a concerted, direct or indirect, setting of price revaluations for classic and express messaging services.</w:t>
      </w:r>
    </w:p>
    <w:p>
      <w:r>
        <w:t>1224. The practices pursued by the complaint must therefore, at first analysis, be considered very serious.</w:t>
      </w:r>
    </w:p>
    <w:p>
      <w:r>
        <w:t>1225. However, it should be noted that, while the defendants coordinated their intentions for price increases and also exchanged their pricing circulars, they did not systematically coordinate on the details of negotiations with their clients. This characteristic is likely to mitigate the gravity of the practices.</w:t>
      </w:r>
    </w:p>
    <w:p>
      <w:r>
        <w:t>b) On the persons likely to be affected</w:t>
        <w:br/>
        <w:t>1226. The pursued infringements directly affected the clients of classic and express messaging companies. As previously indicated, messaging and express services are used by a very large number of companies, at all stages of production. Thus, messaging companies transport raw materials, components, and industrial parts, or finished products intended for consumption. Therefore, almost the entire industrial and commercial fabric of France was affected by the practices.</w:t>
      </w:r>
    </w:p>
    <w:p>
      <w:r>
        <w:rPr>
          <w:b/>
        </w:rPr>
        <w:t>[Pages 193–195]</w:t>
      </w:r>
    </w:p>
    <w:p>
      <w:r>
        <w:t>1227. Furthermore, while the largest clients have a certain negotiating power and can obtain a lower price increase, this is not the case for smaller clients, who are the majority in number. Thus, during the meeting held on September 30, 2015, Heppner indicated that out of a portfolio of approximately 9,000 clients, 7,000 to 8,000 of them could be considered "small clients," on the grounds that the revenue they generated each year was less than 50,000 euros. For these smaller companies, the revaluations requested in the circulars were not negotiated and applied automatically, as noted by Dachser in its presentation during the meeting: the clients in "classes E and F," which represent 70% of the total clients, were both "recipients of the annual price revaluation circulars" and did not benefit from any price negotiation ("no negotiation"). In this regard, Tatex's argument that "SMEs represent only a minority of clients" (page 46) is based on a confusion between the importance of SMEs in terms of revenue and in terms of the number of clients.</w:t>
      </w:r>
    </w:p>
    <w:p>
      <w:r>
        <w:t>1228. Therefore, it is a large majority of small and medium-sized enterprises (SMEs) in the French industrial fabric that have suffered the most from the practices pursued, as they were directly subjected to the price increases that were the subject of the discussions. This element serves to reinforce the seriousness of the practices.</w:t>
      </w:r>
    </w:p>
    <w:p>
      <w:r>
        <w:t>1229. Dachser's argument that clients are not consumers is ineffective, as the sanctions press release clearly identifies SMEs as a category of persons likely to be negatively affected by the practices.</w:t>
      </w:r>
    </w:p>
    <w:p>
      <w:r>
        <w:t>1230. Similarly, GLS's argument that, even in the absence of the practices, SMEs would have been more affected than large groups by requests for price increases is ineffective: indeed, this argument concerns the extent of the damage to the economy and not the nature of the affected persons, which pertains to the seriousness of the practices.</w:t>
      </w:r>
    </w:p>
    <w:p>
      <w:r>
        <w:t>c) On the objective characteristics of the offenses</w:t>
      </w:r>
    </w:p>
    <w:p>
      <w:r>
        <w:t>1231. Firstly, the practices constituting the second grievance were secretive in nature.</w:t>
      </w:r>
    </w:p>
    <w:p>
      <w:r>
        <w:t>1232. Even though the meetings of the Trade Council took place within a statutory framework, the coordinated practices regarding price increases were kept secret from clients, contrary to what several defendants claim. They were not included in the agenda and were not recorded in the minutes of meetings prepared by TLF staff. This element is confirmed by the exchange of emails on September 10, 2009, between Mr. Christophe M… (Sernam) and Ms. Laure I... (TLF). The subject of this email was "Re: agenda of the 'Express Messaging' Commission" and was written as follows: "I am surprised not to see the 2010 price increase on the agenda. We had agreed in June to address this topic [...]" (emphasis added) (reference no. 55224). Ms. Laure I... replied: "As you know, I must be cautious in the wording of the items listed on the agenda. This is to avoid both TLF and the member companies of the council facing the risks of controls and financial sanctions from the competition council, hence my caution. This aspect is addressed in point 1 called conjuncture... etc. orally, participants discuss the themes they wish" (emphasis added) (reference no. 55224). Thus, the argument of Geodis and Chronopost that the statutory framework in which the collusive practices took place would remove any secretive nature is ineffective.</w:t>
      </w:r>
    </w:p>
    <w:p>
      <w:r>
        <w:t>1233. Furthermore, the various bilateral or multilateral contacts between certain participants were kept secret and were not communicated to clients. Thus, on July 22, 2008, the president of Graveleau, Mr. Philippe X..., sent an email to some of his employees containing pricing information obtained from competitors and marked "Confidential Information."</w:t>
      </w:r>
    </w:p>
    <w:p>
      <w:r>
        <w:t>1234. These various factual elements demonstrate the secretive nature of the practices implemented, thus indicating, to some extent, their deliberate character and making their detection more difficult.</w:t>
      </w:r>
    </w:p>
    <w:p>
      <w:r>
        <w:t>1235. Secondly, regarding the sophistication of the practices, it was relatively limited in this case. Indeed, the pursued practices mainly took place during "roundtable" discussions at the beginning of the Trade Council meetings. The exchanges of information were purely oral during these meetings. There was no formalized system for summarizing the information provided, and each participant had to take notes if they wished to keep a record of the elements heard.</w:t>
      </w:r>
    </w:p>
    <w:p>
      <w:r>
        <w:t>1236. Thirdly, concerning the existence of policing and retaliation measures, it should first be noted that the process of collusion and price negotiation was organized, for each annual pricing campaign, in several stages. The first stage concerned the intentions for price revaluation to be requested from clients. The second stage involved the price increases actually sent to clients via the circulars; a third stage was related to the follow-up and assessment of the annual pricing negotiations.</w:t>
      </w:r>
    </w:p>
    <w:p>
      <w:r>
        <w:t>1237. The members of the collusion thus coordinated through exchanges of information during the first two stages of the negotiation process, namely regarding their intentions for price increases but also regarding the sending of circulars to clients. In this regard, a strong correspondence between the increases announced during the roundtable discussions of the Trade Council and the price increases sent to clients was noted. As a subsidiary point, and as indicated by the defendants themselves, companies in the sector were also able to recover, albeit over a longer period than that allowed by the collusion, the circulars from their competitors from their various clients. This allowed them to establish, in addition to the exchanges of information with their competitors, a competitive watch and thus verify that the surcharges and/or the rates of increases mentioned in these circulars were indeed the same as those announced in the Trade Council meeting or during bilateral and multilateral exchanges.</w:t>
      </w:r>
    </w:p>
    <w:p>
      <w:r>
        <w:t>1238. Fourthly, regarding retaliation during these first two stages, the file notes a case of a threat of retaliation in December 2004, following the non-compliance by the company Mory with what it had announced in the meeting (see notification of grievances, paragraphs 491 to 498). It should be noted that the conflict between Mory and the other members of the Trade Council concerned both price increases and the diesel surcharge (paragraph 497 of the notification of grievances). This threat had the desired effects, as the concerned company subsequently issued internal instructions encouraging greater firmness in negotiations with clients.</w:t>
      </w:r>
    </w:p>
    <w:p>
      <w:r>
        <w:t>1239. Finally, regarding the last stage of the negotiation process, while the defendants did indeed carry out a follow-up and overall assessment of the price increases obtained at the end of each campaign, it is noted that there was not, strictly speaking, a true organized system of monitoring and even less of policing.</w:t>
      </w:r>
    </w:p>
    <w:p>
      <w:r>
        <w:t>3. ON THE IMPORTANCE OF THE DAMAGE CAUSED TO THE ECONOMY</w:t>
      </w:r>
    </w:p>
    <w:p>
      <w:r>
        <w:t>1240. It is established case law that the importance of the damage caused to the economy is assessed globally for the offense in question, that is to say, in light of the cumulative action of all participants in the practice without the need to identify the share attributable to each company taken separately (decisions of the Court of Cassation of February 18, 2004, CERP et al., and of the Paris Court of Appeal of September 17, 2008, Agricultural Cooperative L'Ardéchoise).</w:t>
      </w:r>
    </w:p>
    <w:p>
      <w:r>
        <w:t>1241. The importance of the damage to the economy is not to be confused, moreover, with the harm that the victims of the practices in question may have suffered, but is assessed based on the general disruption caused by these practices to the economy (decision of the Paris Court of Appeal of October 8, 2008, SNEF).</w:t>
      </w:r>
    </w:p>
    <w:p>
      <w:r>
        <w:t>1242. The Authority, which is not required to precisely quantify the damage caused to the economy, must proceed to an assessment of its existence and importance, based on as complete an analysis as possible of the elements of the file and by seeking the various aspects of the general disruption of the normal functioning of the economy caused by the practices in question (decisions of the Paris Court of Appeal of June 30, 2011, Orange France, January 26, 2012, Beauté Prestige International, page 89). The existence of damage to the economy cannot therefore be presumed, even in the case of collusion (decision of the Court of Cassation of April 7, 2010, Orange).</w:t>
      </w:r>
    </w:p>
    <w:p>
      <w:r>
        <w:t>1243. Based on established case law summarized in the press release of May 16, 2011, regarding its method of determining financial penalties (point 32), the Authority takes into account, in particular, to assess the economic impact of the practice in question:</w:t>
        <w:br/>
        <w:t>- the extent of the offense or offenses (geographical coverage, number, importance, and cumulative market shares of the companies involved, etc.);</w:t>
        <w:br/>
        <w:t>- the economic characteristics of the activities, sectors, or markets involved (degree of concentration, price elasticity of demand, countervailing power of demand, etc.);</w:t>
        <w:br/>
        <w:t>- the conjunctural consequences of the offense or offenses (expected price surcharges, absence of an expected price decrease, indirect impact on related sectors or markets, upstream or downstream, etc.);</w:t>
        <w:br/>
        <w:t>- their structural consequences (exclusionary effects, discipline or discouragement effects on competitors, decline in quality or innovation, hindrance to technical progress, impact on the competitiveness of the sector in question or other sectors, etc.); and</w:t>
        <w:br/>
        <w:t>- their more general impact on the economy, on upstream economic operators, on downstream users, and on final consumers.</w:t>
      </w:r>
    </w:p>
    <w:p>
      <w:r>
        <w:t>1244. It is therefore necessary to analyze the various relevant criteria in the case at hand, namely the extent of the offense, the objective economic characteristics of the sector, and the conjunctural consequences of the offense.</w:t>
      </w:r>
    </w:p>
    <w:p>
      <w:r>
        <w:t>a) On the extent of the offense</w:t>
      </w:r>
    </w:p>
    <w:p>
      <w:r>
        <w:t>1245. The grievance concerned "the French market for traditional and express messaging" (references nos. 56034 and 56036), that is to say, the entire French territory.</w:t>
      </w:r>
    </w:p>
    <w:p>
      <w:r>
        <w:rPr>
          <w:b/>
        </w:rPr>
        <w:t>[Pages 196–198]</w:t>
      </w:r>
    </w:p>
    <w:p>
      <w:r>
        <w:t>s'en tenir aux prix convenus), limiter l'ampleur du dommage causé à l'économie. En effet, un contre-pouvoir de la demande élevé peut inciter les clients à se tourner vers d'autres fournisseurs en cas de hausse des prix, ce qui peut réduire l'impact d'une entente sur les prix du marché.</w:t>
      </w:r>
    </w:p>
    <w:p>
      <w:r>
        <w:t>1259. Dans le secteur de la messagerie, le contre-pouvoir de la demande est relativement limité. Les clients, en particulier les grandes entreprises, dépendent souvent de services de messagerie pour leurs opérations quotidiennes, ce qui leur laisse peu de marge de manœuvre pour négocier des prix plus bas ou pour changer de fournisseur. Cela est particulièrement vrai dans le cas des envois urgents, où la rapidité et la fiabilité sont des critères essentiels.</w:t>
      </w:r>
    </w:p>
    <w:p>
      <w:r>
        <w:t>1260. En conséquence, même si les clients peuvent théoriquement exercer un contre-pouvoir en cas de hausse des prix, dans la pratique, leur capacité à le faire est restreinte par leur dépendance aux services de messagerie. Cela renforce la position des entreprises impliquées dans l'entente et leur permet de maintenir des prix plus élevés sans craindre une perte significative de clients.</w:t>
      </w:r>
    </w:p>
    <w:p>
      <w:r>
        <w:t>1261. En résumé, l'analyse des caractéristiques économiques objectives du secteur de la messagerie, y compris la concentration du marché, l'existence de surcapacités, l'élasticité-prix de la demande et le contre-pouvoir de la demande, montre que les conditions étaient favorables à la mise en œuvre d'une entente visant à fixer les prix. Ces éléments doivent être pris en compte pour évaluer l'ampleur du dommage causé à l'économie par les pratiques anticoncurrentielles en question.</w:t>
      </w:r>
    </w:p>
    <w:p>
      <w:r>
        <w:rPr>
          <w:b/>
        </w:rPr>
        <w:t>[Pages 199–201]</w:t>
      </w:r>
    </w:p>
    <w:p>
      <w:r>
        <w:t>1258. A strong negotiating counter-power can, when stakeholders are unable to organize their agreement in a way that prevents any deviation (for example, through monitoring and retaliation mechanisms that could compel participants to resist the negotiating power of their clients), reduce the harm by preventing participants from imposing the planned price increases on their clients.</w:t>
      </w:r>
    </w:p>
    <w:p>
      <w:r>
        <w:t>1259. In this case, most parties emphasize the strong negotiating power of clients. According to several defendants, the services provided are relatively homogeneous, the number of operators is high, contracts are easily terminable, and switching costs are limited.</w:t>
      </w:r>
    </w:p>
    <w:p>
      <w:r>
        <w:t>1260. In particular, as several defendants point out, this counter-power of demand is expressed notably by the clients' ability to quickly switch couriers. Indeed, Gefco and TNT highlighted in their economic studies a certain volatility of their clientele or the revenue generated with each client.</w:t>
      </w:r>
    </w:p>
    <w:p>
      <w:r>
        <w:t>1261. The Authority also noted, in paragraphs 43 and following of decision no. 12-DCC-153 mentioned above, that "the vast majority of clients consider themselves to have strong negotiating power vis-à-vis their carriers. This assertion is corroborated by the statements of carriers who, for the most part, consider themselves to have weak negotiating power vis-à-vis their clients. The Xerfi study relating to the courier and express freight sector confirms this point and notes in this regard that 'in a context of high competitive intensity where the negotiating power of companies in the sector proves particularly limited in the face of their clients, they experience great difficulties in increasing their prices, particularly for courier specialists' and concludes that 'a reversal of the balance of power appears unlikely.'"</w:t>
      </w:r>
    </w:p>
    <w:p>
      <w:r>
        <w:t>1262. This negotiating counter-power, although real, must, however, be put into perspective.</w:t>
      </w:r>
    </w:p>
    <w:p>
      <w:r>
        <w:t>1263. Firstly, the number of large clients for each courier is high, so that each of them represents only a relatively small share of a courier's revenue. Thus, for Geodis, Dachser, or DHL, these large account clients represented several hundred different companies. Assuming that 20% of clients generate 80% of an operator's revenue, if that operator has 200 large account clients, each of these clients represents on average only 0.4% of its revenue. Therefore, the loss of a client considered important would not weaken the financial situation of that courier, thus reducing the negotiating counter-power of that client.</w:t>
      </w:r>
    </w:p>
    <w:p>
      <w:r>
        <w:t>1264. Secondly, concerning the 80% of smaller clients, who would represent only 20% of the couriers' total revenue, their ability to resist a price increase appears very limited, if not nonexistent. Mr. Christian 14..., General Delegate of the AUTF, explained during his hearing that "not all clients accept the requested increase, particularly important or medium clients. There is an annual negotiation in November/December, before the Christmas holidays. But these are the important clients; the smaller clients endure the increase without being able to negotiate" (emphasis added, reference no. 54571).</w:t>
      </w:r>
    </w:p>
    <w:p>
      <w:r>
        <w:t>1265. Thirdly, a consultation allows suppliers faced with clients possessing high negotiating power to prevent them from putting their suppliers in competition. In this case, by grouping the largest couriers active in the sector, the agreement was able to reduce the possibility for shipper clients to resort to providers outside the agreement offering a similar service.</w:t>
      </w:r>
    </w:p>
    <w:p>
      <w:r>
        <w:t>1266. Ultimately, the negotiating counter-power of clients, although proven, is not as high as the defendants claim. However, it remains significant and, combined with the asymmetry between the participants in the practice (see above), the absence of a comprehensive monitoring and retaliation mechanism up to the final negotiated price with clients (see below), and the existence of structural overcapacities (see above), this counter-power may have encouraged deviations from the agreed price increases and thus limited, compared to the initially decided revaluations, the extent of the price increases ultimately implemented by the participants in the agreement (see below).</w:t>
      </w:r>
    </w:p>
    <w:p>
      <w:r>
        <w:t>Barriers to entry</w:t>
      </w:r>
    </w:p>
    <w:p>
      <w:r>
        <w:t>1267. As the Authority has often pointed out, the existence of strong barriers to entry is likely to amplify the harmful effects of practices by reducing or even eliminating the threat posed by the entry of new players on an agreement. Thus, the Authority noted in decision no. 14-D-19 of December 18, 2014, relating to practices implemented in the cleaning products and insecticides sector and in the hygiene and body care products sector that "the existence of strong barriers to entry [...] is likely to amplify the harmful effects of practices" (paragraph 1340). Indeed, the existence of barriers to entry guarantees a certain stability to an agreement since it reduces or eliminates the threat posed by the entry of new players on the stability of the agreement.</w:t>
      </w:r>
    </w:p>
    <w:p>
      <w:r>
        <w:t>1268. Several indicators suggest that the traditional and express courier sector presents barriers to entry.</w:t>
      </w:r>
    </w:p>
    <w:p>
      <w:r>
        <w:t>1269. Firstly, in order to have national coverage with a sufficient density of agencies, an operator must make significant and long-term investments (references nos. 48350, 44544, and 48303). Mr. Bruno Y..., President of Geodis-Calberson, indicated that "a courier network is very heavy to set up" (reference no. 48350). This statement is confirmed by Mr. Alain G..., who stated that "today you can buy a network for a euro! To build a network is impossible: the real estate barrier is too high. An agency costs 2 million euros, so the barrier is 80 million euros!" (reference no. 44544). Similarly, according to the former President of TNT Express France, Mr. Éric C..., "It takes [to enter the express courier market] a critical size; it's very hard. Access to the profession is highly regulated; it's difficult to compete with the leaders ex nihilo. A national presence, a network is required. In particular, you need planes. TNT has 120 centers in France" (reference no. 48303).</w:t>
      </w:r>
    </w:p>
    <w:p>
      <w:r>
        <w:t>1270. Secondly, the physical investments required to build a network of agencies are difficult to redeploy, as TLF points out: "the exit barriers in this sector are significant because the assets are not easily redeployable and the negative impacts in terms of employment can be potentially important. Companies find themselves in a situation of sustainable overcapacity, resulting from the rigidity of supply, seasonality, and the sudden reversal of demand" (reference no. 57374).</w:t>
      </w:r>
    </w:p>
    <w:p>
      <w:r>
        <w:t>1271. Thirdly, it can be noted that during the practices, no company entered the market by creating its own network (reference no. 48845), except for Colizen, which is primarily a local operator. Indeed, the entry of new operators occurred solely through the acquisition of existing networks (Cool Jet and Colis Privé), most of which were of modest size. Moreover, the acquisitions of existing companies by firms already present in the market, such as the acquisition of Ducros by DHL, of Ciblex by Geodis, of Joyau by Schenker, or of Sernam by Butler Capital Partner (references nos. 51029 and 44470), even at low prices, were frequently made by members of the agreement and, in any case, were not acquisitions of a size sufficient to significantly increase the competitive pressure on the members of the agreement.</w:t>
      </w:r>
    </w:p>
    <w:p>
      <w:r>
        <w:t>1272. Finally, TNT's argument that the absence of market entry results from the strong competition present and thus attests that the practices did not have a significant impact on the market must be dismissed. Indeed, the existence of barriers to entry is assessed objectively, based on the cost and time required to achieve entry and the nature and amount of the sums invested (fixed and largely specific and irreversible), and not solely based on the behavior actually observed in the market.</w:t>
      </w:r>
    </w:p>
    <w:p>
      <w:r>
        <w:t>c) On the conjunctural consequences of the practices</w:t>
      </w:r>
    </w:p>
    <w:p>
      <w:r>
        <w:t>On the effects of the practices on the amounts of price revaluation communicated to clients and the negotiations between shippers and couriers</w:t>
      </w:r>
    </w:p>
    <w:p>
      <w:r>
        <w:t>1273. In the absence of information exchanges, couriers must anticipate the strategy of their competitors and propose revaluations consistent with competitive prices, under penalty of losing clients. This threat is all the more credible as shippers, for the most part, entrust their shipments to several couriers, making it possible for them to easily switch providers or threaten to do so (see above).</w:t>
      </w:r>
    </w:p>
    <w:p>
      <w:r>
        <w:t>1274. Thanks to the practices, on the contrary, couriers know the revaluations that their competitors will announce to their clients and can adapt by proposing revaluations of a similar magnitude. Similarly, the company that communicates this price revaluation amount knows that its recipients will take this information into account when setting their own revaluation amounts, for example, by following the communicated pricing strategy. Thus, this systematization of exchanges makes price increases less risky as they are more likely to be followed by competitors and, ultimately, accepted by clients. This aspect is confirmed by the statement of Mr. Jacques B..., former president of Schenker-Joyau: "We discussed because the more information was exchanged, the more we hoped that shippers would accept the requested increases" (reference no. 47968, point 17). Ultimately, the increase in transparency brought about by the practices was therefore likely to raise the level of price revaluations, especially since, as seen above, the exchanges brought together the largest operators in the sector, in a context of low elasticity of overall demand and strong barriers to entry.</w:t>
      </w:r>
    </w:p>
    <w:p>
      <w:r>
        <w:t>1275. TNT believes that the practices could not have had effects on the grounds that its own circulars were sent to clients several weeks before the September meetings of TLF during which information regarding intended price increases was exchanged. However, primarily, it should be recalled that the harm is assessed globally and not based on the particular and individual characteristics of the defendants. Secondarily, the commercial negotiations took place over several months, and TNT therefore received strategic information from its competitors before or during the negotiation period with its clients that could influence their course and outcome. Finally, even if TNT sent its circulars to clients before receiving those of its competitors, the mere fact of knowing that an exchange of circulars would take place was likely to encourage it to raise its prices beyond their competitive level: TNT could thus hope that its competitors would align with its price increases, especially since otherwise, it retained the possibility, during negotiations, to lower the revaluations requested from clients.</w:t>
      </w:r>
    </w:p>
    <w:p>
      <w:r>
        <w:rPr>
          <w:b/>
        </w:rPr>
        <w:t>[Pages 202–204]</w:t>
      </w:r>
    </w:p>
    <w:p>
      <w:r>
        <w:t xml:space="preserve">Sur la surveillance des pratiques  </w:t>
        <w:br/>
        <w:t xml:space="preserve">1276. The companies emphasize the absence of a formalized mechanism for monitoring and retaliation, which is not conducive to ensuring effective coordination and may even have been the source of "deviation" behaviors. DHL notes that it has not been sanctioned for the discrepancy between the actual price increases it obtained and the announced increases, considering this discrepancy as a deviation. Dachser and TNT add that monitoring the rates actually applied is impossible on the ground, even though it is possible to know the announced rates, and observe that the actual increases are systematically different from the announced increases, without participants detecting and sanctioning these "deviations." In this regard, the defendants report a significant dispersion of the increases actually applied. According to TNT, the Mory case, cited as an example of retaliation mechanisms by the investigating services, is in reality just a simple reprimand, the threat of which had little consequence for Mory. Finally, TNT further observes that it has been the subject of numerous attacks from its competitors, including those who participated in the exchanges.  </w:t>
        <w:br/>
        <w:t xml:space="preserve">1277. In fact, given the opacity of the negotiations and their multiplicity, it was not easy for the carriers to control the prices actually negotiated by their competitors with clients. Combined with the countervailing negotiating power of certain clients and the existence of structural overcapacities, this lack of monitoring of the price actually negotiated with clients may have prevented the participants in the agreement from achieving the level of price revaluation initially decided. However, the significance of the argument regarding "deviation" behaviors must be put into perspective.  </w:t>
        <w:br/>
        <w:t xml:space="preserve">1278. Firstly, the discrepancies observed between the actual increases and the announced increases do not demonstrate the absence of effect of the practices, as the price revaluations announced in the circulars and the prices actually negotiated after the exchange of information may differ from those that would have been observed in the absence of such an exchange.  </w:t>
        <w:br/>
        <w:t xml:space="preserve">1279. Secondly, not all clients negotiate the price increases listed in the circulars (paragraph 1263 above), and the increases sent by circulars are then identical to those actually applied.  </w:t>
        <w:br/>
        <w:t xml:space="preserve">1280. Thirdly, the "deviations" mentioned by the defendants concern the negotiation of rates with clients, which is the final stage of the negotiation process. In contrast, the rate increases communicated to competitors during the information exchanges are indeed similar to those in the circulars sent, and this concordance could well have been subject to monitoring, as shown by the reprimand of Mory. Moreover, the fact that an initial deviation by Mory was detected well in advance of the practices, and that Mory was reprimanded, may have been sufficient to discourage subsequent deviations.  </w:t>
        <w:br/>
        <w:t xml:space="preserve">1281. Lastly, regarding the "deviation" invoked by DHL, it is noted that DHL indicated to its competitors as early as the end of September its intention not to request a price revaluation that year. The communication of strategic information to its competitors does not constitute a "deviation" from an announcement made to its competitors.  </w:t>
        <w:br/>
        <w:t xml:space="preserve">En ce qui concerne la nature des informations échangées et effet des pratiques  </w:t>
        <w:br/>
        <w:t xml:space="preserve">1282. Several companies involved believe that the conjunctural effects associated with the practice targeted by the grievance would be limited or non-existent because the information exchanged would be too general and readily available in the market, not concerning the base price of the messaging services but only the amounts of increases and not including other parameters of the commercial negotiation with clients.  </w:t>
        <w:br/>
        <w:t xml:space="preserve">1283. Regarding the "general" nature of the information exchanged, if it consists of an overall rate of price increase without defining the initial prices or the different types of services considered, this information still constitutes the starting point for the annual negotiations between the carriers and their clients and also corresponds to the commercial objectives set by the headquarters of the carriers for their regional agencies. For example, Geodis (Annex 8 of its observations in response to the report) mentions an internal note on the revaluation of sales prices for the year 2008, which sets a target for all regional directors of a "global price effect of + 4.0% on the Messaging offer." This rate of increase thus informs the participants in the exchange of the pricing policy that each of their competitors intends to follow, and its communication was therefore, by nature, likely to influence negotiation strategies. More specifically, by allowing operators to benefit more quickly from the increases defined by their competitors, sometimes before sending their grids, sometimes after, the exchanges of information did indeed allow operators to adjust the magnitude of the increases they would send to their clients (when the information was transmitted before this sending) and to negotiate better on a case-by-case basis (notably when this information was sent afterward). Through these exchanges, an operator could thus "steer" the market in a direction favorable to it, and at little cost since it could then, thanks to the transmission of the circulars sent by its competitors, verify to what extent its competitors had applied its strategy and modify it, if deemed necessary, within the framework of the negotiations. It cannot therefore be considered, as DHL argues, that "the mere indication of a rate in the abstract was perfectly useless." Similarly, it cannot be considered, as Gefco argues, that the information exchanged between competitors was "aggregated": the exchanges concerned individual price increases, that is to say, company by company.  </w:t>
        <w:br/>
        <w:t xml:space="preserve">1284. Regarding the supposed "public" nature of the information exchanged, several defendants believe that, even in the absence of information exchanges, they would have been able to know the announced rates of increase through competitive monitoring, and this within a "very short time frame" (Geodis, reference no. 77917). In fact, the relative transparency of the market is likely to mitigate the effects of the disputed exchanges. However, this circumstance does not alone allow for considering that they were null. Depending on the cases, the exchanges allowed certain operators to know the rates of increase sent by their competitors before their own sending of circulars. Moreover, even when the circulars had been sent to clients before the information exchanges, these exchanges allowed operators to benefit from the rates of increase announced by their competitors early enough during the negotiation to take advantage of them solely for their benefit: indeed, each year, commercial negotiations extend from October to March of the following year while the pricing grids are sent between the end of August and the end of November and the meetings of the Trade Council on intended price increases take place in September. Thus, by allowing a faster, more comprehensive, and more reliable communication of the intended price increases than would have resulted from mere competitive monitoring, the practices enabled operators to better adapt their negotiation strategy. Even if operators had access, through competitive monitoring, to all the circulars of their competitors, the negotiations would then likely have started some time ago, and this information could therefore not have been integrated in the same way, with the same speed and comprehensiveness. Finally, a significant portion of clients (notably the smallest among them) do not negotiate or hardly negotiate after the sending of the circulars: for these clients, the anticipated and systematic exchange of circulars resulted in a price revaluation that was all the higher as the barriers to entry were strong, price elasticity limited, and the agreement gathered the main operators in the sector.  </w:t>
        <w:br/>
        <w:t xml:space="preserve">1285. Chronopost and Exapaq, Dachser, DHL, Gefco, GLS, NDD, and TLF consider that the absence of exchanged information regarding the base price on which the rate of increase is supposed to apply and the multiplicity of prices applicable in the sector prevent the practices from producing significant effects. However, the information communicated was indeed likely to reveal the price evolution targeted by the carriers and to verify to what extent it was followed or not by competitors, even if the prices to which this rate of increase referred differed among carriers. In this regard, in decision no. 05-D-65 "mobile telephony" confirmed by the Paris Court of Appeal (judgment of June 30, 2011, Orange France, no. 2010/12049) and the Court of Cassation (judgment of May 30, 2012, no. 617 F-D), the Competition Council had already indicated that "[w]hat matters, according to the John Deere case law, is not the precision, measured in abstract terms, of the information exchanged but rather the link between the nature of this information and the ability for operators to monitor the impact of their commercial policy, and that of their competitors, on their sales" (paragraph 209 of said decision).  </w:t>
        <w:br/>
        <w:t xml:space="preserve">1286. According to GLS (paragraph 195 and annex 11, page 12), the extent of the practice is limited because "the exchanges of information do not mention or restrict i) the level of prices in absolute value, ii) the quality of services, iii) the number and capacity of trucks, and iv) the payment terms." However, the absence of consultation on these different parameters does not deprive the practices of effects, real or potential. In particular, by focusing on the level of price revaluations of the carriers, the practices have frozen the relative prices of the different operators and thus the competition between them. Moreover, due to structural overcapacities, competition among carriers is primarily price competition and not competition in quality or capacity: the practices have indeed focused on the main dimension of competition among carriers.  </w:t>
        <w:br/>
        <w:t xml:space="preserve">Sur les difficultés rencontrées par le secteur  </w:t>
        <w:br/>
        <w:t xml:space="preserve">1287. According to several defendants, the difficulties encountered by the sector during the practices – decline in outlets, deterioration of the profitability of companies in the sector, restructuring of the sector – would demonstrate the absence of effects of the practices, the market finding itself de facto in a competitive situation (Ziegler, page 77 of his memorandum). TLF also reports a decrease in the gross operating surplus of the sector, both in absolute value and relative to turnover: during the period of the practices, the gross margin rate (EBE/CA) indeed fell from 3% in 2004 to 1.5% in 2010, while the profitability rate of companies (net result/CA) fell from 3% to less than 1% in 2010.  </w:t>
        <w:br/>
        <w:t>1288. However, the decrease in the profitability of the sector, while demonstrating that the practices did not succeed in correcting the unfavorable conjunctural or structural context of the sector, does not attest that the effects of the practice were null or even weak. Indeed, the absence of comparison to a relevant counterfactual does not allow for isolating the price or the level of profitability that would have resulted from the same economic context in the absence of any anticompetitive practice. Moreover, the profitability of the sector analyzed by the parties covers the economic performances of companies that did not participate in the practices. Finally, the crisis experienced by the sector is concentrated mainly in the years 2008 to 2009, a period during which the turnover for the entire sector decreased by about 30% (observations of TLF at the notification of grievances). However, as noted in the Xerfi 2011 study, "the net rebound in activity recorded by the messaging and express freight companies in 2010 will continue in 2011" (reference no. 47671).</w:t>
      </w:r>
    </w:p>
    <w:p>
      <w:r>
        <w:rPr>
          <w:b/>
        </w:rPr>
        <w:t>[Pages 205–207]</w:t>
      </w:r>
    </w:p>
    <w:p>
      <w:r>
        <w:t>On affected clients by the practices</w:t>
      </w:r>
    </w:p>
    <w:p>
      <w:r>
        <w:t>1289. Several defendants, including NDD (Annex 1, page 21) and TNT (Annex 18, page 8), believe that the practices could only have had effects on clients using multiple couriers and on those negotiating the increases applied after receiving the circular (with the exception of major account clients, who are not recipients of the circulars). Gefco and GLS further consider that the practices only concerned a portion of the clientele - namely, the clients who received the circulars - which, according to the Authority's decision-making practice and notably decision no. 14-D-06 regarding practices implemented by Cegedim in the medical information database sector, would tend to limit their scope.</w:t>
      </w:r>
    </w:p>
    <w:p>
      <w:r>
        <w:t>1290. However, the circulars mention the increases desired by the couriers for their entire client portfolio (see paragraph 1282 above). Through these exchanges, the couriers are thus informed of their competitors' objectives, which subsequently influences the negotiations that take place with these major accounts, whether or not they received the circulars. Similarly, clients who only use a single provider are also affected by the practices. Indeed, due to the practices themselves, the competing operators to whom these clients would turn if the revaluation request was deemed too high were aware of the level of revaluation required and could therefore adjust their rates accordingly.</w:t>
      </w:r>
    </w:p>
    <w:p>
      <w:r>
        <w:t>On measuring the actual effects of the practices on prices</w:t>
      </w:r>
    </w:p>
    <w:p>
      <w:r>
        <w:t>1291. Geodis, Chronopost, and Exapaq note that the acceptance rates of the increases obtained (i.e., the price increase actually negotiated compared to the increase presented in the circular) are not higher during the period of the practices than during the preceding or subsequent periods, which they argue tends to demonstrate the absence of an increase in the bargaining power of the couriers due to the exchanges of information.</w:t>
      </w:r>
    </w:p>
    <w:p>
      <w:r>
        <w:t>1292. However, these analyses regarding the acceptance rates of the increases only concern three of the operators involved in the alleged practice, and for Geodis, only data relating to the Île-de-France region and clients who actually renegotiated their rates are studied. The scope of the results obtained is therefore very limited. Furthermore, regarding Chronopost and Exapaq, these analyses do not take into account other factors that could explain the variation in these acceptance rates (such as, for example, the contraction of demand in 2002-2003, and then in 2008-2009). Finally, the results obtained only demonstrate that a significant negotiation occurred after the sending of the circulars: the announced increases having been affected by the practices, at least potentially, the ratios presented are not informative regarding the effect of the practices.</w:t>
      </w:r>
    </w:p>
    <w:p>
      <w:r>
        <w:t>1293. Six companies, Chronopost, Exapaq, Gefco, GLS, Dachser, and TNT, have also each produced an econometric study aimed at estimating the overpricing generated by the practices. These studies, based on individual price data, primarily compare the prices charged during the practices to those charged before and/or after.</w:t>
      </w:r>
    </w:p>
    <w:p>
      <w:r>
        <w:t>1294. In the session before the panel, during the joint presentation of these six econometric estimates, Mr. Damien 15..., a consultant with Charles River Associates, summarized these studies by concluding that they highlighted "the existence of very limited effects on the prices charged." The existence of an effect of the practices on prices, although "limited," is therefore confirmed. However, it should be noted that all of these studies cover, on average, only 39% of the cumulative activity of all participants in the agreement, a share further reduced (to 31%) if the limitations of the data used by TNT and Gefco are taken into account. However, the damage is assessed globally, and the extrapolation of the results obtained from the data of certain competitors to the entire market has very limited value, as indicated by the Competition Council and the Court of Appeal, respectively, in decision no. 09-D-05 (paragraph 138) and in the related ruling (page 9). For these reasons, the econometric estimates of overpricing proposed by the companies that produced them must be dismissed.</w:t>
      </w:r>
    </w:p>
    <w:p>
      <w:r>
        <w:t>Conclusion on the percentage of sales value</w:t>
      </w:r>
    </w:p>
    <w:p>
      <w:r>
        <w:t>1295. Given the assessment made above regarding the severity of the facts and the certain but limited importance of the damage caused to the economy in the affected sector, the Authority will retain, to determine the base amount of the sanction imposed on the companies involved, under the second grievance, a proportion of 9% of the value retained as the basis for the amount of monetary sanctions.</w:t>
      </w:r>
    </w:p>
    <w:p>
      <w:r>
        <w:t>4. ON THE DURATION OF THE COMPANIES' PARTICIPATION IN THE PRACTICES</w:t>
      </w:r>
    </w:p>
    <w:p>
      <w:r>
        <w:t>1296. As indicated above, the duration of the infringement is a relevant factor that should be taken into account in assessing both the severity of the facts and the importance of the damage to the economy. Indeed, the longer an infringement lasts, the more substantial the harm it causes to the free play of competition and the disruption it brings to the functioning of the affected sector, and more generally to the economy, is likely to be.</w:t>
      </w:r>
    </w:p>
    <w:p>
      <w:r>
        <w:t>1297. In the case of infringements that have lasted more than one year, the Authority has committed to taking their duration into account according to the following practical modalities. The proportion retained, to give a numerical translation to the severity of the facts and the importance of the damage to the economy, is applied once, for the first full year of individual participation of each company involved, to the value of its sales during the reference accounting period, and then to half of that value for each of the subsequent full years. Beyond the last full year of participation in the infringement, the remaining period is taken into account on a monthly basis, to the extent that the elements of the file allow it.</w:t>
      </w:r>
    </w:p>
    <w:p>
      <w:r>
        <w:t>1298. In each specific case, this method results in a multiplier coefficient, defined proportionally to the individual duration of participation of each company in the infringement and applied to the proportion of the value of sales made by each of them during the accounting period retained as a reference.</w:t>
      </w:r>
    </w:p>
    <w:p>
      <w:r>
        <w:t>1299. In this case, the individual duration of participation of each company involved has been established in the section relating to the participation of the companies above. The starting point of each company's participation, as evidenced by the evidence on which the Authority qualified the infringement, and the endpoint that ended this participation are, based on the same elements, indicated below.</w:t>
      </w:r>
    </w:p>
    <w:p>
      <w:r>
        <w:t>Table 25 - Dates of participation of companies concerning grievance no. 2</w:t>
      </w:r>
    </w:p>
    <w:p>
      <w:r>
        <w:t>| Company                | Start Date  | End Date    | Resumption Date | Cessation Date |</w:t>
        <w:br/>
        <w:t>|-----------------------|-------------|-------------|-----------------|-----------------|</w:t>
        <w:br/>
        <w:t>| Alloin                | 30/09/2004  | 01/03/2009  | 16/09/2010      | 29/09/2010      |</w:t>
        <w:br/>
        <w:t>| BMVirolle             | 28/09/2006  | 01/03/2007  | 18/09/2008      | 01/03/2010      |</w:t>
        <w:br/>
        <w:t>| Chronopost            | 22/09/2005  |             |                 | 29/09/2010      |</w:t>
        <w:br/>
        <w:t>| Exapaq                | 22/09/2005  |             |                 | 01/03/2010      |</w:t>
        <w:br/>
        <w:t>| Ciblex                | 18/09/2008  | 01/03/2009  |                 | 01/03/2009      |</w:t>
        <w:br/>
        <w:t>| Dachser France        | 30/09/2004  |             |                 | 29/09/2010      |</w:t>
        <w:br/>
        <w:t>| DHL Express France    | 30/09/2004  |             |                 | 01/03/2010      |</w:t>
        <w:br/>
        <w:t>| FedEx Express France   | 28/09/2006  |             |                 | 01/03/2010      |</w:t>
        <w:br/>
        <w:t>| Gefco                 | 30/09/2004  |             |                 | 29/09/2010      |</w:t>
        <w:br/>
        <w:t>| Geodis                | 17/10/2005  |             |                 | 29/09/2010      |</w:t>
        <w:br/>
        <w:t>| GLS France            | 30/09/2004  |             |                 | 29/09/2010      |</w:t>
        <w:br/>
        <w:t>| Heppner               | 30/09/2004  |             |                 | 29/09/2010      |</w:t>
        <w:br/>
        <w:t>| Lambert et Valette    | 30/09/2004  |             |                 | 29/09/2010      |</w:t>
        <w:br/>
        <w:t>| XP France             | 30/09/2004  |             |                 | 29/09/2010      |</w:t>
        <w:br/>
        <w:t>| Norbert Dentressangle Distribution | 21/06/2007 | 01/03/2008 | | 01/03/2008      |</w:t>
        <w:br/>
        <w:t>| Normatrans            | 28/09/2006  |             |                 | 29/09/2010      |</w:t>
      </w:r>
    </w:p>
    <w:p>
      <w:r>
        <w:rPr>
          <w:b/>
        </w:rPr>
        <w:t>[Pages 208–210]</w:t>
      </w:r>
    </w:p>
    <w:p>
      <w:r>
        <w:t xml:space="preserve">Date of  </w:t>
        <w:br/>
        <w:t xml:space="preserve">Date of Date of Date of cessation  </w:t>
        <w:br/>
        <w:t xml:space="preserve">Company Start End End  </w:t>
        <w:br/>
        <w:t xml:space="preserve">of practices  </w:t>
        <w:br/>
        <w:t xml:space="preserve">Schenker-Joyau 30/09/2004 01/03/2009 16/09/2010 29/09/2010 29/09/2010  </w:t>
        <w:br/>
        <w:t xml:space="preserve">TNT Express France 30/09/2004 01/03/2005 28/09/2006 01/03/2009 16/09/2010 29/09/2010  </w:t>
        <w:br/>
        <w:t xml:space="preserve">Transports Henri Ducros 30/09/2004 29/09/2010 29/09/2010  </w:t>
        <w:br/>
        <w:t>Ziegler France 30/09/2004 01/03/2009 16/09/2010 29/09/2010 29/09/2010</w:t>
      </w:r>
    </w:p>
    <w:p>
      <w:r>
        <w:t xml:space="preserve">1300. Given the available elements, the duration of individual participation of each implicated company could be established to the exact day. However, in this case, beyond the full years of participation, the Authority will only consider the complete months of participation.  </w:t>
        <w:br/>
        <w:t xml:space="preserve">Table 26 - Duration of participation of companies in grievance no. 2  </w:t>
        <w:br/>
        <w:t xml:space="preserve">Individual duration of Multiplicative coefficient  </w:t>
        <w:br/>
        <w:t xml:space="preserve">Company participation in the infringement applicable  </w:t>
        <w:br/>
        <w:t xml:space="preserve">Alloin 4 years and 5 months 2.70  </w:t>
        <w:br/>
        <w:t xml:space="preserve">BMVirolle 1 year and 10 months 1.41  </w:t>
        <w:br/>
        <w:t xml:space="preserve">Chronopost 5 years 3  </w:t>
        <w:br/>
        <w:t xml:space="preserve">Exapaq 4 years and 5 months 2.70  </w:t>
        <w:br/>
        <w:t xml:space="preserve">Ciblex 5 months 0.41  </w:t>
        <w:br/>
        <w:t xml:space="preserve">Dachser 5 years and 11 months 3.45  </w:t>
        <w:br/>
        <w:t xml:space="preserve">DHL 5 years and 5 months 3.20  </w:t>
        <w:br/>
        <w:t xml:space="preserve">FedEx 3 years and 5 months 2.20  </w:t>
        <w:br/>
        <w:t xml:space="preserve">Gefco 5 years and 11 months 3.45  </w:t>
        <w:br/>
        <w:t xml:space="preserve">Geodis 4 years and 11 months 2.95  </w:t>
        <w:br/>
        <w:t xml:space="preserve">GLS 5 years and 11 months 3.45  </w:t>
        <w:br/>
        <w:t xml:space="preserve">Heppner 5 years and 11 months 3.45  </w:t>
        <w:br/>
        <w:t xml:space="preserve">Lambert et Valette 5 years and 11 months 3.45  </w:t>
        <w:br/>
        <w:t xml:space="preserve">XP France 5 years and 11 months 3.45  </w:t>
        <w:br/>
        <w:t xml:space="preserve">Norbert Dentressangle 8 months 0.66  </w:t>
        <w:br/>
        <w:t xml:space="preserve">Normatrans 4 years 2.50  </w:t>
        <w:br/>
        <w:t xml:space="preserve">Schenker-Joyau 4 years and 5 months 2.70  </w:t>
        <w:br/>
        <w:t xml:space="preserve">TNT 2 years and 10 months 1.91  </w:t>
        <w:br/>
        <w:t xml:space="preserve">Transports Henri Ducros 5 years and 11 months 3.45  </w:t>
        <w:br/>
        <w:t>Ziegler 4 years and 5 months 2.70</w:t>
      </w:r>
    </w:p>
    <w:p>
      <w:r>
        <w:t xml:space="preserve">5. CONSIDERATION OF UNEQUAL PARTICIPATION BY COMPANIES  </w:t>
        <w:br/>
        <w:t xml:space="preserve">1301. The agreement pursued in the context of the second grievance was constituted and structured around the meetings of the Trade Council, during which the implicated companies exchanged information in the context of regular roundtables. However, these roundtables were sometimes supplemented by bilateral or multilateral contacts allowing a more limited number of companies to exchange sensitive and strategic data directly regarding their future price increases.  </w:t>
        <w:br/>
        <w:t xml:space="preserve">1302. As indicated in paragraph 776 of this decision, according to the jurisprudence of the Court of Justice "Dansk Rørindustri", the liability of a specific company is validly retained when it has participated in meetings with knowledge of their anti-competitive purpose. Its more or less regular attendance at these meetings, the duration of its participation in the agreement, as well as the more or less complete implementation of the agreed measures may have consequences not on the existence of its liability but on the extent of it and thus on the level of the sanction (judgment of the Court of Justice Dansk Rørindustri e.a./Commission, cited, point 145).  </w:t>
        <w:br/>
        <w:t xml:space="preserve">1303. In the very particular circumstances of this case, it appears that certain implicated parties did not participate in any of the bilateral or multilateral contacts outside the meetings of the TLF Trade Council. The companies Norbert Dentressangle, Transports Henri Ducros, Ziegler, Chronopost, Exapaq, Ciblex, Normatrans, FedEx, TNT, and GLS, while they adhered to the agreement by participating notably in the anti-competitive meetings within TLF that constituted its core, did not participate in any of the bilateral or multilateral contacts that supplemented and reinforced the concerted practices.  </w:t>
        <w:br/>
        <w:t xml:space="preserve">1304. The particular situation of these companies will be taken into account by applying a 10% reduction on the base amount of their respective fines.  </w:t>
        <w:br/>
        <w:t xml:space="preserve">Conclusion on the determination of the base amount  </w:t>
        <w:br/>
        <w:t xml:space="preserve">1305. It follows from all of the above that, given the seriousness of the facts and the certain but limited importance of the damage caused to the economy by the practices in question, the base amount of the monetary sanction determined in proportion to the sales of services related to the infringement made by each of the implicated companies, on the one hand, and its individual duration of participation in the practices, on the other hand, is as follows:  </w:t>
        <w:br/>
        <w:t xml:space="preserve">Table 27 - Base amount concerning grievance no. 2 (in euros)  </w:t>
        <w:br/>
        <w:t xml:space="preserve">Consideration of  </w:t>
        <w:br/>
        <w:t xml:space="preserve">Base amount  </w:t>
        <w:br/>
        <w:t xml:space="preserve">Company Base amount participation  </w:t>
        <w:br/>
        <w:t xml:space="preserve">final  </w:t>
        <w:br/>
        <w:t xml:space="preserve">(-10%)  </w:t>
        <w:br/>
        <w:t xml:space="preserve">Alloin 54,352,539 54,352,539  </w:t>
        <w:br/>
        <w:t xml:space="preserve">BMVirolle 4,938,948 4,938,948  </w:t>
        <w:br/>
        <w:t xml:space="preserve">Chronopost 134,177,040 -13,417,704 120,759,336  </w:t>
        <w:br/>
        <w:t xml:space="preserve">Exapaq 60,660,819 -6,066,082 54,594,737  </w:t>
        <w:br/>
        <w:t xml:space="preserve">Ciblex 4,871,649 -487,166 4,384,483  </w:t>
        <w:br/>
        <w:t xml:space="preserve">Dachser France 41,148,392 41,148,391  </w:t>
        <w:br/>
        <w:t xml:space="preserve">DHL Express France 80,963,712 80,963,712  </w:t>
        <w:br/>
        <w:t>FedEx Express France 18,894,348 -1,889,435 17,004,913</w:t>
      </w:r>
    </w:p>
    <w:p>
      <w:r>
        <w:t xml:space="preserve">Consideration of  </w:t>
        <w:br/>
        <w:t xml:space="preserve">Base amount  </w:t>
        <w:br/>
        <w:t xml:space="preserve">Company Base amount participation  </w:t>
        <w:br/>
        <w:t xml:space="preserve">final  </w:t>
        <w:br/>
        <w:t xml:space="preserve">(-10%)  </w:t>
        <w:br/>
        <w:t xml:space="preserve">Gefco 37,682,280 37,682,280  </w:t>
        <w:br/>
        <w:t xml:space="preserve">Geodis 196,062,458 196,062,457  </w:t>
        <w:br/>
        <w:t xml:space="preserve">GLS France 74,381,207 -7,438,122 66,943,085  </w:t>
        <w:br/>
        <w:t xml:space="preserve">Heppner 34,012,791 34,012,791  </w:t>
        <w:br/>
        <w:t xml:space="preserve">Lambert et Valette 6,686,307 6,686,307  </w:t>
        <w:br/>
        <w:t xml:space="preserve">XP France 11,727,585 11,727,585  </w:t>
        <w:br/>
        <w:t xml:space="preserve">Norbert Dentressangle Distribution 10,798,682 -1,079,868 9,718,814  </w:t>
        <w:br/>
        <w:t xml:space="preserve">Normatrans 1,939,500 -193,950 1,745,550  </w:t>
        <w:br/>
        <w:t xml:space="preserve">Schenker-Joyau 68,550,786 68,550,786  </w:t>
        <w:br/>
        <w:t xml:space="preserve">TNT Express France 78,988,394 -7,898,840 71,089,554  </w:t>
        <w:br/>
        <w:t xml:space="preserve">Transports Henri Ducros 5,656,068 -565,607 5,090,461  </w:t>
        <w:br/>
        <w:t xml:space="preserve">Ziegler France 9,138,258 -913,826 8,224,432  </w:t>
        <w:br/>
        <w:t>Total 935,631,761 -39,950,599 895,681,161</w:t>
      </w:r>
    </w:p>
    <w:p>
      <w:r>
        <w:t xml:space="preserve">6. ON THE INDIVIDUALIZATION OF SANCTIONS  </w:t>
        <w:br/>
        <w:t xml:space="preserve">1306. The Authority has committed to adapting the base amounts retained above in light of the legal criterion concerning the individual situation of each of the parties involved, whether they are organizations or companies, belonging if applicable to larger groups.  </w:t>
        <w:br/>
        <w:t xml:space="preserve">1307. To this end, and depending on the elements specific to each case, it may take into account various mitigating or aggravating circumstances characterizing the behavior of each company in the context of the implementation of the infringements in question, as well as other relevant objective elements relating to its individual situation. This consideration may lead to adjusting the sanction both upwards and downwards.  </w:t>
        <w:br/>
        <w:t xml:space="preserve">1308. No element in the file allows for the consideration that any of the implicated companies played a particular role in the design or implementation of the agreement, whether in an aggravating or mitigating sense.  </w:t>
        <w:br/>
        <w:t xml:space="preserve">Conclusion on the determination of the individualized amount  </w:t>
        <w:br/>
        <w:t xml:space="preserve">1309. It follows from all of the above that, given the mitigating and aggravating circumstances, the individualized amount of the monetary sanction per company is identical to the final base amount mentioned in table 27 above.  </w:t>
        <w:br/>
        <w:t xml:space="preserve">7. ON FINAL ADJUSTMENTS  </w:t>
        <w:br/>
        <w:t xml:space="preserve">On the verification of compliance with the legal maximum  </w:t>
        <w:br/>
        <w:t>1310. Article L. 464-2 of the Commercial Code states that "The maximum amount of the sanction is, for a company, 10% of the highest amount of global turnover excluding taxes achieved during one of the fiscal years closed since the fiscal year preceding the one during which the practices were implemented. If the accounts of the concerned company have been consolidated or combined under the applicable texts to its legal form, the turnover</w:t>
      </w:r>
    </w:p>
    <w:p>
      <w:r>
        <w:rPr>
          <w:b/>
        </w:rPr>
        <w:t>[Pages 211–213]</w:t>
      </w:r>
    </w:p>
    <w:p>
      <w:r>
        <w:t>taken into account is the figure appearing in the consolidated or combined accounts of the consolidating or combining company".</w:t>
      </w:r>
    </w:p>
    <w:p>
      <w:r>
        <w:t>1311. Furthermore, III of Article L. 464-2 of the Commercial Code, in its version prior to August 6, 2015, states that in the event of non-contestation of the charges " […] the maximum amount of the sanction incurred is reduced by half".</w:t>
      </w:r>
    </w:p>
    <w:p>
      <w:r>
        <w:t>1312. In the present case, it is noted that the legal ceiling applicable to the company Transports Henri Ducros amounts to 4,249,356 euros (10% of the global turnover excluding VAT achieved as of December 31, 2014). Therefore, the sanction should be capped at this amount.</w:t>
      </w:r>
    </w:p>
    <w:p>
      <w:r>
        <w:t>1313. Regarding the other companies, none of the amounts mentioned in Table 27 above exceeds the respective legal ceiling of the companies involved.</w:t>
      </w:r>
    </w:p>
    <w:p>
      <w:r>
        <w:t>8. ON THE AMOUNT OF SANCTIONS FOR CHARGE NO. 2</w:t>
      </w:r>
    </w:p>
    <w:p>
      <w:r>
        <w:t>1314. In light of all the elements described above, the following amounts are retained, which do not take into account, at this stage, any reductions under leniency procedures and non-contestation of the charges or regarding the contributory capacity of the parties involved.</w:t>
      </w:r>
    </w:p>
    <w:p>
      <w:r>
        <w:t>Table 28 - Amount of the sanction per company for charge no. 2 (in euros)</w:t>
        <w:br/>
        <w:t>Sanction after verification</w:t>
        <w:br/>
        <w:t>Company</w:t>
        <w:br/>
        <w:t>of the legal ceiling</w:t>
        <w:br/>
        <w:t>Alloin 54,352,539</w:t>
        <w:br/>
        <w:t>BMVirolle 4,938,948</w:t>
        <w:br/>
        <w:t>Chronopost 120,759,336</w:t>
        <w:br/>
        <w:t>Exapaq 54,594,737</w:t>
        <w:br/>
        <w:t>Ciblex 4,384,483</w:t>
        <w:br/>
        <w:t>Dachser France 41,148,391</w:t>
        <w:br/>
        <w:t>DHL Express France 80,963,712</w:t>
        <w:br/>
        <w:t>FedEx Express France 17,004,913</w:t>
        <w:br/>
        <w:t>Gefco 37,682,280</w:t>
        <w:br/>
        <w:t>Geodis 196,062,457</w:t>
        <w:br/>
        <w:t>GLS France 66,943,085</w:t>
        <w:br/>
        <w:t>Heppner 34,012,791</w:t>
        <w:br/>
        <w:t>Lambert et Valette 6,686,307</w:t>
        <w:br/>
        <w:t>XP France 11,727,585</w:t>
        <w:br/>
        <w:t>Norbert Dentressangle Distribution 9,718,814</w:t>
        <w:br/>
        <w:t>Normatrans 1,745,550</w:t>
        <w:br/>
        <w:t>Schenker-Joyau 68,550,786</w:t>
        <w:br/>
        <w:t>TNT Express France 71,089,554</w:t>
        <w:br/>
        <w:t>Transports Henri Ducros 4,249,356</w:t>
        <w:br/>
        <w:t>Ziegler France 8,224,432</w:t>
        <w:br/>
        <w:t>Total 894,840,056</w:t>
      </w:r>
    </w:p>
    <w:p>
      <w:r>
        <w:t>D. ON THE METHOD OF DETERMINING SANCTIONS FOR TLF</w:t>
      </w:r>
    </w:p>
    <w:p>
      <w:r>
        <w:t>1315. TLF participated in the practices referred to in charges no. 1 and 2 for the entirety of their respective durations.</w:t>
      </w:r>
    </w:p>
    <w:p>
      <w:r>
        <w:t>1316. Given that TLF, as a representative body of a professional order, does not itself have a turnover or services related to messaging, the Authority considers that its financial sanction should be determined according to modalities specific to the case at hand, as envisaged in the press release of May 16, 2011 (paragraph 7).</w:t>
      </w:r>
    </w:p>
    <w:p>
      <w:r>
        <w:t>1317. The practices referred to in charges no. 1 and 2 having been implemented by TLF and its members, the assessments regarding the seriousness of the facts and the extent of the damage caused to the economy, as set out in paragraphs 1174 to 1191 and 1212 to 1295 above, also apply to TLF.</w:t>
      </w:r>
    </w:p>
    <w:p>
      <w:r>
        <w:t>1318. In view of these assessments, the Authority sets the amount of the sanction at 10,000 euros for the first charge and 130,000 euros for the second charge.</w:t>
      </w:r>
    </w:p>
    <w:p>
      <w:r>
        <w:t>1319. Pursuant to the provisions of I of Article L. 464-2 of the Commercial Code, the maximum sanction applicable is in principle 3,000,000 euros.</w:t>
      </w:r>
    </w:p>
    <w:p>
      <w:r>
        <w:t>1320. This amount being higher than the amounts of the sanctions set by the Authority, the amounts of these sanctions do not need to be reduced on this basis.</w:t>
      </w:r>
    </w:p>
    <w:p>
      <w:r>
        <w:t>E. ON THE TOTAL AMOUNT OF SANCTIONS FOR THE TWO CHARGES AND THE FINAL ADJUSTMENTS</w:t>
      </w:r>
    </w:p>
    <w:p>
      <w:r>
        <w:t>1. ON THE CONSIDERATION OF LENIENCY AND NON-CONTESTATION PROCEDURES</w:t>
      </w:r>
    </w:p>
    <w:p>
      <w:r>
        <w:t>a) Regarding leniency</w:t>
      </w:r>
    </w:p>
    <w:p>
      <w:r>
        <w:t>1321. Companies that reported the practices that led to the notification of the two charges may be granted total or partial immunity from each of the sanctions that will be imposed on them.</w:t>
      </w:r>
    </w:p>
    <w:p>
      <w:r>
        <w:t>Regarding the companies of the Deutsche Bahn group</w:t>
      </w:r>
    </w:p>
    <w:p>
      <w:r>
        <w:t>1322. By minutes dated October 10, 2008, and April 12, 2010, the General Rapporteur of the Competition Council received a request from Deutsche Bahn AG and its subsidiaries, including Schenker AG, Schenker SA, and Schenker-Joyau SAS, requesting the application of a leniency measure in the messaging sector in France based on IV of Article L. 464-2 of the Commercial Code.</w:t>
      </w:r>
    </w:p>
    <w:p>
      <w:r>
        <w:t>1323. By opinions nos. 09-AC-03 and 10-AC-02 dated July 13, 2010, and in accordance with the procedural press releases of April 17, 2007, and March 2, 2009, relating to the French leniency program, paragraphs 13 and following, the Authority noted:</w:t>
      </w:r>
    </w:p>
    <w:p>
      <w:r>
        <w:t>"The company Deutsche Bahn AG reported practices of exchanging sensitive information and coordinating on the levels of price increases for express messaging services, exchanging sensitive information and coordinating on the passing on of the cost of diesel in the price of express messaging services, other exchanges of sensitive information, customer sharing, and market allocation among members of a GIE. If proven, such practices are likely to fall within the scope of Articles L. 420-1 of the Commercial Code, or even within that of Article 101, paragraph 1, TFEU.</w:t>
      </w:r>
    </w:p>
    <w:p>
      <w:r>
        <w:t>The leniency applicant provided a detailed description of the reported practices in addition to identifying the participants, specifying the purpose of the concertation, its geographical scope, its duration, and its implementation modalities. Furthermore, it submitted the following documents in support of its leniency application:</w:t>
        <w:br/>
        <w:t>- emails exchanged between competitors regarding increases in the price of express messaging services;</w:t>
        <w:br/>
        <w:t>- emails from the TLF association or exchanged with it discussing the passing on of the increase in the price of diesel;</w:t>
      </w:r>
    </w:p>
    <w:p>
      <w:r>
        <w:rPr>
          <w:b/>
        </w:rPr>
        <w:t>[Pages 214–216]</w:t>
      </w:r>
    </w:p>
    <w:p>
      <w:r>
        <w:t>- a report of a meeting organized by the express messaging trade council of the TLF association and the minutes of meetings of this same council;</w:t>
        <w:br/>
        <w:t>- emails from several competitors relating to commercially sensitive information exchanges;</w:t>
        <w:br/>
        <w:t>- a note from a telephone conversation concerning a non-aggression pact between competitors;</w:t>
        <w:br/>
        <w:t>- several emails exchanged between competitors aimed at customer sharing;</w:t>
        <w:br/>
        <w:t>- a document showing that the GIE France Express could be the site of exchanges of commercially sensitive information.</w:t>
      </w:r>
    </w:p>
    <w:p>
      <w:r>
        <w:t>1324. The Authority granted the companies Deutsche Bahn AG and its subsidiaries "conditional leniency benefits for its subsidiaries, the companies Schenker AG, Schenker SA, Joyau SA, Schenker-Joyau SAS, and Atlantique Express SAS, with a total exemption from monetary sanctions incurred for the alleged offenses in the French express messaging market, including the single parcel service, and makes the exemption conditional upon the following conditions:</w:t>
        <w:br/>
        <w:t>- Deutsche Bahn AG and its subsidiaries, the companies Schenker AG, Schenker SA, Joyau SA, Schenker-Joyau SAS, and Atlantique Express SAS must provide the Authority with total, ongoing, and prompt cooperation throughout the investigation and instruction procedure and provide any evidence that comes into their possession or that they have regarding the suspected offenses;</w:t>
        <w:br/>
        <w:t>- Deutsche Bahn AG and its subsidiaries, the companies Schenker AG, Schenker SA, Joyau SA, Schenker-Joyau SAS, and Atlantique Express SAS must not have informed other companies that may be implicated in the denounced practices of their leniency application;</w:t>
        <w:br/>
        <w:t>- Deutsche Bahn AG and its subsidiaries, the companies Schenker AG, Schenker SA, Joyau SA, Schenker-Joyau SAS, and Atlantique Express SAS must not have taken measures to coerce other companies into participating in the offenses;</w:t>
        <w:br/>
        <w:t>- Deutsche Bahn AG and its subsidiaries, the companies Schenker AG, Schenker SA, Joyau SA, Schenker-Joyau SAS, and Atlantique Express SAS must, to the extent that they claim to have ceased their participation in the offense, confirm the date (or period) and the terms of this cessation by any means."</w:t>
      </w:r>
    </w:p>
    <w:p>
      <w:r>
        <w:t>1325. Regarding the second condition, no evidence collected allows us to assert that the companies Deutsche Bahn AG and its subsidiaries informed the other implicated companies of their approach, nor disclosed their intention to submit an application, except to other competition authorities.</w:t>
      </w:r>
    </w:p>
    <w:p>
      <w:r>
        <w:t>1326. Regarding the third condition, no evidence collected allows us to establish that the companies Deutsche Bahn AG and its subsidiaries took measures to coerce other companies into participating in the offenses.</w:t>
      </w:r>
    </w:p>
    <w:p>
      <w:r>
        <w:t>1327. Regarding the fourth condition, it results from the notification of grievances and the elements produced by the companies Deutsche Bahn AG and its subsidiaries during the instruction that these companies interrupted their participation in the alleged illegal activities in 2008. They again participated in the suspected offense by attending a Trade Council meeting on September 16, 2010, without informing the investigation services.</w:t>
      </w:r>
    </w:p>
    <w:p>
      <w:r>
        <w:t>1328. Regarding the first condition, which combines a requirement for total, ongoing, and prompt cooperation from the applicant and an obligation to provide any evidence related to the suspected offense, it is necessary to examine compliance with this requirement in light of the factual elements in the file.</w:t>
      </w:r>
    </w:p>
    <w:p>
      <w:r>
        <w:t>1329. As established, Schenker-Joyau resumed its participation in the suspected offense on September 16, 2010, within the framework of the second grievance it had denounced in its leniency application.</w:t>
      </w:r>
    </w:p>
    <w:p>
      <w:r>
        <w:t>1330. However, Schenker-Joyau did not inform the Authority of the existence of this meeting, nor of the content of potentially prohibited exchanges, nor of the company's participation in this meeting in the context of the second grievance.</w:t>
      </w:r>
    </w:p>
    <w:p>
      <w:r>
        <w:t>1331. Schenker-Joyau does not dispute having participated in this meeting. However, the company claims that Mr. Patrick 16..., its representative, would have left the room to make a phone call at the very moment when anti-competitive exchanges were taking place, which would have deprived him of knowledge of such exchanges.</w:t>
      </w:r>
    </w:p>
    <w:p>
      <w:r>
        <w:t>1332. Schenker-Joyau adds that in any case, Mr. Patrick 16...'s lack of reaction is a matter of negligence and cannot in any case constitute a breach of the company's obligations.</w:t>
      </w:r>
    </w:p>
    <w:p>
      <w:r>
        <w:t>1333. But Schenker-Joyau provides no evidence to support its claim that Mr. Patrick 16... left the meeting at the disputed moment.</w:t>
      </w:r>
    </w:p>
    <w:p>
      <w:r>
        <w:t>1334. Furthermore, the first condition imposed on Schenker-Joyau required it to provide any evidence related to the suspected offense that it came to possess during the procedure. Therefore, it matters little whether any potential breach of this obligation was intentional or due to negligence on the part of the company: an applicant for leniency must, in order to retain the benefit of the total exemption granted conditionally, ensure strict compliance with the conditions of the leniency notice at all times.</w:t>
      </w:r>
    </w:p>
    <w:p>
      <w:r>
        <w:t>1335. It follows that Schenker-Joyau did not fully comply with the first condition imposed on it. However, the practice of the Authority, as well as that of the Council before it, is to condition the effective granting of the monetary sanction exemption contemplated in its leniency notices on the requirement that the applicant actively cooperates throughout the entire investigation and instruction procedure, including providing the Authority with any evidence related to the suspected offense that comes into its possession during the instruction. Article L. 464-2 of the Commercial Code indeed considers the leniency procedure as an active and voluntary contribution from companies or organizations that have participated in agreements, not only to their detection by the Authority, through the production of evidence, but also, downstream, to the instruction of the case by the investigation services and, ultimately, to the finding, by the board, of the reality of the prohibited practice. In practice, the obligation to "contribute to establishing the reality of the prohibited practice and identifying its authors, by providing information that the Authority did not previously possess" imposes on the applicant the duty to cooperate with the Authority up to the hearing and, in particular, to provide it with any evidence related to the suspected offense that it comes to possess, including after the issuance of the leniency notice.</w:t>
      </w:r>
    </w:p>
    <w:p>
      <w:r>
        <w:t>1336. This obligation of total, ongoing, and prompt cooperation, which is also found in the model program of the European Competition Network on leniency and in the jurisprudence of the Union (see, for example, the judgment of the Court in Elf Aquitaine/Commission, cited above, paragraph 342, and the cited jurisprudence, and of September 9, 2011, Deltafina/Commission, case T-12/06, paragraphs 123 to 134, and the cited jurisprudence), is reiterated in the procedural communications of April 17, 2007, and March 2, 2009, mentioned above. These particularly emphasize that the cooperation expected from the applicant must be "genuine, total, ongoing, and prompt from the submission of the application and throughout the investigation and instruction procedure" (respectively paragraphs 20 and 21). They also remind that this obligation must be respected "in all cases" and that it "entitles to total or partial exemption" from monetary sanctions (same paragraphs).</w:t>
      </w:r>
    </w:p>
    <w:p>
      <w:r>
        <w:t>1337. In this case, the failure to comply with the obligation to provide any evidence related to the suspected offense did not prevent, delay, or make it more difficult to establish and characterize the facts and responsibilities by the investigation services.</w:t>
      </w:r>
    </w:p>
    <w:p>
      <w:r>
        <w:t>1338. In light of the circumstances of the case, the Authority will maintain the total exemption from sanctions for the first grievance. Noting that Schenker-Joyau cannot benefit from total exemption for the second grievance, the Authority will impose a sanction of 3,000,000 euros on the company in this regard.</w:t>
      </w:r>
    </w:p>
    <w:p>
      <w:r>
        <w:t>Regarding the company Alloin Transports</w:t>
      </w:r>
    </w:p>
    <w:p>
      <w:r>
        <w:t>1339. Following the leniency application of the company Alloin Transports, recorded by minutes on October 5, 2010, the Authority issued a conditional leniency notice No. 11-AC-03.</w:t>
      </w:r>
    </w:p>
    <w:p>
      <w:r>
        <w:t>1340. By this notice, which acknowledges that it is the second leniency applicant, the Authority recognized Alloin Transports, in relation to practices consisting of exchanges of commercially sensitive information and meetings between various players in the traditional, rapid, and express messaging sector, notably through TLF, the benefit "of a partial fine exemption ranging from 20% to 30%."</w:t>
      </w:r>
    </w:p>
    <w:p>
      <w:r>
        <w:t>1341. This partial exemption is subject to the following conditions:</w:t>
        <w:br/>
        <w:t>"Alloin must have effectively ceased its participation in the alleged illegal activities;</w:t>
        <w:br/>
        <w:t>Alloin must not have taken measures to coerce other companies into participating in an offense;</w:t>
        <w:br/>
        <w:t>Alloin must not have informed other cartel members of the leniency procedure;</w:t>
        <w:br/>
        <w:t>Alloin must provide the Authority with genuine, total, ongoing, and prompt cooperation throughout the investigation and instruction procedure, which means in particular:</w:t>
        <w:br/>
        <w:t>- providing any evidence that comes into its possession or that it has regarding the suspected offenses;</w:t>
        <w:br/>
        <w:t>- promptly providing all information and all evidence that comes into its possession or that it can provide regarding the alleged agreement;</w:t>
        <w:br/>
        <w:t>- being available to respond quickly to any request from the Authority aimed at contributing to establishing the facts in question;</w:t>
        <w:br/>
        <w:t>- making itself available for questioning its legal representatives and current employees, as well as, to the extent possible, its former legal representatives and employees;</w:t>
      </w:r>
    </w:p>
    <w:p>
      <w:r>
        <w:rPr>
          <w:b/>
        </w:rPr>
        <w:t>[Pages 217–219]</w:t>
      </w:r>
    </w:p>
    <w:p>
      <w:r>
        <w:t>- refrain from destroying, falsifying, or concealing information or evidence relevant to the alleged agreement."</w:t>
      </w:r>
    </w:p>
    <w:p>
      <w:r>
        <w:t>1342. Alloin Transports has complied with all obligations set forth in its leniency application. In particular, throughout the investigation, the applicant responded to requests for information from the investigative services. This information allowed for the verification of practices that had been previously reported by the initial leniency applicant. Furthermore, the employees of Alloin Transports and those of the Kuehne+Nagel group responded to various hearings and contact requests from the Authority's services.</w:t>
      </w:r>
    </w:p>
    <w:p>
      <w:r>
        <w:t>1343. In its observations, Alloin Transports believes that, given its status as the second leniency applicant and, above all, the added value resulting from the statements and documents provided, the partial exemption rate that should be granted to it should not be less than 30%.</w:t>
      </w:r>
    </w:p>
    <w:p>
      <w:r>
        <w:t>1344. Alloin Transport also argues that it should be eligible for total exemption for the period from September 2007 to September 2010 on the grounds that it revealed the continuation of practices beyond the duration mentioned by the first leniency applicant. It adds that it enabled the investigative services to notify grievances to companies that had not been reported by the first leniency applicant, namely BMVirolle, Transports Peronnet, and Darfeuille Services. According to it, the Authority should reassess their fine reduction taking into account "exceptional mitigating circumstances."</w:t>
      </w:r>
    </w:p>
    <w:p>
      <w:r>
        <w:t>1345. Regarding the request for total exemption for the period from September 2007 to September 2010 or their request to take into account their revelations about the participation of three companies, it should be recalled that the companies of the Kuehne+Nagel group submitted their leniency application after the inspection and seizure operations. These operations led to the discovery of evidence relating to the duration of the practices and the participation of the companies mentioned by the Kuehne+Nagel group. These documents are included in the file:</w:t>
        <w:br/>
        <w:t>- regarding the duration of the practices until September 2010: several documents seized on September 29, 2010, show that exchanges between the implicated parties occurred at least until that date, for example, a document found in the premises of Dachser dated September 1, 2010 (reference no. 2719) and notes seized within the company Heppner relating to a Trade Council meeting on September 16, 2010 (references nos. 1014 to 1016);</w:t>
        <w:br/>
        <w:t>- the same applies to the participation of Darfeuille Services (identified in a document seized at TLF regarding, for example, the 2007-2008 pricing campaign, references nos. 55252 to 55260), Transports Peronnet, and BMVirolle (see, for example, regarding the 2006-2007 pricing campaign, handwritten notes seized at TNT, reference no. 1431, showing exchanges between the companies during a Trade Council meeting on September 28, 2006, which BMVirolle and Transports Peronnet attended, see also reference no. 3828).</w:t>
      </w:r>
    </w:p>
    <w:p>
      <w:r>
        <w:t>1346. The investigative services therefore had this information before it was revealed by the companies of the Kuehne+Nagel group.</w:t>
      </w:r>
    </w:p>
    <w:p>
      <w:r>
        <w:t>1347. Consequently, their request for reassessment of their fine reduction, based on the content of their leniency application, cannot be accepted.</w:t>
      </w:r>
    </w:p>
    <w:p>
      <w:r>
        <w:t>1348. Alloin Transports and the Kuehne+Nagel group constituted an economic unit at the time of the leniency application and jointly provided the decisive evidence to benefit from partial exemption. They can therefore benefit, as a single entity, from the advantages provided by the leniency program.</w:t>
      </w:r>
    </w:p>
    <w:p>
      <w:r>
        <w:t>1349. In light of all the above, particularly the degree of added value of the documents provided and the timing of the leniency application, a monetary sanction reduction of 30% is granted to the Kuehne+Nagel group.</w:t>
      </w:r>
    </w:p>
    <w:p>
      <w:r>
        <w:t>b) On the consideration of the non-contestation of grievances</w:t>
      </w:r>
    </w:p>
    <w:p>
      <w:r>
        <w:t>Reminder of principles</w:t>
      </w:r>
    </w:p>
    <w:p>
      <w:r>
        <w:t>1350. III of Article L. 464-2 of the Commercial Code, in its version prior to August 6, 2015, allows the general rapporteur to propose to the Authority to take into account, in the determination of the sanction, the fact that a company or organization chooses not to contest the grievances that have been notified to it. The general rapporteur may also propose to take into account the fact that the interested party commits to modifying its behavior for the future.</w:t>
      </w:r>
    </w:p>
    <w:p>
      <w:r>
        <w:t>1351. The waiver to contest the grievances, which primarily serves to lighten and expedite the investigative work, particularly by relieving the investigative services from drafting a report when it is done by all the implicated companies, cannot lead to granting the interested parties only a relatively limited reduction of sanction. It is, where applicable, the nature and quality of the commitments presented that may allow for a greater reduction of sanction (decisions no. 07-D-21 of the Council of June 26, 2007, regarding practices implemented in the linen rental-maintenance sector, paragraph 129, no. 08-D-13 of June 11, 2008, regarding practices identified in the routine maintenance of premises sector, paragraph 99, and no. 09-D-05 of February 2, 2009, regarding practices implemented in the temporary work sector, paragraph 155).</w:t>
      </w:r>
    </w:p>
    <w:p>
      <w:r>
        <w:t>1352. The Authority's role, in this case, is primarily to ensure the credibility, substance, and verifiability of the proposed behavioral modifications by the company to avoid future violations of competition (ruling of the Paris Court of Appeal of October 11, 2012, cited above, pages 71 and 72) and more generally of the commitments envisaged for this purpose.</w:t>
      </w:r>
    </w:p>
    <w:p>
      <w:r>
        <w:t>1353. This is particularly the case for commitments to establish or improve a compliance program with competition rules (see, on this point, decisions no. 07-D-21 of June 26, 2007, cited above, paragraph 132, no. 08-D-13 of June 11, 2008, cited above, paragraphs 101 to 106, and no. 09-D-05 of February 2, 2009, cited above, paragraphs 156, 157, 159, and 160).</w:t>
      </w:r>
    </w:p>
    <w:p>
      <w:r>
        <w:t>1354. The Authority's practice has been synthesized and clarified in the framework document on compliance programs with competition rules published on February 10, 2012. This document recalls that it is the duty of economic actors, and indeed in their interest, to take all possible measures to conduct their activity in compliance with competition rules and to prevent possible violations of these rules. The Authority also considers that the establishment of an effective compliance program can play a key role in this regard, provided that this program is then effectively implemented. It therefore encourages companies to adopt such programs.</w:t>
      </w:r>
    </w:p>
    <w:p>
      <w:r>
        <w:t>1355. The framework document also emphasizes that, while there are no standard compliance programs, they benefit from being designed based on a concrete analysis of the specific characteristics of the company or organization implementing them. Certain elements nonetheless condition their effectiveness, helping the organization or company concerned to prevent the risks of infringement of competition rules, on the one hand, and to draw the consequences of cases of infringements that could not be avoided, on the other hand. It is therefore in light of these elements, which may take on variable forms and modalities on a case-by-case basis, that the Authority has committed to assessing the substantial, credible, and verifiable nature of the proposals for commitments to establish or improve a compliance program presented to it in the context of the non-contestation of grievances procedure.</w:t>
      </w:r>
    </w:p>
    <w:p>
      <w:r>
        <w:t>1356. When the Authority accepts commitments, it makes them mandatory in the decision it adopts at the end of the procedure. It may naturally be led to ensure their effective implementation subsequently.</w:t>
      </w:r>
    </w:p>
    <w:p>
      <w:r>
        <w:t>Cumulative implementation of III and IV of Article L. 464-2 of the Commercial Code</w:t>
      </w:r>
    </w:p>
    <w:p>
      <w:r>
        <w:t>1357. The leniency procedure provided for in IV of Article L. 464-2 of the Commercial Code aims to allow a company that participates with others in an anticompetitive practice to reveal the infringement and contribute to its establishment in exchange for total or partial exemption from sanction.</w:t>
      </w:r>
    </w:p>
    <w:p>
      <w:r>
        <w:t>1358. The leniency procedure and the non-contestation of grievances procedure therefore pursue distinct objectives. The coexistence of these two procedures does not exclude the possibility for the general rapporteur to propose to the Authority to take into account the fact that a company or organization that has submitted a leniency application subsequently waives contesting the grievances that would have been notified to it in the meantime.</w:t>
      </w:r>
    </w:p>
    <w:p>
      <w:r>
        <w:t>1359. Point 6 of the procedural notice regarding the non-contestation of grievances mentioned above indicates this possibility of combined implementation of the leniency and non-contestation of grievances procedures "when the Authority considers that the expected procedural gains from such a combination are sufficient."</w:t>
      </w:r>
    </w:p>
    <w:p>
      <w:r>
        <w:t>1360. This same point identifies a non-exhaustive list of criteria that may entitle one to such a combination and has thus specified: "This is particularly the case when the scope of the grievances notified to the organization or company in question differs on one or more important point(s) from the agreement as described by the interested party in its leniency application, in light of all the information and evidence it had or could have."</w:t>
      </w:r>
    </w:p>
    <w:p>
      <w:r>
        <w:t>1361. In its decision no. 11-D-17 of December 8, 2011, regarding practices implemented in the laundry sector, the Authority noted that such differences could particularly relate to the material scope of the notified grievances (for example, because they involve a horizontal agreement concerning price fixing and customer allocation while the leniency applicant only mentioned the first aspect), their temporal scope (for example, because they relate to a period prior to or subsequent to that mentioned by the applicant), the involvement of companies (for example, because they consider that an agreement presented as regional by the applicant actually extends to the entire French territory), or even their personal scope (for example, because they involve the liability of the parent company of the leniency applicant). In all these cases, the general rapporteur may consider that a waiver to contest the grievances by a leniency applicant is of interest for the further processing of the case, and thus implement this procedure (paragraph 773 of decision no. 11-D-17).</w:t>
      </w:r>
    </w:p>
    <w:p>
      <w:r>
        <w:rPr>
          <w:b/>
        </w:rPr>
        <w:t>[Pages 220–222]</w:t>
      </w:r>
    </w:p>
    <w:p>
      <w:r>
        <w:t>1362. This combined implementation must therefore be based on a case-by-case assessment of the file, its context, and the procedural gains generated by the accumulation of the two procedures in question.</w:t>
      </w:r>
    </w:p>
    <w:p>
      <w:r>
        <w:t>Application to the case at hand</w:t>
      </w:r>
    </w:p>
    <w:p>
      <w:r>
        <w:t>Regarding the company Dachser</w:t>
      </w:r>
    </w:p>
    <w:p>
      <w:r>
        <w:t>1363. By a report signed on September 3, 2014, the company Dachser requested the benefit of the procedure for not contesting the grievances and committed to taking measures to improve its current compliance program.</w:t>
      </w:r>
    </w:p>
    <w:p>
      <w:r>
        <w:t>1364. The proposals for improving the current program notably include a warning mechanism with an audit every two years, an expanded scope of commitments to include other activities of Dachser, and the establishment of compliance program managers and mandatory training on competition law.</w:t>
      </w:r>
    </w:p>
    <w:p>
      <w:r>
        <w:t>1365. All of these commitments are substantial, credible, and verifiable and represent added value compared to the existing program. The Authority particularly notes that the implementation of specific measures for professional associations and sanctions included in employment contracts constitutes efforts that should be valued.</w:t>
      </w:r>
    </w:p>
    <w:p>
      <w:r>
        <w:t>1366. It is therefore appropriate to grant the company Dachser a reduction of 19% of the amount of its sanction under the procedure for not contesting the grievances.</w:t>
      </w:r>
    </w:p>
    <w:p>
      <w:r>
        <w:t>Regarding the company TNT</w:t>
      </w:r>
    </w:p>
    <w:p>
      <w:r>
        <w:t>1367. By a report signed on September 23, 2014, the company TNT Express France requested the benefit of the procedure for not contesting the grievances and committed to taking measures to improve its current compliance program.</w:t>
      </w:r>
    </w:p>
    <w:p>
      <w:r>
        <w:t>1368. The proposals for improving the current program notably include strengthening the pre-existing warning mechanism, extending the program to all activities of TNT Express France, and establishing compliance program managers and mandatory training on competition law.</w:t>
      </w:r>
    </w:p>
    <w:p>
      <w:r>
        <w:t>1369. All of these commitments are substantial, credible, and verifiable and represent added value compared to the existing program. The Authority particularly notes that the implementation of specific measures for professional associations constitutes an effort that should be valued.</w:t>
      </w:r>
    </w:p>
    <w:p>
      <w:r>
        <w:t>1370. It is therefore appropriate to grant the company TNT Express France a reduction of 18% of the amount of its sanction under the procedure for not contesting the grievances.</w:t>
      </w:r>
    </w:p>
    <w:p>
      <w:r>
        <w:t>Regarding the company Gefco</w:t>
      </w:r>
    </w:p>
    <w:p>
      <w:r>
        <w:t>1371. By reports signed on September 29, 2014, and October 2, 2014, the companies Peugeot and Gefco requested the benefit of the procedure for not contesting the grievances and committed to taking measures to improve their current compliance program.</w:t>
      </w:r>
    </w:p>
    <w:p>
      <w:r>
        <w:t>1372. The proposals for improving the current program notably include a warning mechanism with an audit every two years, an expanded scope of commitments to include all activities of Gefco with an extension to Peugeot's activities, the establishment of compliance program managers and mandatory training on competition law, and finally the possibility of sanctions in the internal regulations.</w:t>
      </w:r>
    </w:p>
    <w:p>
      <w:r>
        <w:t>1373. All of these commitments are substantial, credible, and verifiable and represent added value compared to the existing program. The Authority particularly notes that the implementation of specific measures for professional associations and sanctions included in employment contracts constitutes efforts that should be valued.</w:t>
      </w:r>
    </w:p>
    <w:p>
      <w:r>
        <w:t>1374. It is therefore appropriate to grant the companies Peugeot and Gefco a reduction of 19% of the amount of their sanction under the procedure for not contesting the grievances.</w:t>
      </w:r>
    </w:p>
    <w:p>
      <w:r>
        <w:t>Regarding the company Alloin</w:t>
      </w:r>
    </w:p>
    <w:p>
      <w:r>
        <w:t>1375. By a report signed on October 2, 2014, the companies Kuehne+Nagel and Alloin, which are already benefiting from the leniency procedure, requested the benefit of the procedure for not contesting the grievances and committed to taking commitments to improve their current compliance program.</w:t>
      </w:r>
    </w:p>
    <w:p>
      <w:r>
        <w:t>1376. Firstly, there is a real procedural gain in granting the request made by Kuehne+Nagel and Alloin. The Authority particularly notes that the grievances notified to the companies in question differ on several points, notably regarding their duration, scope, and nature, from practices denounced by the company in the context of its leniency requests in light of all the information and evidence that Alloin could have. Therefore, it is appropriate to grant the request made by Kuehne+Nagel and Alloin pursuant to III of Article L. 464-2 of the Commercial Code.</w:t>
      </w:r>
    </w:p>
    <w:p>
      <w:r>
        <w:t>1377. Secondly, the proposals for improving the current program notably include a total extension of this program to the French subsidiaries.</w:t>
      </w:r>
    </w:p>
    <w:p>
      <w:r>
        <w:t>1378. All of these commitments are substantial, credible, and verifiable and represent added value compared to the existing program.</w:t>
      </w:r>
    </w:p>
    <w:p>
      <w:r>
        <w:t>1379. It is therefore appropriate to grant the companies Kuehne+Nagel and Alloin a reduction of 16% of the amount of their sanction under the procedure for not contesting the grievances.</w:t>
      </w:r>
    </w:p>
    <w:p>
      <w:r>
        <w:t>Regarding the company GLS</w:t>
      </w:r>
    </w:p>
    <w:p>
      <w:r>
        <w:t>1380. By a report signed on October 9, 2014, the company GLS requested the benefit of the procedure for not contesting the grievances and committed to taking measures to improve its current compliance program.</w:t>
      </w:r>
    </w:p>
    <w:p>
      <w:r>
        <w:t>1381. The proposals for improving the current program notably include strengthening the pre-existing warning mechanism with an audit every two years on certain activities, an expanded scope of commitments to include all activities, the establishment of compliance program managers and mandatory training on competition law, and finally the possibility of sanctions in the internal regulations.</w:t>
      </w:r>
    </w:p>
    <w:p>
      <w:r>
        <w:t>1382. All of these commitments are substantial, credible, and verifiable and represent added value compared to the existing program. The Authority particularly notes that the implementation of specific measures for professional associations constitutes an effort that should be valued.</w:t>
      </w:r>
    </w:p>
    <w:p>
      <w:r>
        <w:t>1383. It is therefore appropriate to grant the company GLS a reduction of 18% of the amount of its sanction under the procedure for not contesting the grievances.</w:t>
      </w:r>
    </w:p>
    <w:p>
      <w:r>
        <w:t>Regarding the companies La Poste, Chronopost, and Exapaq</w:t>
      </w:r>
    </w:p>
    <w:p>
      <w:r>
        <w:t>1384. By a report signed on September 15, 2014, the companies La Poste, Chronopost, and Exapaq requested the benefit of the procedure for not contesting the grievances and committed to taking measures to improve the compliance program under construction within the La Poste group.</w:t>
      </w:r>
    </w:p>
    <w:p>
      <w:r>
        <w:t>1385. The proposals for improving this program notably include a warning mechanism aimed at preventing violations of competition rules with the establishment of a Geopost audit every three years, an expanded scope of commitments, not to the entirety, but to several companies of the La Poste group, the establishment of compliance program managers and mandatory training on competition law, and finally the possibility of sanctions in the internal regulations of the Geopost branch companies.</w:t>
      </w:r>
    </w:p>
    <w:p>
      <w:r>
        <w:t>1386. All of these commitments are substantial, credible, and verifiable and represent added value compared to the existing program. The Authority particularly notes that the implementation of specific measures for professional associations constitutes an effort that should be valued.</w:t>
      </w:r>
    </w:p>
    <w:p>
      <w:r>
        <w:t>1387. It is therefore appropriate to grant the companies La Poste, Chronopost, and Exapaq a reduction of 18% of the amount of their sanction under the procedure for not contesting the grievances.</w:t>
      </w:r>
    </w:p>
    <w:p>
      <w:r>
        <w:t>2. ON THE JOINT LIABILITY OF PARENT COMPANIES</w:t>
      </w:r>
    </w:p>
    <w:p>
      <w:r>
        <w:t>1388. The parent companies Kuehne+Nagel Road, Kuehne+Nagel International AG, EPIC SNCF, La Poste, Royal Mail, and Norbert Dentressangle will be jointly liable for payment only for the duration during which they held their respective subsidiaries during the practices.</w:t>
      </w:r>
    </w:p>
    <w:p>
      <w:r>
        <w:t>3. ON THE FINANCIAL SITUATION OF THE COMPANIES</w:t>
      </w:r>
    </w:p>
    <w:p>
      <w:r>
        <w:t>1389. Regarding the elements specific to the situation of each company or organization involved, the Authority has ultimately committed to assessing the particular financial difficulties that may reduce the contributory capacity that the parties claim to exist, according to the practical modalities indicated in the aforementioned press release of May 16, 2011.</w:t>
      </w:r>
    </w:p>
    <w:p>
      <w:r>
        <w:t>1390. The assessment of the contributory capacity of the companies takes into account, for the companies concerned, the sanctions imposed for the two grievances.</w:t>
      </w:r>
    </w:p>
    <w:p>
      <w:r>
        <w:t>1391. In the letters notifying the report to the parties dated April 20, 2015, the investigation services invited all the parties involved to provide any documents justifying any financial difficulties that could impact their contributory capacity. It is indeed up to the company to justify the existence of such difficulties based on reliable, complete, and objective evidence attesting to their reality and their concrete consequences on its contributory capacity (see, in this sense, judgment of the Paris Court of Appeal of October 11, 2012, page 73).</w:t>
      </w:r>
    </w:p>
    <w:p>
      <w:r>
        <w:t>1392. In this regard, several companies have invoked the existence of particular financial difficulties that they believe limit their contributory capacity.</w:t>
      </w:r>
    </w:p>
    <w:p>
      <w:r>
        <w:t>1393. Regarding Ciblex, the examination of the financial and accounting elements it provided in support of its request leads the Authority to conclude that they constitute reliable, complete, and objective evidence attesting to the existence of particular and current financial difficulties affecting its ability to pay the sanction that the Authority intends to impose on it, as indicated in Table 28 above. It is therefore appropriate to reduce its sanction from 4,384,000 euros to 250,000 euros for grievance no. 2.</w:t>
      </w:r>
    </w:p>
    <w:p>
      <w:r>
        <w:rPr>
          <w:b/>
        </w:rPr>
        <w:t>[Pages 223–225]</w:t>
      </w:r>
    </w:p>
    <w:p>
      <w:r>
        <w:t>1394. Regarding Heppner, the examination of the financial and accounting elements it provided in support of its application leads the Authority to conclude that they constitute reliable, complete, and objective evidence attesting to the existence of particular and current financial difficulties affecting its ability to pay the sanction that the Authority intends to impose on it, as indicated in table 22 and table 28 above. Therefore, it is appropriate to reduce the amount of its sanction from 34,112,000 euros to 3,000,000 euros, distributed as follows: 100,000 euros for infringement no. 1 and 2,900,000 euros for infringement no. 2.</w:t>
      </w:r>
    </w:p>
    <w:p>
      <w:r>
        <w:t>1395. Regarding Lambert and Valette, the examination of the financial and accounting elements they provided in support of their application leads the Authority to conclude that they constitute reliable, complete, and objective evidence attesting to the existence of particular and current financial difficulties affecting their ability to pay the sanction that the Authority intends to impose on them, as indicated in table 22 and table 28 above. Therefore, it is appropriate to reduce the amount of their sanction from 6,736,000 euros to 500,000 euros, distributed as follows: 50,000 euros for infringement no. 1 and 450,000 euros for infringement no. 2.</w:t>
      </w:r>
    </w:p>
    <w:p>
      <w:r>
        <w:t>1396. Regarding XP France, the examination of the financial and accounting elements it provided in support of its application leads the Authority to conclude that they constitute reliable, complete, and objective evidence attesting to the existence of particular and current financial difficulties affecting its ability to pay the sanction that the Authority intends to impose on it, as indicated in table 22 and table 28 above. Therefore, it is appropriate to reduce the amount of its sanction from 11,827,000 euros to 900,000 euros, distributed as follows: 100,000 euros for infringement no. 1 and 800,000 euros for infringement no. 2.</w:t>
      </w:r>
    </w:p>
    <w:p>
      <w:r>
        <w:t>1397. Regarding Transport Henri Ducros, the examination of the financial and accounting elements it provided in support of its application leads the Authority to conclude that they constitute reliable, complete, and objective evidence attesting to the existence of particular and current financial difficulties affecting its ability to pay the sanction that the Authority intends to impose on it, as indicated in table 22 and table 28 above. Therefore, it is appropriate to reduce the amount of its sanction from 4,299,000 euros to 300,000 euros, distributed as follows: 50,000 euros for infringement no. 1 and 250,000 euros for infringement no. 2.</w:t>
      </w:r>
    </w:p>
    <w:p>
      <w:r>
        <w:t>1398. Regarding Ziegler, the examination of the financial and accounting elements it provided in support of its application leads the Authority to conclude that they constitute reliable, complete, and objective evidence attesting to the existence of particular and current financial difficulties affecting its ability to pay the sanction that the Authority intends to impose on it, as indicated in table 22 and table 28 above. Therefore, it is appropriate to reduce the amount of its sanction from 8,226,000 euros to 10,000 euros, distributed as follows: 2,000 euros for infringement no. 1 and 8,000 euros for infringement no. 2.</w:t>
      </w:r>
    </w:p>
    <w:p>
      <w:r>
        <w:t>1399. Regarding TLF, the examination of the financial and accounting elements it provided in support of its application leads the Authority to conclude that they constitute reliable, complete, and objective evidence attesting to the existence of particular and current financial difficulties affecting its ability to pay the sanction that the Authority intends to impose on it, as indicated in paragraph 1318 above. Therefore, it is appropriate to reduce the amount of its sanction from 140,000 euros to 30,000 euros, distributed as follows: 2,000 euros for infringement no. 1 and 28,000 euros for infringement no. 2.</w:t>
      </w:r>
    </w:p>
    <w:p>
      <w:r>
        <w:t>1400. Regarding GLS BV, Royal Mail Group Limited, and Royal Mail plc (together the "Royal Mail Group"), the examination of the financial and accounting elements provided in support of their application does not establish the existence of particular and current financial difficulties affecting their ability to pay the sanction that the Authority intends to impose on them, as indicated in tables 22 and 28 above.</w:t>
      </w:r>
    </w:p>
    <w:p>
      <w:r>
        <w:t>4. ON THE FINAL AMOUNT OF SANCTIONS IMPOSED ON THE ENTITIES IN QUESTION FOR INFRINGEMENT NO. 1 AND INFRINGEMENT NO. 2 (IN EUROS)</w:t>
      </w:r>
    </w:p>
    <w:p>
      <w:r>
        <w:t>Table 29</w:t>
        <w:br/>
        <w:t>Jointly for the Sanction</w:t>
        <w:br/>
        <w:t>Infringement no. 1 Jointly for Infringement no. 2</w:t>
        <w:br/>
        <w:t>Entity infringement no. 2 and pro rata total</w:t>
        <w:br/>
        <w:t>(in euros) for infringement no. 1 (in euros)</w:t>
        <w:br/>
        <w:t>the duration of participation (in euros)</w:t>
        <w:br/>
        <w:t>Companies</w:t>
        <w:br/>
        <w:t>Jointly with</w:t>
        <w:br/>
        <w:t>Kuehne+Nagel Road up to</w:t>
        <w:br/>
        <w:t>12,213,000 euros and with</w:t>
        <w:br/>
        <w:t>Alloin Holding 58,000 31,959,000 32,017,000</w:t>
        <w:br/>
        <w:t>Kuehne+Nagel International</w:t>
        <w:br/>
        <w:t>AG up to 1,353,000</w:t>
        <w:br/>
        <w:t>euros</w:t>
        <w:br/>
        <w:t>BMVirolle 0 4,938,000 4,938,000</w:t>
        <w:br/>
        <w:t>Jointly with</w:t>
        <w:br/>
        <w:t>Chronopost 164,000 99,022,000 Jointly with La Poste 99,186,000</w:t>
        <w:br/>
        <w:t>La Poste</w:t>
        <w:br/>
        <w:t>DPD France</w:t>
        <w:br/>
        <w:t>Jointly with La Poste at</w:t>
        <w:br/>
        <w:t>SAS (ex 164,000 44,767,000 44,931,000</w:t>
        <w:br/>
        <w:t>up to 40,315,000 euros</w:t>
        <w:br/>
        <w:t>Exapaq)</w:t>
        <w:br/>
        <w:t>Jointly with Jointly with Ciblex</w:t>
        <w:br/>
        <w:t>Ciblex France 0 250,000 250,000</w:t>
        <w:br/>
        <w:t>Ciblex Financière Financière</w:t>
        <w:br/>
        <w:t>Jointly with</w:t>
        <w:br/>
        <w:t>Dachser Jointly with Dachser</w:t>
        <w:br/>
        <w:t>81,000 Dascher Holding 33,330,000 33,411,000</w:t>
        <w:br/>
        <w:t>France Group SE &amp; Co. KG</w:t>
        <w:br/>
        <w:t>GmbH &amp; Co. KG</w:t>
        <w:br/>
        <w:t>Jointly with</w:t>
        <w:br/>
        <w:t>Jointly with DHL</w:t>
        <w:br/>
        <w:t>DHL Express DHL Holding</w:t>
        <w:br/>
        <w:t>200,000 80,963,000 Holding (France) SAS and 81,163,000</w:t>
        <w:br/>
        <w:t>(France) SAS (France) SAS and</w:t>
        <w:br/>
        <w:t>Deutsche Post AG</w:t>
        <w:br/>
        <w:t>Deutsche Post AG</w:t>
        <w:br/>
        <w:t>FedEx Express</w:t>
        <w:br/>
        <w:t>0 17,004,000 17,004,000</w:t>
        <w:br/>
        <w:t>France</w:t>
        <w:br/>
        <w:t>Jointly with Jointly with Peugeot</w:t>
        <w:br/>
        <w:t>Gefco 81,000 30,522,000 30,603,000</w:t>
        <w:br/>
        <w:t>Peugeot SA SA</w:t>
        <w:br/>
        <w:t>Jointly with the EPIC</w:t>
        <w:br/>
        <w:t>Geodis 0 196,062,000 SNCF up to 88,899,000 196,062,000</w:t>
        <w:br/>
        <w:t>euros</w:t>
        <w:br/>
        <w:t>Jointly with General</w:t>
        <w:br/>
        <w:t>General Jointly with</w:t>
        <w:br/>
        <w:t>Logistics Systems BV;</w:t>
        <w:br/>
        <w:t>Logistics General Logistics</w:t>
        <w:br/>
        <w:t>164,000 54,893,000 jointly with Royal Mail 55,057,000</w:t>
        <w:br/>
        <w:t>Systems Systems BV and Royal</w:t>
        <w:br/>
        <w:t>Group Limited up to</w:t>
        <w:br/>
        <w:t>20,594,000 euros</w:t>
        <w:br/>
        <w:t>Heppner</w:t>
        <w:br/>
        <w:t>Jointly with Jointly with</w:t>
        <w:br/>
        <w:t>Société de 100,000 2,900,000 3,000,000</w:t>
        <w:br/>
        <w:t>FINALTRA FINALTRA</w:t>
        <w:br/>
        <w:t>Transports</w:t>
        <w:br/>
        <w:t>Lambert and</w:t>
        <w:br/>
        <w:t>Valette - Jointly with Jointly with</w:t>
        <w:br/>
        <w:t>50,000 450,000 500,000</w:t>
        <w:br/>
        <w:t>Entreprise de FINALTRA FINALTRA</w:t>
        <w:br/>
        <w:t>Transports</w:t>
      </w:r>
    </w:p>
    <w:p>
      <w:r>
        <w:t>Jointly for the Sanction</w:t>
        <w:br/>
        <w:t>Infringement no. 1 Jointly for Infringement no. 2</w:t>
        <w:br/>
        <w:t>Entity infringement no. 2 and pro rata total</w:t>
        <w:br/>
        <w:t>(in euros) for infringement no. 1 (in euros)</w:t>
        <w:br/>
        <w:t>the duration of participation (in euros)</w:t>
        <w:br/>
        <w:t>Jointly with Jointly with</w:t>
        <w:br/>
        <w:t>XP France 100,000 800,000 900,000</w:t>
        <w:br/>
        <w:t>FINALTRA FINALTRA</w:t>
        <w:br/>
        <w:t>Jointly with Lotra</w:t>
        <w:br/>
        <w:t>Norbert</w:t>
        <w:br/>
        <w:t>Limited; jointly with</w:t>
        <w:br/>
        <w:t>Dentressangle 0 9,718,000 9,718,000</w:t>
        <w:br/>
        <w:t>Norbert Dentressangle at</w:t>
        <w:br/>
        <w:t>Distribution</w:t>
        <w:br/>
        <w:t>up to 2,876,000 euros</w:t>
        <w:br/>
        <w:t>Normatrans 50,000 1,745,000 1,795,000</w:t>
        <w:br/>
        <w:t>Schenker Jointly with Jointly with Deutsche</w:t>
        <w:br/>
        <w:t>0 3,000,000 3,000,000</w:t>
        <w:br/>
        <w:t>France Deutsche Bahn AG Bahn AG</w:t>
        <w:br/>
        <w:t>TNT Express Jointly with Jointly with TNT</w:t>
        <w:br/>
        <w:t>164,000 58,293,000 58,457,000</w:t>
        <w:br/>
        <w:t>France TNT Express NV Express NV</w:t>
        <w:br/>
        <w:t>Transports H</w:t>
        <w:br/>
        <w:t>50,000 250,000 300,000</w:t>
        <w:br/>
        <w:t>Ducros</w:t>
        <w:br/>
        <w:t>Jointly with Jointly with Balspeed</w:t>
        <w:br/>
        <w:t>Ziegler France 2,000 8,000 10,000</w:t>
        <w:br/>
        <w:t>Balspeed France France</w:t>
        <w:br/>
        <w:t>Association</w:t>
        <w:br/>
        <w:t>TLF 2,000 28,000 30,000</w:t>
        <w:br/>
        <w:t>Total 1,430,000 670,902,000 672,332,000</w:t>
      </w:r>
    </w:p>
    <w:p>
      <w:r>
        <w:t>F. ON THE OBLIGATION OF PUBLICATION</w:t>
      </w:r>
    </w:p>
    <w:p>
      <w:r>
        <w:t>1401. In order to draw the attention of messaging service providers and, more generally, their clients and consumers, it is necessary, given the facts established by this decision and the violations noted, to order, based on I of Article L. 464-2 of the Commercial Code, the publication, at the shared expense of the sanctioned companies and pro rata to their monetary sanctions, in the editions of the newspaper Les Échos and the magazine l’Officiel des transporteurs, of the summary of this decision set out below.</w:t>
      </w:r>
    </w:p>
    <w:p>
      <w:r>
        <w:t>Summary of the decision:</w:t>
        <w:br/>
        <w:t>"On December 15, 2015, the Competition Authority issued a decision by which it sanctions, in the amounts of 1.4 million euros and 670 million euros respectively, two agreements that occurred in the messaging and express messaging sector:</w:t>
        <w:br/>
        <w:t>- a first agreement took place from May 2004 to January 2006 and concerned the joint implementation of a "diesel surcharge" intended to pass on to clients the increases in fuel prices;</w:t>
      </w:r>
    </w:p>
    <w:p>
      <w:r>
        <w:rPr>
          <w:b/>
        </w:rPr>
        <w:t>[Pages 226–228]</w:t>
      </w:r>
    </w:p>
    <w:p>
      <w:r>
        <w:t>- a second agreement took place from September 2004 to September 2010, and consisted of exchanges of information regarding the annual price revaluations requested by companies in the messaging sector from their clients.</w:t>
      </w:r>
    </w:p>
    <w:p>
      <w:r>
        <w:t>An important activity for the French economy marked by structural difficulties</w:t>
      </w:r>
    </w:p>
    <w:p>
      <w:r>
        <w:t>Messaging is a service for transporting goods weighing less than three tons, primarily by road. It is distinct from the road transport sector, which concerns shipments by batch and full truckloads. The sector is dominated by large national or international groups, such as Geodis, Chronopost/Exapaq, or Dachser, but also includes a multitude of small companies of regional or local scale. It is divided into several segments, including traditional and express messaging, and single-package messaging. The main outlets for messaging services are the manufacturing industry, wholesale trade, and distance selling. In 2008, the turnover in France for the classic and express messaging sector amounted to 8.5 billion euros. Although this turnover has been steadily increasing, the messaging sector has been characterized for several years by very low, even negative, profitability. This weakness in margins has led to numerous bankruptcies and restructurings, particularly during the year 2008, marked by the disappearance of 11% of companies in the sector. These financial difficulties partly explain the decline in salaried employment in messaging, which fell from 55,000 in 2004 to 40,000 in 2010.</w:t>
      </w:r>
    </w:p>
    <w:p>
      <w:r>
        <w:t>A case revealed thanks to the leniency program</w:t>
      </w:r>
    </w:p>
    <w:p>
      <w:r>
        <w:t>The case was brought to the attention of the Competition Authority in October 2008 by the Deutsche Bahn group, which sought the benefit of leniency. The Kuehne+Nagel group also submitted a leniency application in October 2010. The leniency procedure allows companies that participate or have participated in an agreement to reveal its existence to the Authority and to obtain, under certain conditions, a total or partial exemption from monetary sanctions, depending in particular on their order of arrival at the Authority. The inspection and seizure operations carried out in France in September 2010 gathered numerous pieces of evidence of these agreements and were supplemented by an in-depth investigation.</w:t>
      </w:r>
    </w:p>
    <w:p>
      <w:r>
        <w:t>Price consultations</w:t>
      </w:r>
    </w:p>
    <w:p>
      <w:r>
        <w:t>The agreements aimed to reduce the uncertainty inherent in any commercial negotiation, through exchanges of strategic information or more advanced acts of cooperation among competitors. They included all the main players in the sector. First, the companies jointly decided, before the intervention of the legislator, on the principle of passing on the cost of diesel in the price of the messaging service (referred to as "diesel surcharge" by the members of the agreement) and on the calculation method (common reference indices) and billing (monthly billing, surcharge basis) for this surcharge. The aim for these companies was to present a united front to their clients in order to neutralize price negotiations on this specific subject.</w:t>
      </w:r>
    </w:p>
    <w:p>
      <w:r>
        <w:t>The second practice consisted of exchanges of strategic information, individualized on future prices, concerning the annual price revaluations requested by carriers from their clients. These oral exchanges systematically occurred at the beginning of professional meetings organized by the TLF union, during "round tables." The main focus of the discussion was on the rate of increase that each company planned to apply for the coming year on the then-current rate for messaging services in France, but the exchanges also covered the progress of negotiations in general. These "round tables" were supplemented for some companies by a series of bilateral or multilateral contacts.</w:t>
      </w:r>
    </w:p>
    <w:p>
      <w:r>
        <w:t>These two agreements altered, solely to the benefit of the carriers, the normal course of negotiations with clients and allowed them to obtain higher remuneration, which had repercussions throughout the entire French industrial and commercial fabric. For example, during the 2006-2007 commercial negotiations, most companies, which initially considered a price increase of about 5%, coordinated to raise their requests to a higher level, around 7%.</w:t>
      </w:r>
    </w:p>
    <w:p>
      <w:r>
        <w:t>Secret agreements made within the framework of a professional union</w:t>
      </w:r>
    </w:p>
    <w:p>
      <w:r>
        <w:t>Most of the meetings and contacts pursued occurred within the activities of the Union of Transport and Logistics Companies of France (TLF), one of the main professional unions in the transport field. The discussions were kept secret and were deliberately not subject to any official minutes. Furthermore, it has been demonstrated that the professional union, instead of playing its role of informing about the rules of competition law, actively participated in both the organization of illicit exchanges and the protection of their confidentiality. For these reasons, TLF is also subject to a sanction in this case.</w:t>
      </w:r>
    </w:p>
    <w:p>
      <w:r>
        <w:t>Sanctions proportionate to the severity of the facts, the extent of the damage caused to the economy, and the situation of each of the sanctioned companies</w:t>
      </w:r>
    </w:p>
    <w:p>
      <w:r>
        <w:t>In accordance with Article L. 464-2 of the Commercial Code, as specified by the press release of May 16, 2011, regarding the method of determining sanctions, the Authority first determined the base amount of the monetary sanction: the basis for this is the turnover achieved, for each company, from all domestic messaging services in French territory, excluding activities carried out through subcontracting. The Authority considered that the infringements in question were of particular severity, given not only their secret nature but also their very object, the agreements aimed at coordinating on the main parameters of commercial negotiation, and in particular on price developments. The Authority also noted that essentially the second agreement had caused real damage to the economy, particularly given its national scope, the characteristics of the markets involved, and the effects it generated on negotiations with the carriers' clients.</w:t>
      </w:r>
    </w:p>
    <w:p>
      <w:r>
        <w:t>The base amount of the sanction was then adjusted to take into account the individual participation of the companies in the agreements as well as the specific elements of the behavior and individual situation of each company. In particular, many companies benefited from significant reductions in their fine level, to account for their current financial difficulties. However, regarding the agreement related to the implementation of a "diesel surcharge," the Authority took into account the phenomenon of significant increases in fuel prices during the period 2003-2004 and also the numerous statements from public authorities on this subject at the same time. It therefore decided not to apply the aforementioned press release of May 16, 2011, to this particular infringement and to impose fixed and moderate fines on the companies.</w:t>
      </w:r>
    </w:p>
    <w:p>
      <w:r>
        <w:t>Moreover, the Deutsche Bahn and Kuehne+Nagel groups benefited from a reduction in sanction under the leniency program. However, the Deutsche Bahn group, the first applicant for leniency, does not benefit from total exemption from sanction, due to the fact that it did not inform the Authority's investigation services of the existence of an anticompetitive meeting in which the representative of its subsidiary – Schenker Joyau – participated on September 16, 2010. This failure to comply with the obligations set out in the leniency notice granted to the company is sanctioned by a fixed fine of 3,000,000 euros.</w:t>
      </w:r>
    </w:p>
    <w:p>
      <w:r>
        <w:t>In addition, the companies belonging to the Dachser, La Poste, TNT, Gefco, Peugeot, Royal Mail, and Kuehne+Nagel groups, which did not contest the facts, benefited from a reduction in sanction of 16 to 19% under the procedure for not contesting the charges. The companies Ciblex, Heppner, Lambert and Valette, XP France, Transports Henri Ducros, and Ziegler France also benefited from a significant reduction in the amount of their sanction to take into account their contributory capacity.</w:t>
      </w:r>
    </w:p>
    <w:p>
      <w:r>
        <w:t>The Authority imposed, for the two agreements, the following monetary sanctions (in euros):</w:t>
      </w:r>
    </w:p>
    <w:p>
      <w:r>
        <w:t>Jointly for Sanction</w:t>
        <w:br/>
        <w:t>Charge No. 1 Jointly for Charge No. 2</w:t>
        <w:br/>
        <w:t>Entity Charge No. 2 and pro rata of the total</w:t>
        <w:br/>
        <w:t>(in euros) title of Charge No. 1 (in euros)</w:t>
        <w:br/>
        <w:t>duration of participation (in euros)</w:t>
      </w:r>
    </w:p>
    <w:p>
      <w:r>
        <w:t>Companies</w:t>
        <w:br/>
        <w:t>Jointly with</w:t>
        <w:br/>
        <w:t>Kuehne+Nagel Road up to</w:t>
        <w:br/>
        <w:t>12,213,000 euros and with</w:t>
        <w:br/>
        <w:t>Alloin Holding 58,000 31,959,000 32,017,000</w:t>
        <w:br/>
        <w:t>Kuehne+Nagel International</w:t>
        <w:br/>
        <w:t>AG up to 1,353,000</w:t>
        <w:br/>
        <w:t>euros</w:t>
      </w:r>
    </w:p>
    <w:p>
      <w:r>
        <w:t>BMVirolle 0 4,938,000 4,938,000</w:t>
      </w:r>
    </w:p>
    <w:p>
      <w:r>
        <w:t>Jointly with</w:t>
        <w:br/>
        <w:t>Chronopost 164,000 99,022,000 Jointly with La Poste 99,186,000</w:t>
        <w:br/>
        <w:t>La Poste</w:t>
      </w:r>
    </w:p>
    <w:p>
      <w:r>
        <w:t>DPD France</w:t>
        <w:br/>
        <w:t>Jointly with La Poste at</w:t>
        <w:br/>
        <w:t>SAS (ex 164,000 44,767,000 44,931,000</w:t>
        <w:br/>
        <w:t>Exapaq)</w:t>
      </w:r>
    </w:p>
    <w:p>
      <w:r>
        <w:t>Jointly with Jointly with Ciblex</w:t>
        <w:br/>
        <w:t>Ciblex France 0 250,000 250,000</w:t>
        <w:br/>
        <w:t>Ciblex Financière</w:t>
      </w:r>
    </w:p>
    <w:p>
      <w:r>
        <w:t>Jointly with</w:t>
        <w:br/>
        <w:t>Jointly with Dachser</w:t>
        <w:br/>
        <w:t>Dachser France 81,000 Dascher Holding 33,330,000 33,411,000</w:t>
        <w:br/>
        <w:t>Group SE &amp; Co. KG</w:t>
        <w:br/>
        <w:t>GmbH &amp; Co. KG</w:t>
      </w:r>
    </w:p>
    <w:p>
      <w:r>
        <w:t>Jointly with</w:t>
        <w:br/>
        <w:t>Jointly with DHL</w:t>
        <w:br/>
        <w:t>DHL Express DHL Holding</w:t>
        <w:br/>
        <w:t>200,000 80,963,000 Holding (France) SAS and 81,163,000</w:t>
        <w:br/>
        <w:t>(France) SAS (France) SAS and</w:t>
        <w:br/>
        <w:t>Deutsche Post AG</w:t>
        <w:br/>
        <w:t>Deutsche Post AG</w:t>
      </w:r>
    </w:p>
    <w:p>
      <w:r>
        <w:t>FedEx Express</w:t>
        <w:br/>
        <w:t>0 17,004,000 17,004,000</w:t>
        <w:br/>
        <w:t>France</w:t>
      </w:r>
    </w:p>
    <w:p>
      <w:r>
        <w:rPr>
          <w:b/>
        </w:rPr>
        <w:t>[Pages 229–231]</w:t>
      </w:r>
    </w:p>
    <w:p>
      <w:r>
        <w:t xml:space="preserve">Solidarily under the Sanction  </w:t>
        <w:br/>
        <w:t xml:space="preserve">Charge No. 1 Solidarily under Charge No. 2  </w:t>
        <w:br/>
        <w:t xml:space="preserve">Entity Charge No. 2 and pro rata of the total  </w:t>
        <w:br/>
        <w:t xml:space="preserve">(in euros) under Charge No. 1 (in euros)  </w:t>
        <w:br/>
        <w:t xml:space="preserve">duration of participation (in euros)  </w:t>
        <w:br/>
        <w:t xml:space="preserve">Solidarily with Solidarily with Peugeot  </w:t>
        <w:br/>
        <w:t xml:space="preserve">Gefco 81,000 30,522,000 30,603,000  </w:t>
        <w:br/>
        <w:t xml:space="preserve">Peugeot SA SA  </w:t>
        <w:br/>
        <w:t xml:space="preserve">Solidarily with the EPIC  </w:t>
        <w:br/>
        <w:t xml:space="preserve">Geodis 0 196,062,000 SNCF Mobilités up to 196,062,000  </w:t>
        <w:br/>
        <w:t xml:space="preserve">88,899,000 euros  </w:t>
        <w:br/>
        <w:t xml:space="preserve">Solidarily with General  </w:t>
        <w:br/>
        <w:t xml:space="preserve">Solidarily with  </w:t>
        <w:br/>
        <w:t xml:space="preserve">General Logistics Systems BV;  </w:t>
        <w:br/>
        <w:t xml:space="preserve">General Logistics  </w:t>
        <w:br/>
        <w:t xml:space="preserve">Logistics 164,000 54,893,000 solidarily with Royal Mail 55,057,000  </w:t>
        <w:br/>
        <w:t xml:space="preserve">Systems BV and Royal  </w:t>
        <w:br/>
        <w:t xml:space="preserve">Systems France Group Limited up to  </w:t>
        <w:br/>
        <w:t xml:space="preserve">Mail Group Limited  </w:t>
        <w:br/>
        <w:t xml:space="preserve">20,594,000 euros  </w:t>
        <w:br/>
        <w:t xml:space="preserve">Heppner  </w:t>
        <w:br/>
        <w:t xml:space="preserve">Solidarily with Solidarily with  </w:t>
        <w:br/>
        <w:t xml:space="preserve">Société de 100,000 2,900,000 3,000,000  </w:t>
        <w:br/>
        <w:t xml:space="preserve">FINALTRA FINALTRA  </w:t>
        <w:br/>
        <w:t xml:space="preserve">Transports  </w:t>
        <w:br/>
        <w:t xml:space="preserve">Lambert and  </w:t>
        <w:br/>
        <w:t xml:space="preserve">Valette - Solidarily with Solidarily with  </w:t>
        <w:br/>
        <w:t xml:space="preserve">50,000 450,000 500,000  </w:t>
        <w:br/>
        <w:t xml:space="preserve">Entreprise de FINALTRA FINALTRA  </w:t>
        <w:br/>
        <w:t xml:space="preserve">Transports  </w:t>
        <w:br/>
        <w:t xml:space="preserve">Solidarily with Solidarily with  </w:t>
        <w:br/>
        <w:t xml:space="preserve">XP France 100,000 800,000 900,000  </w:t>
        <w:br/>
        <w:t xml:space="preserve">FINALTRA FINALTRA  </w:t>
        <w:br/>
        <w:t xml:space="preserve">Solidarily with Lotra  </w:t>
        <w:br/>
        <w:t xml:space="preserve">Norbert  </w:t>
        <w:br/>
        <w:t xml:space="preserve">Limited; solidarily with  </w:t>
        <w:br/>
        <w:t xml:space="preserve">Dentressangle 0 9,718,000 9,718,000  </w:t>
        <w:br/>
        <w:t xml:space="preserve">Norbert Dentressangle up to  </w:t>
        <w:br/>
        <w:t xml:space="preserve">Distribution  </w:t>
        <w:br/>
        <w:t xml:space="preserve">2,876,000 euros  </w:t>
        <w:br/>
        <w:t xml:space="preserve">Normatrans 50,000 1,745,000 1,795,000  </w:t>
        <w:br/>
        <w:t xml:space="preserve">Schenker Solidarily with Solidarily with Deutsche  </w:t>
        <w:br/>
        <w:t xml:space="preserve">0 3,000,000 3,000,000  </w:t>
        <w:br/>
        <w:t xml:space="preserve">France Deutsche Bahn AG Bahn AG  </w:t>
        <w:br/>
        <w:t xml:space="preserve">TNT Express Solidarily with Solidarily with TNT  </w:t>
        <w:br/>
        <w:t xml:space="preserve">164,000 58,293,000 58,457,000  </w:t>
        <w:br/>
        <w:t xml:space="preserve">France TNT Express NV Express NV  </w:t>
        <w:br/>
        <w:t xml:space="preserve">Transports H  </w:t>
        <w:br/>
        <w:t xml:space="preserve">50,000 250,000 300,000  </w:t>
        <w:br/>
        <w:t xml:space="preserve">Ducros  </w:t>
        <w:br/>
        <w:t xml:space="preserve">Solidarily with Solidarily with Balspeed  </w:t>
        <w:br/>
        <w:t xml:space="preserve">Ziegler France 2,000 8,000 10,000  </w:t>
        <w:br/>
        <w:t xml:space="preserve">Balspeed France France  </w:t>
        <w:br/>
        <w:t xml:space="preserve">Association  </w:t>
        <w:br/>
        <w:t xml:space="preserve">TLF 2,000 28,000 30,000  </w:t>
        <w:br/>
        <w:t>Total 1,430,000 670,902,000 672,332,000</w:t>
      </w:r>
    </w:p>
    <w:p>
      <w:r>
        <w:t xml:space="preserve">Decision  </w:t>
        <w:br/>
        <w:t xml:space="preserve">Article 1: It is established that the companies Schenker France; Deutsche Bahn AG; Alloin  </w:t>
        <w:br/>
        <w:t xml:space="preserve">Holding; Heppner Société de Transports; Lambert and Valette - Entreprise de Transports; XP  </w:t>
        <w:br/>
        <w:t xml:space="preserve">France; FINALTRA; Chronopost; La Poste; DPD France; Dachser France; Dachser Group  </w:t>
        <w:br/>
        <w:t xml:space="preserve">SE &amp; Co. KG; Gefco; Peugeot SA; General Logistics Systems France; General Logistics  </w:t>
        <w:br/>
        <w:t xml:space="preserve">Systems BV; Royal Mail Group Limited; Transports H Ducros; DHL Express (France)  </w:t>
        <w:br/>
        <w:t xml:space="preserve">SAS; DHL Holding (France) SAS; Deutsche Post AG; TNT Express France; TNT Express  </w:t>
        <w:br/>
        <w:t xml:space="preserve">NV; Ziegler France; Balspeed France; Normatrans and TLF have violated the provisions of  </w:t>
        <w:br/>
        <w:t xml:space="preserve">Articles L. 420-1 of the Commercial Code and 101, paragraph 1 of the TFEU, by participating, between  </w:t>
        <w:br/>
        <w:t xml:space="preserve">May 26, 2004, and January 5, 2006, each to the extent indicated in paragraphs 808  </w:t>
        <w:br/>
        <w:t xml:space="preserve">and following of this decision, in an agreement on the French market for messaging and  </w:t>
        <w:br/>
        <w:t xml:space="preserve">express messaging, which aimed to establish, according to a common methodology, a  </w:t>
        <w:br/>
        <w:t xml:space="preserve">diesel surcharge.  </w:t>
        <w:br/>
        <w:t xml:space="preserve">Article 2: It is established that the companies Schenker France; Deutsche Bahn AG; Alloin  </w:t>
        <w:br/>
        <w:t xml:space="preserve">Holding; Kuehne+Nagel Road; Kuehne+Nagel International AG; Heppner Société de  </w:t>
        <w:br/>
        <w:t xml:space="preserve">Transports; Lambert and Valette - Entreprise de Transports; XP France; FINALTRA;  </w:t>
        <w:br/>
        <w:t xml:space="preserve">Geodis; EPIC SNCF Mobilités; Ciblex France; Ciblex Financière; BMVirolle;  </w:t>
        <w:br/>
        <w:t xml:space="preserve">Chronopost; DPD France; La Poste; Dachser France; Dachser Group SE &amp; Co. KG; FedEx  </w:t>
        <w:br/>
        <w:t xml:space="preserve">Express France; Gefco; Peugeot SA; General Logistics Systems France; General Logistics  </w:t>
        <w:br/>
        <w:t xml:space="preserve">Systems BV; Royal Mail Group Limited; Transports H Ducros; DHL Express (France)  </w:t>
        <w:br/>
        <w:t xml:space="preserve">SAS; DHL Holding (France) SAS; Deutsche Post AG; TNT Express France; TNT Express  </w:t>
        <w:br/>
        <w:t xml:space="preserve">NV; Ziegler France; Balspeed France; Normatrans, Norbert Dentressangle Distribution;  </w:t>
        <w:br/>
        <w:t xml:space="preserve">Lotra Limited; Norbert Dentressangle and TLF have violated the provisions of Articles  </w:t>
        <w:br/>
        <w:t xml:space="preserve">L. 420-1 of the Commercial Code and 101, paragraph 1 of the TFEU, by participating, between  </w:t>
        <w:br/>
        <w:t xml:space="preserve">September 30, 2004, and September 29, 2010, each to the extent indicated in  </w:t>
        <w:br/>
        <w:t xml:space="preserve">paragraphs 870 and following of this decision, in an agreement on the French market for  </w:t>
        <w:br/>
        <w:t xml:space="preserve">messaging and express messaging, which aimed to establish a consultation on annual  </w:t>
        <w:br/>
        <w:t xml:space="preserve">price increases.  </w:t>
        <w:br/>
        <w:t xml:space="preserve">Article 3: The following financial penalties are imposed for the practices referred to in  </w:t>
        <w:br/>
        <w:t xml:space="preserve">Article 1:  </w:t>
        <w:br/>
        <w:t xml:space="preserve">- to the company Alloin Holding a penalty of 58,000 euros;  </w:t>
        <w:br/>
        <w:t xml:space="preserve">- to the company Chronopost, solidarily with the company La Poste, a penalty of  </w:t>
        <w:br/>
        <w:t xml:space="preserve">164,000 euros;  </w:t>
        <w:br/>
        <w:t xml:space="preserve">- to the company DPD France, a penalty of 164,000 euros;  </w:t>
        <w:br/>
        <w:t xml:space="preserve">- to the company Dachser France, solidarily with the company Dachser Holding GmbH  </w:t>
        <w:br/>
        <w:t xml:space="preserve">&amp; Co. KG, a penalty of 81,000 euros;  </w:t>
        <w:br/>
        <w:t xml:space="preserve">- to the company DHL Express (France) SAS, solidarily with the companies DHL  </w:t>
        <w:br/>
        <w:t xml:space="preserve">Holding (France) SAS and Deutsche Post AG, a penalty of 200,000 euros;  </w:t>
        <w:br/>
        <w:t xml:space="preserve">- to the company Gefco, solidarily with the company Peugeot SA, a penalty of  </w:t>
        <w:br/>
        <w:t xml:space="preserve">81,000 euros;  </w:t>
        <w:br/>
        <w:t xml:space="preserve">- to the company General Logistics Systems France, solidarily responsible with the  </w:t>
        <w:br/>
        <w:t xml:space="preserve">companies General Logistics Systems BV and Royal Mail Group Limited, a penalty  </w:t>
        <w:br/>
        <w:t>of 164,000 euros;</w:t>
      </w:r>
    </w:p>
    <w:p>
      <w:r>
        <w:t xml:space="preserve">- to the company Heppner Société de Transports, solidarily with the company  </w:t>
        <w:br/>
        <w:t xml:space="preserve">FINALTRA, a penalty of 100,000 euros;  </w:t>
        <w:br/>
        <w:t xml:space="preserve">- to the company Lambert and Valette - Entreprise de Transports, solidarily with the  </w:t>
        <w:br/>
        <w:t xml:space="preserve">company FINALTRA, a penalty of 50,000 euros;  </w:t>
        <w:br/>
        <w:t xml:space="preserve">- to the company XP France, solidarily with the company FINALTRA, a penalty of  </w:t>
        <w:br/>
        <w:t xml:space="preserve">100,000 euros;  </w:t>
        <w:br/>
        <w:t xml:space="preserve">- to the company Normatrans, a penalty of 50,000 euros;  </w:t>
        <w:br/>
        <w:t xml:space="preserve">- to the Union of Transport and Logistics Companies of France (TLF), a  </w:t>
        <w:br/>
        <w:t xml:space="preserve">penalty of 2,000 euros;  </w:t>
        <w:br/>
        <w:t xml:space="preserve">- to the company TNT Express France, solidarily with the company TNT Express NV,  </w:t>
        <w:br/>
        <w:t xml:space="preserve">a penalty of 164,000 euros;  </w:t>
        <w:br/>
        <w:t xml:space="preserve">- to the company Transports H Ducros, a penalty of 50,000 euros;  </w:t>
        <w:br/>
        <w:t xml:space="preserve">- to the company Ziegler France solidarily with the company Balspeed France, a  </w:t>
        <w:br/>
        <w:t xml:space="preserve">penalty of 2,000 euros;  </w:t>
        <w:br/>
        <w:t xml:space="preserve">Article 4: The following financial penalties are imposed for the practices referred to in  </w:t>
        <w:br/>
        <w:t xml:space="preserve">Article 2:  </w:t>
        <w:br/>
        <w:t xml:space="preserve">- to the company Alloin Holding, a penalty of 31,959,000 euros of which 12,213,000 euros  </w:t>
        <w:br/>
        <w:t xml:space="preserve">solidarily with the company Kuehne+Nagel Road and 1,353,000 euros solidarily  </w:t>
        <w:br/>
        <w:t xml:space="preserve">with Kuehne+Nagel International AG;  </w:t>
        <w:br/>
        <w:t xml:space="preserve">- to the company BMVirolle, a penalty of 4,938,000 euros;  </w:t>
        <w:br/>
        <w:t xml:space="preserve">- to the company Chronopost, solidarily with the company La Poste, a penalty of  </w:t>
        <w:br/>
        <w:t xml:space="preserve">99,022,000 euros;  </w:t>
        <w:br/>
        <w:t xml:space="preserve">- to the company DPD France, a penalty of 44,767,000 euros of which 40,315,000 euros  </w:t>
        <w:br/>
        <w:t xml:space="preserve">solidarily with the company La Poste;  </w:t>
        <w:br/>
        <w:t xml:space="preserve">- to the company Ciblex France, solidarily with Ciblex Financière, a penalty of  </w:t>
        <w:br/>
        <w:t xml:space="preserve">250,000 euros;  </w:t>
        <w:br/>
        <w:t xml:space="preserve">- to the company Dachser France, solidarily with the company Dachser Group SE &amp; Co.  </w:t>
        <w:br/>
        <w:t xml:space="preserve">KG, a penalty of 33,330,000 euros;  </w:t>
        <w:br/>
        <w:t xml:space="preserve">- to the company DHL Express (France) SAS, solidarily with the company DHL Holding  </w:t>
        <w:br/>
        <w:t xml:space="preserve">(France) SAS and Deutsche Post AG, a penalty of 80,963,000 euros;  </w:t>
        <w:br/>
        <w:t xml:space="preserve">- to the company FedEx Express France, a penalty of 17,004,000 euros;  </w:t>
        <w:br/>
        <w:t xml:space="preserve">- to the company Gefco, solidarily with the company Peugeot SA, a penalty of  </w:t>
        <w:br/>
        <w:t xml:space="preserve">30,522,000 euros;  </w:t>
        <w:br/>
        <w:t xml:space="preserve">- to the company Geodis, a penalty of 196,062,000 euros of which 88,899,000 euros  </w:t>
        <w:br/>
        <w:t xml:space="preserve">solidarily with EPIC SNCF Mobilités;  </w:t>
        <w:br/>
        <w:t xml:space="preserve">- to the company General Logistics Systems France, solidarily with General  </w:t>
        <w:br/>
        <w:t xml:space="preserve">Logistics Systems BV, a penalty of 54,893,000 euros of which 20,594,000 euros  </w:t>
        <w:br/>
        <w:t>solidarily with Royal Mail Group Limited;</w:t>
      </w:r>
    </w:p>
    <w:p>
      <w:r>
        <w:rPr>
          <w:b/>
        </w:rPr>
        <w:t>[Pages 232–233]</w:t>
      </w:r>
    </w:p>
    <w:p>
      <w:r>
        <w:t>- to the company Heppner Société de Transports, jointly with the company FINALTRA, a fine of 2,900,000 euros;</w:t>
        <w:br/>
        <w:t>- to the company Lambert et Valette - Entreprise de Transports, jointly with the company FINALTRA, a fine of 450,000 euros;</w:t>
        <w:br/>
        <w:t>- to the company XP France, jointly with the company FINALTRA, a fine of 800,000 euros;</w:t>
        <w:br/>
        <w:t>- to the company Norbert Dentressangle Distribution, jointly with Lotra Limited, a fine of 9,718,000 euros of which 2,876,000 euros jointly with Norbert Dentressangle;</w:t>
        <w:br/>
        <w:t>- to the company Normatrans, a fine of 1,745,000 euros;</w:t>
        <w:br/>
        <w:t>- to the company Union des Entreprises de Transport et de Logistique de France (TLF), a fine of 28,000 euros;</w:t>
        <w:br/>
        <w:t>- to the company TNT Express France, jointly with the company TNT Express NV, a fine of 58,293,000 euros;</w:t>
        <w:br/>
        <w:t>- to the company Transports H Ducros, a fine of 250,000 euros;</w:t>
        <w:br/>
        <w:t>- to the company Ziegler France, jointly with the company Balspeed France, a fine of 8,000 euros;</w:t>
      </w:r>
    </w:p>
    <w:p>
      <w:r>
        <w:t>Article 5: Schenker France, having failed to meet at least one of the conditions set forth in its leniency applications, cannot benefit from a total exemption from the fine. It is necessary to impose a fine of 3,000,000 euros for charge no. 2, jointly with the company Deutsche Bahn AG.</w:t>
      </w:r>
    </w:p>
    <w:p>
      <w:r>
        <w:t>Article 6: The companies referred to in Articles 1 and 2 shall publish the text appearing in paragraph 1400 of this decision, respecting the formatting, in the editions of the newspaper Les Échos and the magazine l’Officiel des transporteurs. These publications shall appear in a box in black characters on a white background with a height of at least three millimeters under the following title, in bold characters of the same size: "Decision of the Competition Authority No. 15-D-19 of December 15, 2015, regarding practices implemented in the messaging sector." They may be followed by a mention that the decision has been appealed to the Court of Appeal of Paris if such appeals are filed. The legal entities concerned shall send, by registered mail, to the procedure office, a copy of these publications, as soon as they are published and no later than February 15, 2016.</w:t>
      </w:r>
    </w:p>
    <w:p>
      <w:r>
        <w:t>Deliberated on the oral report of Ms. Laure Dosogne and Mr. Alexis Brunelle, and the intervention of Mr. Éric Cuziat, deputy general rapporteur, by Mr. Emmanuel Combe, vice-president, chair of the session, Ms. Laurence Idot, Ms. Isabelle de Silva, Ms. Marie-Laure Sauty de Chalon, members.</w:t>
      </w:r>
    </w:p>
    <w:p>
      <w:r>
        <w:t>The secretaries of the session, The president,</w:t>
        <w:br/>
        <w:t>Caroline Chéron and Claire Villeval Emmanuel Combe</w:t>
      </w:r>
    </w:p>
    <w:p>
      <w:r>
        <w:t>© Competition Authority</w:t>
      </w:r>
    </w:p>
    <w:p>
      <w:r>
        <w:t>&gt; Consult the commitments of Dachser France and Dachser GmbH &amp; Co. KG</w:t>
        <w:br/>
        <w:t>&gt; Consult the commitments of TNT Express France and TNT Express NV</w:t>
        <w:br/>
        <w:t>&gt; Consult the commitments of Gefco S.A.</w:t>
        <w:br/>
        <w:t>&gt; Consult the commitments of Peugeot S.A.</w:t>
        <w:br/>
        <w:t>&gt; Consult the commitments of Kuehne + Nagel International AG</w:t>
        <w:br/>
        <w:t>&gt; Consult the commitments of GLS France SAS, GLS B.V., Royal Mail Group Limited and Royal Mail PLC</w:t>
        <w:br/>
        <w:t>&gt; Consult the commitments of La Poste, Chronopost and Exapaq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