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https://www.autoritedelaconcurrence.fr/fr/decision/relative-des-pratiques-mises-en-oeuvre-loccasion-de-la-commercialisation-des-droits</w:t>
      </w:r>
    </w:p>
    <w:p>
      <w:r>
        <w:t>Pages translated : 13</w:t>
      </w:r>
    </w:p>
    <w:p/>
    <w:p>
      <w:r>
        <w:rPr>
          <w:b/>
        </w:rPr>
        <w:t>[Pages 1–3]</w:t>
      </w:r>
    </w:p>
    <w:p>
      <w:r>
        <w:t>FRENCH REPUBLIC</w:t>
        <w:br/>
        <w:t>Decision No. 16-D-04 of March 23, 2016</w:t>
        <w:br/>
        <w:t>regarding practices implemented during the</w:t>
        <w:br/>
        <w:t>commercialization of the audiovisual rights of the</w:t>
        <w:br/>
        <w:t>French Pro D2 rugby championship</w:t>
        <w:br/>
        <w:t>The Competition Authority (section V),</w:t>
        <w:br/>
        <w:t>Considering the requests registered on July 8, 2015 under numbers 15/0063F and 15/0064M by which the company Ma Chaîne Sport SAS (MCS) referred to the Competition Authority a request for interim measures in support of a referral concerning practices implemented by the Ligue nationale de rugby (LNR), the Groupe Canal Plus (GCP), and Eurosport during the commercialization of the audiovisual rights of the French Pro D2 championship;</w:t>
        <w:br/>
        <w:t>Considering Articles 101 and 102 of the Treaty on the Functioning of the European Union (TFEU);</w:t>
        <w:br/>
        <w:t>Considering Book IV of the Commercial Code;</w:t>
        <w:br/>
        <w:t>Considering Opinion No. 2015-21 of the Conseil supérieur de l’audiovisuel dated November 25, 2015 rendered on the basis of the provisions of Article R. 463-9 of the Commercial Code;</w:t>
        <w:br/>
        <w:t>Considering the observations presented by the company MCS as well as by the companies GCP and Eurosport and by the LNR;</w:t>
        <w:br/>
        <w:t>Considering the business secrecy decisions 15-DSA-335 of October 5, 2015, 15-DSA-338 of October 9, 2015, 15-DSA-347 of October 23, 2015, 15-DSA-351 of October 27, 2015, 15-DSA-357 and 15-DSA-358 of November 4, 2015, 15-DSA-361 and 15-DSA-362 of November 9, 2015, 15-DSA-381 and 15-DSA-382 of November 18, 2015, 15-DSA-383 of November 20, 2015, 15-DSA-398 and 15-DSA-399 of December 1, 2015, 15-DSA-417 of December 7, 2015, 15-DSA-441, 15-DSA-442 and 15-DSA-443 of December 21, 2015, 16-DSA-21 and 16-DSA-22 of January 28, 2016, 15-OPR-98 of November 23, 2015, 15-DEC-56 of December 17, 2015, 16-DEC-07, 16-DEC-08, 16-DEC-09, 16-DEC-10 and 16-DEC-11 of February 8, 2016, 15-DECR-34 of December 29, 2015 and 16-DECR-01 of January 8, 2016;</w:t>
        <w:br/>
        <w:t>Considering the other documents in the file;</w:t>
        <w:br/>
        <w:t>The rapporteur, the deputy general rapporteur, the government commissioner, and the representatives of the companies MCS, GCP, and Eurosport and the representatives of the LNR, heard during the session of the Competition Authority on February 17, 2016;</w:t>
        <w:br/>
        <w:t>Adopts the following decision:</w:t>
      </w:r>
    </w:p>
    <w:p>
      <w:r>
        <w:t>I. Findings</w:t>
        <w:br/>
        <w:t>A. THE PAY TELEVISION SECTOR AND THE COMPANIES CONCERNED</w:t>
        <w:br/>
        <w:t>1. Unlike free television channels, which are primarily financed by advertising and by audiovisual fees for public channels, pay television channels derive their income mainly from fees paid by their distributors, who themselves are financed by selling subscriptions to end consumers. These fees can be flat-rate or depend on the number of subscribers, for example, when a channel distributed individually receives a fee directly proportional to the number of its subscribers.</w:t>
        <w:br/>
        <w:t>2. Pay television channels available only individually for a relatively high price must necessarily recruit subscribers and to do so must offer them attractive and exclusive programs that they cannot find on free channels or on thematic channels accessible only by subscription to a pay package. For this reason, they are often referred to as "premium channels." In terms of attractive sports programs that can drive subscriptions, themselves referred to as "premium" content, channels must purchase audiovisual rights from the organizers of these competitions, notably the federations and sports leagues that hold them.</w:t>
        <w:br/>
        <w:t>1. THE COMPANY MA CHAÎNE SPORT SAS</w:t>
        <w:br/>
        <w:t>3. Established in October 2007, the company Ma Chaîne Sport SAS (hereinafter "MCS") is active in the pay television sector. It operates several thematic channels, including the eponymous pay sports thematic television channel. Since April 2014, MCS has been a 100% subsidiary of the Altice group, which also controls the electronic communications operator and television channel distributor SFR-Numericable.</w:t>
        <w:br/>
        <w:t>4. The MCS sports thematic channel, initially developed around football, broadcasts competitions from numerous sports disciplines, including football (French national championship, UEFA U21, Copa do Brasil), tennis (some ATP and WTA tournaments), basketball (Pro A and Pro B, American university championship), handball, American football, and gymnastics. The MCS channel is currently distributed by Numericable1 and CanalSat2.</w:t>
        <w:br/>
        <w:t>5. At the end of 2014, MCS had a notoriety of [10-20]% according to the notoriety barometer of the CSA research and polling institute. Between January and June 2014, its average cumulative daily audience reached [0 – 0.3] million viewers3.</w:t>
        <w:br/>
        <w:t>6. MCS generated revenue of 18.8 million euros in 2013 and 21.3 million euros in 2014.</w:t>
        <w:br/>
        <w:t>1 Early February 2016, MCS was distributed from the TV power offer at 49.9 euros per month.</w:t>
        <w:br/>
        <w:t>2 From the panorama offer at 24.90 euros per month.</w:t>
        <w:br/>
        <w:t>3 Source: Médiamat and CSA institute, cited by Cornerplay, reference 10 947.</w:t>
        <w:br/>
        <w:t>2</w:t>
      </w:r>
    </w:p>
    <w:p>
      <w:r>
        <w:t>2. EUROSPORT SAS</w:t>
        <w:br/>
        <w:t>7. The Eurosport Group operates thematic pay sports television channels, including Eurosport 1 and Eurosport 2. Their versions specifically adapted to the preferences of French viewers are broadcast in France and in Switzerland, Belgium, Luxembourg, Andorra, and Monaco.</w:t>
        <w:br/>
        <w:t>8. Eurosport France is a company of the Eurosport Group. In January 2015, the Eurosport Group was a subsidiary of the TF1 Group and the Discovery Group, a global leader in pay television, which held 51% of the capital of Eurosport SAS and 20% of the capital of Eurosport France SAS. Since July 22, 2015, Discovery has held 100% of the capital of Eurosport and Eurosport France.</w:t>
        <w:br/>
        <w:t>9. The Eurosport channels broadcast in France are a variation of the international Eurosport channel broadcast in 54 countries. Eurosport France broadcasts over 100 sports on air, including rugby (Pro D2, women's world cup, federal 1), cycling (Tour de France, Vuelta a España), football (Coupe de France, D1 feminine), tennis (including Roland Garros), winter sports, motorsports (including Moto GP), and summer Olympic sports (athletics, swimming, etc.). Since the summer of 2015, Eurosport channels have been distributed exclusively, including on cable networks, on CanalSat4.</w:t>
        <w:br/>
        <w:t>10. At the end of 2014, Eurosport had a notoriety of [70-85]% according to the notoriety barometer of the CSA research and polling institute. Between January and June 2014, its average cumulative daily audience reached [0.8-1.1] million viewers5.</w:t>
        <w:br/>
        <w:t>11. Eurosport France generated revenue of 65.3 million euros in 2013 and 64.3 million euros in 2014.</w:t>
        <w:br/>
        <w:t>3. THE SA D’ÉDITION DE CANAL PLUS AND THE SA GROUPE CANAL PLUS</w:t>
        <w:br/>
        <w:t>12. The company Groupe Canal Plus (hereinafter GCP) is a 100% subsidiary of the Vivendi group. It is primarily active in mainland France in the publishing of generalist and thematic pay channels, free channels, and in the aggregation and distribution of pay television offers (CanalSat).</w:t>
        <w:br/>
        <w:t>13. On May 12, 2015, Vivendi announced a public offer to purchase from the shareholders of the Canal Plus publishing company (hereinafter SECP). This offer closed on September 16 and allowed Vivendi to hold 100% of SECP.</w:t>
        <w:br/>
        <w:t>14. GCP publishes a premium channel (Canal+) and five variations of this channel, including the Canal+ Sport channel. The Canal+ channel, as a generalist channel, offers significant sports programming, most often premium competitions, in addition to its news, fiction, and entertainment programs. GCP holds the broadcasting rights in France for a series of competitions in numerous disciplines, primarily football (Ligue 1, Ligue 2 starting from the 2016-2017 seasons and Champions League), motorsports (including Formula 1), rugby (including Top 14 and Pro D2), and tennis (Bercy, Monte-Carlo tournaments, and Davis Cup).</w:t>
        <w:br/>
        <w:t>4 In the Panorama offer at 29.90 euros per month.</w:t>
        <w:br/>
        <w:t>5 Source: Médiamat and CSA institute, cited by Cornerplay, reference 10 947.</w:t>
        <w:br/>
        <w:t>3</w:t>
      </w:r>
    </w:p>
    <w:p>
      <w:r>
        <w:rPr>
          <w:b/>
        </w:rPr>
        <w:t>[Pages 4–6]</w:t>
      </w:r>
    </w:p>
    <w:p>
      <w:r>
        <w:t xml:space="preserve">15. The GCP offers (Canal+ and CanalSat channels) are distributed across all broadcasting platforms: DTT (52% of subscribers), satellite (29%), ADSL (15%), cable (only Canal+ channels, 4%), mobile, and Internet.  </w:t>
        <w:br/>
        <w:t xml:space="preserve">16. The Canal+ Sport channel enjoys a recognition rate of [65-80]% according to the CSA polling institute's channel recognition barometer. Its average cumulative audience per day was [1.4-1.7] million viewers between January and June 2014.  </w:t>
        <w:br/>
        <w:t xml:space="preserve">17. GCP also published a thematic sports channel, Sport +, which ceased broadcasting on June 26, 2015. The main sporting competitions broadcast by the Sport+ channel at its closure were the Pro A basketball, friendly matches of the French national football team for UEFA, the French gymnastics championships, the Formula E World Championships, and the Davis and Fed Cups (Tennis). Between 2012 and its cessation of broadcasting in 2015, Sport+ was exclusively distributed by CanalSat, except for cable networks, where it was broadcast by Numericable.  </w:t>
        <w:br/>
        <w:t xml:space="preserve">18. In 2013, SECP achieved a consolidated global turnover of 1.9 billion euros, and 1.8 billion euros in 2014, primarily generated in France. In 2013, Groupe Canal+ achieved a consolidated global turnover of 5.3 billion euros, of which 4.1 billion euros in France, and 5.5 billion euros in 2014, of which 4.1 billion euros in France.  </w:t>
        <w:br/>
        <w:t xml:space="preserve">4. THE NATIONAL RUGBY LEAGUE ASSOCIATION  </w:t>
        <w:br/>
        <w:t xml:space="preserve">19. The French Rugby Federation (hereinafter "FFR"), a declared association recognized as being of public utility, is a licensed sports federation and delegate of the minister responsible for sports, in accordance with Article L. 131-14 of the Sports Code. As such, the FFR has the powers to organize, manage, promote, and regulate the practice of rugby in all its forms in France and to represent it internationally.  </w:t>
        <w:br/>
        <w:t xml:space="preserve">20. By decision of its extraordinary general assembly on June 13, 1998, the FFR decided to create a professional league endowed with legal personality. This professional league, called the National Rugby League (LNR), was established on July 24, 1998.  </w:t>
        <w:br/>
        <w:t xml:space="preserve">21. The LNR is an association governed by the law of July 1, 1901. It ensures the representation, management, and coordination of professional rugby activities. The LNR is responsible for organizing, managing, and regulating the professional French championships of the first and second divisions of men's rugby union (respectively Top 14 and Pro D2).  </w:t>
        <w:br/>
        <w:t xml:space="preserve">22. In this capacity, the LNR is notably responsible for marketing the audiovisual rights of the professional French championships of the first and second divisions, of which the FFR is the owner. In addition to marketing the Top 14, which constitutes its main source of revenue, the LNR is therefore responsible for marketing the audiovisual rights of the Pro D2, which it decided to sell separately from the Top 14 for the 2015/2016 to 2019/2020 seasons.  </w:t>
        <w:br/>
        <w:t xml:space="preserve">6 Cf. references 9 574 and 9 575.  </w:t>
        <w:br/>
        <w:t>4</w:t>
      </w:r>
    </w:p>
    <w:p>
      <w:r>
        <w:t xml:space="preserve">B. THE FACTS  </w:t>
        <w:br/>
        <w:t xml:space="preserve">23. On December 18, 2014, the LNR opened a consultation for the commercialization of the broadcasting rights for the Pro D2 rugby championship, which took place over three rounds. The objective of the LNR during this consultation, aside from the financial aspect, was to ensure the long-term development of the Pro D2 based on an editorial commitment from broadcasters to guarantee better exposure of the competition.  </w:t>
        <w:br/>
        <w:t xml:space="preserve">24. In order to achieve this latter objective and avoid the situation known during the 2014/2015 season where the 60 broadcasted Pro D2 matches were aired at 25 different time slots, the LNR proposed a modification of the competition's broadcasting schedule, assigning it fixed times, Thursday evening for a delayed match and Friday evening for the other matches, thus avoiding the congested time slots of the weekend.  </w:t>
        <w:br/>
        <w:t xml:space="preserve">25. For its first two rounds, the consultation focused on selecting a single broadcaster for the competition. The LNR believed that this exclusivity was necessary to encourage broadcasters to propose ambitious editorial and promotional arrangements. Three candidates submitted offers in response to this consultation: MCS, Eurosport, and GCP via its premium sports channel Canal+ Sport. At each round, the candidates were individually received by the LNR to discuss their offers and points for improvement.  </w:t>
        <w:br/>
        <w:t xml:space="preserve">26. At the end of the second round, the LNR noted that the candidates' offers reached amounts significantly higher than those of previous seasons and proposed better television exposure.  </w:t>
        <w:br/>
        <w:t xml:space="preserve">27. It then considered a lot allocation for the third round, consisting of distinguishing the broadcasting of the best match (the Thursday match) from the broadcasting of the other matches. Such a lot allocation, common in sports rights, allows, in the event of lots being awarded to multiple channels, for the competition to benefit from a wider audience and several promotional arrangements. However, it has the disadvantage of diminishing the appeal of each lot for broadcasters who can no longer claim exclusive broadcasting of the competition unless they manage to win all the lots.  </w:t>
        <w:br/>
        <w:t xml:space="preserve">28. However, this disadvantage was limited for the league since the offers submitted in the second round of bidding were firm and final, which gave it a guarantee of a favorable outcome even in the event of failure in the third round.  </w:t>
        <w:br/>
        <w:t xml:space="preserve">29. Ultimately, the LNR decided on March 12, 2015, to include two new packs ("Thursday Pack" and "Weekend Pack") in the third round of the consultation and informed each candidate during individual meetings, on March 19 for MCS and on March 20, 2015, for GCP and then for Eurosport, to gather their potential comments.  </w:t>
        <w:br/>
        <w:t xml:space="preserve">30. On this occasion, Eurosport proposed to the LNR to add the rebroadcast of the Thursday match to the weekend pack, allowing the broadcaster winning this pack to claim full broadcasting of the competition, and to maintain the initial lot for the full broadcasting of the competition during this third round.  </w:t>
        <w:br/>
        <w:t xml:space="preserve">31. The LNR accepted this proposal and relaunched the consultation on March 23, 2015, giving candidates a seven-day deadline to submit their offers.  </w:t>
        <w:br/>
        <w:t xml:space="preserve">32. During this third round, Eurosport submitted a credible offer on each of the three lots, GCP submitted an offer only for the Thursday Pack, its offer from the second round for obtaining full broadcasting remaining valid, and MCS improved its offer for exclusive full broadcasting but did not apply for the two new lots.  </w:t>
        <w:br/>
        <w:t>5</w:t>
      </w:r>
    </w:p>
    <w:p>
      <w:r>
        <w:t xml:space="preserve">33. After three days of negotiations with the candidates, the LNR selected the combination of offers from Eurosport and Canal+ Sport. This "non-exclusive" solution resulted in a financial amount slightly lower than that proposed by MCS for exclusive broadcasting but allowed for better exposure of the Pro D2 on channels with a strong audience.  </w:t>
        <w:br/>
        <w:t xml:space="preserve">34. Furthermore, according to the LNR, MCS's offer did not meet the required formal conditions. Indeed, it was only valid until April 3, 2015, whereas the LNR required that candidates' offers be valid until May 31, 2015. Moreover, the accompanying letters from SFR-Numericable, whose proposals were associated with MCS's offer, were not signed.  </w:t>
        <w:br/>
        <w:t xml:space="preserve">35. It should be added that the offers proposed by the candidates included commitments to promote the Pro D2 based on an external promotion arrangement (advertising campaign in the press) and internal to the group to which each candidate belonged. In particular, MCS's offer included from the first round a promotion arrangement for the Pro D2 within SFR-Numericable stores.  </w:t>
        <w:br/>
        <w:t xml:space="preserve">36. This point is important because, in parallel with the consultation, the LNR had to be concerned with renewing the marketing partnership contract with Orange, which covered both the Top 14 and the Pro D2 and was set to expire at the end of the 2014/2015 season. This type of partnership allows a company to associate its brand with the image of a sport or competition considered popular by generally guaranteeing it sector exclusivity, in this case, not having other active sponsors in the telecommunications sector.  </w:t>
        <w:br/>
        <w:t xml:space="preserve">37. The promotion plan proposed by MCS could diminish the appeal of this partnership for Orange and therefore posed a financial risk to the LNR. Informed of this risk, MCS added additional commitments to its offer, contingent upon the acceptance of its offer for the Pro D2 rights. These commitments concerned the partnership of the Top 14 and Pro D2 competitions as well as the clubs sponsored by Orange in the event that they lost their contract. These partnerships were of an amount comparable to that of Orange's partnership contract for previous seasons.  </w:t>
        <w:br/>
        <w:t xml:space="preserve">C. THE PRACTICES IN QUESTION  </w:t>
        <w:br/>
        <w:t xml:space="preserve">38. MCS believes that the awarding of the Pro D2 rights to GCP and Eurosport by the LNR resulted from two related agreements between these three entities and that the competitive bidding process was managed in a discriminatory manner against it, which would constitute an abuse of dominant position by the LNR, practices contrary to Articles L.420-1 and L.420-2 of the Commercial Code and Articles 101 and 102 TFEU.  </w:t>
        <w:br/>
        <w:t xml:space="preserve">39. Regarding the alleged agreements, the complainant envisaged a first horizontal agreement between its two competitors, GCP and Eurosport, and a second vertical agreement between three actors, the two previous ones and the LNR.  </w:t>
        <w:br/>
        <w:t xml:space="preserve">40. It specified, during the session, that it was denouncing in fact a single agreement aimed at excluding it and which would have occurred in two stages. In the first stage, GCP and Eurosport would have conspired to jointly convince the LNR to create lots. In the second stage, Eurosport and GCP, joined by the LNR, would have conspired to organize a "sham competition" in the third round, with the aim of excluding MCS by awarding all the lots to GCP and Eurosport.  </w:t>
        <w:br/>
        <w:t>6</w:t>
      </w:r>
    </w:p>
    <w:p>
      <w:r>
        <w:rPr>
          <w:b/>
        </w:rPr>
        <w:t>[Pages 7–9]</w:t>
      </w:r>
    </w:p>
    <w:p>
      <w:r>
        <w:t>41. Furthermore, MCS denounces an abusive exploitation by the LNR of the dominant position it would hold either in "the market for the acquisition of semi-premium sports audiovisual rights," to which the rights of Pro D2 would belong, or in "the bidding market for the allocation of Pro D2 rights for the 2015/2016 to 2019/2020 seasons."</w:t>
        <w:br/>
        <w:t>42. MCS believes that the LNR would have abused its dominant position through discriminatory behavior towards it in order to exclude it from the market: a timeframe that was too short for candidates to submit their bids during the third round, which would have favored GCP and Eurosport, the choice of a financially less advantageous solution for the allocation of rights, and the imposition on MCS, and not on other candidates, to include additional marketing partnership commitments unrelated to Pro D2 in its bid.</w:t>
        <w:br/>
        <w:t>43. In addition to its main application, MCS has filed a request for interim measures. It requests, on the one hand, to suspend the allocation of Pro D2 rights to GCP and Eurosport and any related communication, and, on the other hand, to organize a new allocation procedure for these rights through a transparent and non-discriminatory competitive bidding process.</w:t>
        <w:br/>
        <w:t>II. Discussion</w:t>
        <w:br/>
        <w:t>44. Article L. 462-8 of the Commercial Code provides that the Competition Authority may "reject the application by reasoned decision when the facts invoked are not supported by sufficiently probative elements." Furthermore, Article R. 464-1 of the same code states that: "the request for interim measures mentioned in Article L. 464-1 can only be made as an ancillary to a main application to the Competition Authority."</w:t>
        <w:br/>
        <w:t>1. ON THE ALLEGED ABUSES OF DOMINANT POSITION</w:t>
        <w:br/>
        <w:t>a) On the market for "semi-premium" rights to which the rights of Pro D2 would belong and on which the LNR would be in a dominant position</w:t>
        <w:br/>
        <w:t>45. In the upstream markets for the acquisition of broadcasting rights for audiovisual programs, where rights holders are suppliers and television channel publishers are demanders, the decisional practice has distinguished between markets related to the acquisition of broadcasting rights for films and series on the one hand, and those concerning the broadcasting of sporting events on the other hand.</w:t>
        <w:br/>
        <w:t>46. Regarding audiovisual rights for sporting competitions, the decisional practice has progressively distinguished:</w:t>
        <w:br/>
        <w:t>7 Decision of the Competition Authority No. 12-DCC-100 of July 23, 2012, concerning the exclusive control of TPS and Canalsatellite by Vivendi and Groupe Canal Plus.</w:t>
        <w:br/>
        <w:t>8 Decisions of the Authority No. 12-DCC-100, point 78, and No. 14-DCC-50, point 95, cited above.</w:t>
      </w:r>
    </w:p>
    <w:p>
      <w:r>
        <w:t>• the market for the purchase of rights for broadcasting on pay and free television services of Ligue 1 football matches;</w:t>
        <w:br/>
        <w:t>• the market for the purchase of rights for broadcasting on pay and free television services of regular football competitions that take place throughout the year and involve French teams (including notably Ligue 2, national cups, the Champions League, and the Europa League);</w:t>
        <w:br/>
        <w:t>• the market for the purchase of rights for broadcasting on pay and free television services of the most attractive foreign football championships;</w:t>
        <w:br/>
        <w:t>• the market for the purchase of rights for broadcasting on pay and free television services of other football competitions;</w:t>
        <w:br/>
        <w:t>• the market for the purchase of rights for broadcasting on pay and free television services of major sporting events other than football;</w:t>
        <w:br/>
        <w:t>• the market for the purchase of rights for broadcasting on pay and free television services of sporting competitions other than football and outside major events.</w:t>
        <w:br/>
        <w:t>47. This last market, which is by far the largest in terms of the number of rights concerned, encompasses the least valued rights that have not been distinguished by any particular attractiveness. It is conveniently referred to as the "other rights" market.</w:t>
        <w:br/>
        <w:t>48. The decisional practice has never fundamentally resolved the question of the relevant market to which rugby rights belong, even though the Authority considered in its decision on interim measures No. 14-MC-01 of July 30, 2014, confirmed by the Paris Court of Appeal in a ruling of October 9, 2014, that the rights of the Top 14 exhibited all the characteristics of premium rights and, consequently, could fall under relevant markets other than that of the "other rights" market. Regarding the rights of Pro D2, no decision has challenged the established decisional practice which considers that these rights fall under the "other rights" market.</w:t>
        <w:br/>
        <w:t>49. However, MCS, moving away from this segmentation, argues that the rights of Pro D2 would belong to a new market of "semi-premium" sports audiovisual rights that would group together rights "which, without meeting all the criteria usually retained by case law to identify a premium character, are significant audience drivers for thematic sports channels and sufficiently attractive content to also interest premium channels."</w:t>
        <w:br/>
        <w:t>50. According to it, these "semi-premium" rights would at least include those of Pro D2 rugby, Pro A basketball, and D1 handball, which currently fall under the "other rights" market, and those of Ligue 2 football, which currently falls under the market of "regular football competitions that take place throughout the year and involve French teams."</w:t>
        <w:br/>
        <w:t>51. But the definition of relevant markets is primarily based on the analysis of the substitutability of goods from the demand side, and additionally, on the analysis of this substitutability from the supply side. From this perspective, the criteria proposed by the complainant to define a new market for "semi-premium" sports rights are ineffective.</w:t>
        <w:br/>
        <w:t>52. Indeed, the complainant does not explain the objective elements that would distinguish competitions that would be "audience drivers" for ordinary thematic channels but only "attractive" content for premium channels. Its approach essentially starts from the supply side, classifying pay channels into different categories, and then projects these categories onto audiovisual rights to analyze their substitutability.</w:t>
        <w:br/>
        <w:t>53. However, the decisional practice reasons in the opposite direction: it starts from the demand for sports content. It distinguishes premium sports rights, so qualified because they meet a certain number of precise objective characteristics, and considers that it is by purchasing such rights that a channel acquires the status of a premium channel.</w:t>
        <w:br/>
        <w:t>54. The measurement of the attractiveness and thus the substitutability of sports rights by reference to the channels that hold them does not reflect the reality of the market. It thus appears that premium sports channels like Canal+ and Canal+Sport possess a wide variety of rights, with very heterogeneous attractiveness and value, for example, those of certain motorcycle, cycling, golf, triathlon, or boxing competitions, which are not premium content and whose market valuation is even much lower than that of the "semi-premium" rights for which the complainant has provided an indicative list.</w:t>
        <w:br/>
        <w:t>55. Furthermore, the complainant rightly points out, as the Authority had already done in its decision No. 14-MC-01, that the "other rights" market is defined by default and encompasses a set of heterogeneous rights in terms of attractiveness and value. It is therefore possible to distinguish within this mass certain rights that are more expensive than others and to note, particularly based on this price criterion, that Pro D2 is indeed more attractive than many other sporting events whose television audiences are minimal.</w:t>
        <w:br/>
        <w:t>56. It is also possible to assert that this competition has today become as attractive as the professional basketball or handball championship and to recall that the value of audiovisual rights can evolve over time depending on the improvement of the level of competitions and public interest, which opens the possibility for certain sports rights to change category, as the decisional practice recognized for the Top 14.</w:t>
        <w:br/>
        <w:t>57. Based on these findings, the complainant characterizes "semi-premium" rights by the fact that they would be "sufficiently attractive" without, however, being so attractive as to constitute premium content. In this regard, it considers that Pro D2 does not meet all the characteristics of a premium product because "its valuation is in absolute terms less than 10 million euros."</w:t>
        <w:br/>
        <w:t>58. However, beyond these few examples of rights that have reached higher prices, it does not provide any elements allowing, based on this attractiveness criterion measured by price, to clearly distinguish "semi-premium" content from that which is not. In the absence of a convincing analysis of substitutability, the notion of "semi-premium" sports audiovisual rights, based solely on the criterion of a price higher than the average of the "other rights," is insufficient on its own to define a relevant market.</w:t>
        <w:br/>
        <w:t>59. Finally and above all, such a classification between "semi-premium" content and ordinary content within the heterogeneous set that constitutes the "other rights" is indifferent for competition law as long as it does not indicate what legal consequence should be drawn from it.</w:t>
        <w:br/>
        <w:t>60. Indeed, in the current state of case law, "the other rights" are all the sports rights that are only subject to the common law of contracts and the principle of freedom of contract.</w:t>
      </w:r>
    </w:p>
    <w:p>
      <w:r>
        <w:rPr>
          <w:b/>
        </w:rPr>
        <w:t>[Pages 10–12]</w:t>
      </w:r>
    </w:p>
    <w:p>
      <w:r>
        <w:t xml:space="preserve">commerce without being either framed by public regulation or regulated by case law from competition authorities.  </w:t>
        <w:br/>
        <w:t xml:space="preserve">61. Distinguishing within this set of rights classified as "semi-premium" would only make sense if it could be specified how these contents should no longer be subject solely to the principle of freedom of commerce and what consequences the competition authorities should draw from it to apply the commercial code or the TFEU treaty.  </w:t>
        <w:br/>
        <w:t xml:space="preserve">62. However, during the session, MCS was unable to indicate the precise legal consequences that could result from a classification as "semi-premium" sports rights. It acknowledged that it did not consider it possible to impose on the holders of these rights an allocation through transparent and non-discriminatory competition based on the model of tenders required by case law for premium rights. It also did not argue that the duration of exclusivity of these rights should be limited a priori as is done for premium rights or as required by Articles L. 333-1, R. 333-1 to R. 333-3 of the sports code for certain categories of sports rights in France.  </w:t>
        <w:br/>
        <w:t xml:space="preserve">63. Imposing such conditions would indeed amount to absorbing the category of semi-premium rights into that of premium rights.  </w:t>
        <w:br/>
        <w:t xml:space="preserve">64. No element provided by the complainant or gathered during the investigation justifies modifying the current decision-making practice and considering that the rights of ProD2 are no longer part of the market of "other rights."  </w:t>
        <w:br/>
        <w:t xml:space="preserve">b) On the assumption of a dominance of the LNR in the instant market of the competitive bidding procedure for the allocation of Pro D2 rights  </w:t>
        <w:br/>
        <w:t xml:space="preserve">65. The complainant believes that the consultation for the allocation of Pro D2 rights for the 2015/2016 to 2019/2020 seasons has the characteristics of a tender and that there is therefore a relevant instant market limited to this consultation alone on which the LNR would be dominant by construction.  </w:t>
        <w:br/>
        <w:t xml:space="preserve">66. However, while it is true that a tender is, for the companies responding to it, an instant market where collusion practices or abuses of dominant position can be observed, the mere decision to organize a tender is not sufficient to create a limited upstream market for the good put to competition and on which the organizer of the consultation would be in a dominant position.  </w:t>
        <w:br/>
        <w:t xml:space="preserve">67. In this case, it must first be noted, as the CSA did in its opinion, that the LNR is not bound by Articles L. 333-1, R. 333-1 to R. 333-3 of the sports code to proceed with a transparent and non-discriminatory competitive bidding process for the sale of Pro D2 rights. This point is not contested by the complainant, who also does not argue that the league was required to conduct a tender in accordance with the decision-making practice of competition authorities regarding the allocation of premium sports rights.  </w:t>
        <w:br/>
        <w:t xml:space="preserve">68. It is therefore established and uncontested that the LNR is legally free to allocate the ProD2 rights by the procedure it deems most appropriate.  </w:t>
        <w:br/>
        <w:t xml:space="preserve">69. It could therefore, for the years 2016 to 2020, either sell these rights by private treaty as it did before 2007, or offer them as a separate lot during the allocation of Top 14 rights as it did in 2011, or propose them during a separate consultation, which it chose to do, but with a procedure of its choice and selection criteria that could have been different from those retained.  </w:t>
        <w:br/>
        <w:t xml:space="preserve">70. Under these conditions, the mere fact that this consultation could be seen as a relevant instant market does not have any consequence for the qualification of a dominant position of the LNR as the organizer of the consultation.  </w:t>
        <w:br/>
        <w:t xml:space="preserve">71. Indeed, in such an instant market, the LNR is not competing with broadcasters for the purchase of television rights but is the seller of these rights. It cannot therefore abuse its position to eliminate competitors and strengthen its dominance in a market where it is not present as an offeror.  </w:t>
        <w:br/>
        <w:t xml:space="preserve">72. Certainly, by analogy with what is judged for football, one could consider that the LNR abuses, during a tender, a dominant position it would hold in an upstream market for the sale of audiovisual rights due to the attractiveness and value of the rights it holds. But this reasoning, to be validly held, requires prior demonstration that the rights in question, in this case those of ProD2, are likely to confer such a dominant position, which requires analyzing their substitutability compared to those of other sports competitions from the perspective of sports channels.  </w:t>
        <w:br/>
        <w:t xml:space="preserve">73. Otherwise, it would suffice for a small sports federation holding audiovisual rights to competitions, certainly very honorable like all sports disciplines but not very attractive to broadcasters, to decide to no longer sell them by private treaty but by tender to thereby create a tiny relevant market for its own sports rights on which it would be in a monopoly. Such reasoning cannot be accepted.  </w:t>
        <w:br/>
        <w:t xml:space="preserve">74. In reality, the complainant is attempting with this argument of the instant market to reintroduce the idea that there would exist upstream a very narrow relevant market, limited to the ProD2 rights alone or to the rights held solely by the LNR. But this hypothesis has already been dismissed during the analysis of the new notion of "semi-premium" rights.  </w:t>
        <w:br/>
        <w:t xml:space="preserve">75. Consequently, the mere fact that the LNR freely wished to resort to a competitive bidding process to sell the ProD2 rights is not a sufficient criterion to define a dominant position in an upstream market limited to these rights.  </w:t>
        <w:br/>
        <w:t xml:space="preserve">2. ON THE ALLEGED COLLUSION  </w:t>
        <w:br/>
        <w:t xml:space="preserve">76. In its initial complaint, MCS denounces two collusions, on the one hand, "a horizontal collusion between GCP and Eurosport, for the purpose of coordinating their offers and convincing the LNR to abandon the principle of a single broadcaster" and, on the other hand, "a vertical collusion between the LNR, GCP, and Eurosport to modify the conditions for the allocation of ProD2 rights" in order to allocate these rights to GCP and Eurosport and to eliminate MCS.  </w:t>
        <w:br/>
        <w:t xml:space="preserve">77. However, these collusions would not be independent, and the complainant confirmed during the session that it was actually targeting only one "sequenced" collusion, of which the alleged consultation between GCP and Eurosport would only constitute a "preparatory step," considering that "for [the] common strategy [of GCP and Eurosport] aimed at sharing the Pro D2 rights to fully produce its effects, GCP and Eurosport had to obtain the support of the LNR."  </w:t>
        <w:br/>
        <w:t xml:space="preserve">78. But it does not provide any probative evidence of an abnormal conduct of the consultation likely to support the hypothesis of such a sequenced collusion. It does not argue that the selection criteria for offers would have been modified during the consultation to be oriented against it, nor does it demonstrate that the conduct of the consultation would have been modified or interrupted solely to distort the result.  </w:t>
        <w:br/>
        <w:t xml:space="preserve">79. It also does not demonstrate that the offers from GPC and Eurosport selected would be non-compliant with the selection criteria set by the consultation and does not provide any element supporting its allegation that these lot offers would be manifestly disadvantageous for the LNR, merely noting, which is not contested, that its overall offer was slightly better financially.  </w:t>
        <w:br/>
        <w:t xml:space="preserve">80. The elements of the file and the debates have, on the contrary, shown that the objectives stated by the LNR before the opening of the consultation were not modified and that its final choice appears economically rational since the two pursued objectives, obtaining as high a price as possible and improving the exposure of ProD2, were indeed achieved.  </w:t>
        <w:br/>
        <w:t xml:space="preserve">81. Finally, the complainant presents as an indication of collusion the fact that GCP and Eurosport would have bid on the lots that, according to it, interested them the most: "GPC broadcasting Ligue 1 football, it is evident that only the Thursday Pack interested it"; "Eurosport had every interest in obtaining the Weekend Pack rather than the Thursday Pack in order to preserve the interests of its partner GCP" (cote 37).  </w:t>
        <w:br/>
        <w:t xml:space="preserve">82. But this argument is actually lacking since the competitors did not bid only on the lots they obtained. GPC had made, in the second round, a firm offer on the entirety of the competition. Similarly, the collusion should have, according to the complainant, led Eurosport to focus solely on the weekend lot while it bid on all lots, the Weekend Pack, the Thursday Pack, and the full pack, and credibly during the third round of consultation.  </w:t>
        <w:br/>
        <w:t xml:space="preserve">83. Moreover, the complainant presents Eurosport's interest in the Weekend Pack as an indication of collusion. This preference would be explained, according to it, by the desire of this company "to preserve the interests of its partner GCP," without providing any element supporting the possibility of a collusion between these two companies. Thus, we are faced with a circular reasoning where the complainant assumes a prior collusion between GCP and Eurosport to develop an indication intended to prove its existence.  </w:t>
        <w:br/>
        <w:t xml:space="preserve">84. In the absence of probative material elements, which are certainly difficult to gather in matters of collusion, the complainant could at least rely on what is commonly referred to as intellectual evidence by showing the consistency of the alleged collusive scenario. But the anti-competitive scenario presented appears on the contrary contradictory in several respects.  </w:t>
        <w:br/>
        <w:t xml:space="preserve">85. Firstly, the objectives of the three-party collusion, the vertical consultation that would have been its core, and the indications of an anti-competitive object of the practices are exactly the same as those used to allege an abuse of dominant position by the LNR. The complainant itself insists on the decisive role of the league by estimating that to exclude MCS "GCP and Eurosport had to obtain the support of the LNR." It thus appears that the exclusion of MCS which is denounced could be implemented unilaterally by the league, and it is difficult to understand the necessity for it to go through a prior collusion with GCP and Eurosport.  </w:t>
        <w:br/>
        <w:t>86. Secondly, even assuming that the vertical collusion was necessary for the implementation of the alleged discrimination, one still does not understand the interest of the LNR in participating in it. Indeed, a collusion is implemented to maximize the collective interest of its members to the detriment of the operators deceived by the consultation. A horizontal collusion between GCP and Eurosport should therefore aim to obtain ProD2 at a lower cost to the detriment of the LNR. But if it participates in the final vertical collusion, which absorbs the previous one, then it must be admitted that the LNR joins GCP and Eurosport to sell its rights under disadvantageous conditions solely to eliminate MCS's offer, even though that offer would be more favorable to it.</w:t>
      </w:r>
    </w:p>
    <w:p>
      <w:r>
        <w:rPr>
          <w:b/>
        </w:rPr>
        <w:t>[Pages 13–13]</w:t>
      </w:r>
    </w:p>
    <w:p>
      <w:r>
        <w:t xml:space="preserve">87. This is a completely improbable scenario in which the organizer of the call for tenders contributes to its own misfortune by participating in a consultation that is detrimental to its interests. Moreover, the complainant, when questioned on this point during the session, indicated that she did not claim that the league's leaders, by personally participating in an agreement, would have prioritized their own interests to the detriment of their organization. Their legitimacy to select the holders of the lots based on their understanding of the interests of the LNR is therefore not contested.  </w:t>
        <w:br/>
        <w:t xml:space="preserve">88. Under these conditions, and in the absence of any compelling evidence of an abnormal conduct of the consultation, the alleged vertical agreement by the complainant appears only as a way to contest the LNR's free choice to accept the proposal from GCP and Eurosport rather than her own.  </w:t>
        <w:br/>
        <w:t xml:space="preserve">3. CONCLUSION  </w:t>
        <w:br/>
        <w:t xml:space="preserve">89. It follows from all of the above that the facts invoked in the context of the referral are not supported by sufficiently compelling elements to substantiate the existence of practices that would have had the object or effect of hindering the free play of competition.  </w:t>
        <w:br/>
        <w:t xml:space="preserve">90. Consequently, it is appropriate to apply the provisions of Article L. 462-8 of the Commercial Code and to reject the referral registered under number 15/0063F and, therefore, the request for interim measures registered under number 15/0064M.  </w:t>
        <w:br/>
        <w:t xml:space="preserve">DECISION  </w:t>
        <w:br/>
        <w:t xml:space="preserve">Article 1: The referral from Ma Chaîne Sport SAS registered under number 15/0063F is rejected.  </w:t>
        <w:br/>
        <w:t xml:space="preserve">Article 2: The request for interim measures from Ma Chaîne Sport SAS registered under number 15/0064M is rejected.  </w:t>
        <w:br/>
        <w:t xml:space="preserve">Deliberated on the oral report of Ms. Jehanne Richet, rapporteur, and the intervention of Mr. Joël Tozzi, deputy general rapporteur, by Mr. Thierry Dahan, vice-president, president of the session, Ms. Pierrette Pinot, Ms. Isabelle de Silva, Ms. Carol Xueref, and Mr. Philippe Choné, members.  </w:t>
        <w:br/>
        <w:t xml:space="preserve">The session secretary, The president,  </w:t>
        <w:br/>
        <w:t xml:space="preserve">Caroline Chéron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