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https://www.autoritedelaconcurrence.fr/fr/decision/relative-des-pratiques-mises-en-oeuvre-loccasion-des-marches-de-realisation-du-logiciel</w:t>
      </w:r>
    </w:p>
    <w:p>
      <w:r>
        <w:t>Pages translated : 5</w:t>
      </w:r>
    </w:p>
    <w:p/>
    <w:p>
      <w:r>
        <w:rPr>
          <w:b/>
        </w:rPr>
        <w:t>[Pages 1–3]</w:t>
      </w:r>
    </w:p>
    <w:p>
      <w:r>
        <w:t xml:space="preserve">FRENCH REPUBLIC  </w:t>
        <w:br/>
        <w:t xml:space="preserve">Decision No. 04-D-68 of December 14, 2004  </w:t>
        <w:br/>
        <w:t>regarding practices implemented during the procurement contracts for the Arcad software in 1996 and 1997</w:t>
      </w:r>
    </w:p>
    <w:p>
      <w:r>
        <w:t xml:space="preserve">The Competition Council (Permanent Commission),  </w:t>
        <w:br/>
        <w:t xml:space="preserve">Having regard to the letter registered on September 1, 1999, under number F 1165, in which the Minister of Economy, Finance, and Industry referred the matter to the Competition Council, based on a report from the Court of Auditors noting practices implemented by the companies Cisi SA, Softeam SA, and PGCC Technologie, bidders for the procurement contracts for the Arcad software awarded by the Technical Studies Service for Roads and Highways (SETRA) in 1996 and 1997;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decision requesting the communication of documents taken by the Competition Council on February 18, 2004 (No. 04-J-01);  </w:t>
        <w:br/>
        <w:t xml:space="preserve">Having regard to the observations presented by the Government Commissioner;  </w:t>
        <w:br/>
        <w:t xml:space="preserve">Having regard to the other documents in the file;  </w:t>
        <w:br/>
        <w:t xml:space="preserve">The reporting officer, the general rapporteur, and the Government Commissioner heard during the session of November 24, 2004;  </w:t>
        <w:br/>
        <w:t>Adopts the following decision:</w:t>
      </w:r>
    </w:p>
    <w:p>
      <w:r>
        <w:t xml:space="preserve">I. Findings  </w:t>
        <w:br/>
        <w:t xml:space="preserve">A. PRESENTATION OF THE COMPANIES INVOLVED  </w:t>
        <w:br/>
        <w:t xml:space="preserve">1. THE PROJECT OWNER: THE TECHNICAL STUDIES SERVICE FOR ROADS AND HIGHWAYS (SETRA)  </w:t>
        <w:br/>
        <w:t xml:space="preserve">1. SETRA is a technical service attached to the road directorate of the Ministry of Equipment. SETRA launched the Arcad project (Road Development: Computer-Aided Design and Diagnosis) in 1992. This project aimed to produce a complete workshop for computer-aided road design by creating a tool that unifies the entire methodology of road design. This tool was intended to eventually become the software supporting all design activities for the French road network. However, this very ambitious project was abandoned at the end of the 1990s.  </w:t>
        <w:br/>
        <w:t xml:space="preserve">2. This project comprised four stages: a preliminary stage defining the project's scope, finalized by a feasibility study, a design stage, an implementation stage, and a dissemination stage.  </w:t>
        <w:br/>
        <w:t xml:space="preserve">3. The contracts awarded by SETRA in 1996 and 1997 relate to the implementation stage of the Arcad project in its version 1.0 resulting from the design stage. There are three of them: the contract for the "common elements" subsystems, which deals with the basic software elements allowing the production of the rest of the operation; the contract for the "business elements" subsystems, which concerns the operational aspects of the software; and the contract for the "Human-Machine Interface (HMI)."  </w:t>
        <w:br/>
        <w:t>4. The contract for the "common elements" subsystems and the contract for the "business elements" subsystems were awarded following restricted calls for tenders, organized simultaneously and at the community level. In contrast, the awarding of the contract for the implementation of the "Human-Machine Interface (HMI)" was more delicate: a first unsuccessful call for tenders was followed by a negotiated procedure after competition. The third contract is therefore a negotiated contract, preceded by a competitive process.</w:t>
      </w:r>
    </w:p>
    <w:p>
      <w:r>
        <w:t xml:space="preserve">2. THE BIDDING COMPANIES  </w:t>
        <w:br/>
        <w:t xml:space="preserve">5. The following table summarizes the ranking of the candidate companies according to the considered contracts:  </w:t>
        <w:br/>
        <w:t xml:space="preserve">Contracts "Arcad Elements" "Common Elements" "Business Elements" "Human-Machine Interface"  </w:t>
        <w:br/>
        <w:t xml:space="preserve">Rank 1st AO 2nd AO  </w:t>
        <w:br/>
        <w:t xml:space="preserve">1st Cisi/Corys Softeam Stilog PGCC Technologie  </w:t>
        <w:br/>
        <w:t xml:space="preserve">2nd Softeam Cisi/Corys Cisi Euriware  </w:t>
        <w:br/>
        <w:t xml:space="preserve">3rd PGCC Technologie Teuchos Teuchos/Stilog  </w:t>
        <w:br/>
        <w:t xml:space="preserve">4th Teuchos Simulog Protectic Cisi  </w:t>
        <w:br/>
        <w:t xml:space="preserve">5th I2M/Simulog Protectic  </w:t>
        <w:br/>
        <w:t>6. The Chairman and CEO of Cisi SA was also a director of PGCC Technologie. Furthermore, Euriware was a fourth-tier subsidiary of CEA Industrie, the parent company of Cisi SA at the time.</w:t>
      </w:r>
    </w:p>
    <w:p>
      <w:r>
        <w:t xml:space="preserve">B. PRESENTATION OF THE PROVISIONAL CONCLUSIONS OF THE COURT OF AUDITORS  </w:t>
        <w:br/>
        <w:t xml:space="preserve">7. The referral to the Competition Council is based on a report of provisional findings made at the end of January 1999 by the Court of Auditors regarding SETRA, which states that "presumptions of illegal collusion weigh on the awarding of the three contracts for the implementation of the Arcad project. They result from a bundle of multiple and consistent indicators:  </w:t>
        <w:br/>
        <w:t xml:space="preserve">- A prior context favorable to misconduct;  </w:t>
        <w:br/>
        <w:t xml:space="preserve">- The existence of close relationships between two of the three companies holding the contracts and with a third company in the case of the "Human-Machine" interface;  </w:t>
        <w:br/>
        <w:t xml:space="preserve">- The troubling attitude of the public buyer;  </w:t>
        <w:br/>
        <w:t xml:space="preserve">- The submission of unserious bids by certain candidates;  </w:t>
        <w:br/>
        <w:t xml:space="preserve">- The highlighting of numerous price relationships between the bids of the main candidates;  </w:t>
        <w:br/>
        <w:t>- And finally, the significance of the super-profit rates achieved by the two related holders, which are hardly compatible with the reality of competition.</w:t>
      </w:r>
    </w:p>
    <w:p>
      <w:r>
        <w:t>The general context even leads one to wonder if, in the case of the human-machine interface contract, the declaration of an unsuccessful call for tenders, the introduction of a third related company, and the premature exclusion of the lowest bidder in the first round, during the second consultation, did not have the purpose or effect of ensuring the awarding of the contract to the company that had already been favored in the design phase of the project."</w:t>
      </w:r>
    </w:p>
    <w:p>
      <w:r>
        <w:t xml:space="preserve">C. THE PROCEDURE BEFORE THE HIGH COURT OF NANTERRE  </w:t>
        <w:br/>
        <w:t xml:space="preserve">8. In parallel with the referral to the Competition Council, by letter dated July 23, 1999, the Attorney General at the Court of Auditors referred the same practices to the prosecutor of the High Court (TGI) of Nanterre under Articles 432-14, 432-17, 321-1 and following of the Penal Code. The case was closed by an order of non-suit dated September 17, 2003, on the grounds that there were not sufficient charges against anyone for having committed the offenses of collusion, favoritism, and organized favoritism.  </w:t>
        <w:br/>
        <w:t>9. The Competition Council, by decision No. 04-J-01 of February 18, 2004, requested the President of the High Court of Nanterre to kindly transmit to it the hearing minutes, investigation reports, or excerpts thereof directly related to the facts it is seized of. These documents were transmitted to the Competition Council by mail on March 12, 2004.</w:t>
      </w:r>
    </w:p>
    <w:p>
      <w:r>
        <w:t xml:space="preserve">II. Discussion  </w:t>
        <w:br/>
        <w:t xml:space="preserve">10. Pursuant to Article L. 464-6 of the Commercial Code, "when no practice likely to harm competition in the market is established, the Competition Council may decide, after the author of the referral and the Government Commissioner have been given the opportunity to consult the file and make their observations, that there is no need to continue the procedure."  </w:t>
        <w:br/>
        <w:t>11. The reports of the Court of Auditors, in support of the Minister's referral, denounce, for the three contracts in question, a "presumption of collusion." The procedure before the court...</w:t>
      </w:r>
    </w:p>
    <w:p>
      <w:r>
        <w:rPr>
          <w:b/>
        </w:rPr>
        <w:t>[Pages 4–5]</w:t>
      </w:r>
    </w:p>
    <w:p>
      <w:r>
        <w:t>The High Court of Nanterre has, nevertheless, not allowed for the collection of elements supporting this presumption.</w:t>
      </w:r>
    </w:p>
    <w:p>
      <w:r>
        <w:t>12. In particular, it is necessary to note among these documents, a letter dated August 1, 2000, from the Minister of Equipment, Transport, and Housing addressed to the First President of the Court of Auditors: "Regarding the presumptions of collusion raised by the Court of Auditors concerning the procurement contracts within the framework of the Arcad project," the minister indicates that "a careful examination of this point has not, to date, allowed for the confirmation of these presumptions [which] appear fragile."</w:t>
      </w:r>
    </w:p>
    <w:p>
      <w:r>
        <w:t>13. The police officer who conducted the investigation also confirms, in a report dated July 3, 2003, the absence of elements provided by the aforementioned judicial procedure that could support the presumptions of the Court of Auditors: "From the analysis of the orders and the search at the headquarters of SETRA during the years 1995 to 1997, it appears that numerous operations amounting to less than 300,000 francs can be linked to identical projects. This "abusive" fragmentation noted by the Court of Auditors was, according to Mr. Jean-Claude X…, current director of SETRA, heard on November 27, 2002, mainly due to "a lack of knowledge of the public procurement code (on the part of) many engineers at SETRA authorized to place orders. This "lack of knowledge" is compounded by the absence of accounting by supplier. Mr. X… further specified that, given the technical complexity of the projects implemented by SETRA and the uncertainties regarding their future development costs, it was very difficult to make an accurate estimate prior to their launch.</w:t>
      </w:r>
    </w:p>
    <w:p>
      <w:r>
        <w:t>Heard on May 19, 2003, Mr. François Y…, director of SETRA at the time of the facts, confirmed Mr. X…'s statements regarding the difficulties in predicting the cost of operations carried out by SETRA. He indicated that following the audit by the Court of Auditors, he had instituted certain tools to control orders (Cassiopée software, awareness seminars for SETRA executives on the public procurement code, creation of accounting for orders by supplier).</w:t>
      </w:r>
    </w:p>
    <w:p>
      <w:r>
        <w:t>14. The searches conducted at the headquarters of SETRA did not therefore yield material evidence of collusion between SETRA and the bidders, capable of confirming the presumptions of the Court of Auditors.</w:t>
      </w:r>
    </w:p>
    <w:p>
      <w:r>
        <w:t>15. Furthermore, no element in the file allows for the confirmation of the hypothesis that the bidders could have colluded, without the intervention of SETRA, in connection with the contracts related to the Arcad software. In particular, regarding the presence of an administrator within the company PGCC Technologie, who is also the CEO of Cisi SA, it should be noted that there are indeed examples where companies with significant structural or capital links engage in genuine competition, so that in the absence of other elements, it is not possible to conclude to an anti-competitive agreement between these two companies, nor even with the company Euriware, a fourth-tier subsidiary of CEA Industrie, the parent company of Cisi SA at the time.</w:t>
      </w:r>
    </w:p>
    <w:p>
      <w:r>
        <w:t>16. The elements of the file do not therefore allow for the establishment that the companies bidding for the contracts for the implementation of the Arcad software, awarded by the Technical Studies Service for Roads and Highways (SETRA) in 1996 and 1997, engaged in practices that could be qualified under Article L. 420-1 of the Commercial Code.</w:t>
      </w:r>
    </w:p>
    <w:p>
      <w:r>
        <w:t>17. It follows from the above that the provisions of Article L. 464-6 of the Commercial Code should be applied.</w:t>
      </w:r>
    </w:p>
    <w:p>
      <w:r>
        <w:t>DECISION</w:t>
        <w:br/>
        <w:t>Single Article. There is no need to continue the procedure.</w:t>
        <w:br/>
        <w:t>Deliberated, on the report of Ms. Zoude-Le-Berre, by Mr. Lasserre, president, Ms. Aubert and Ms. Perrot as well as Mr. Nasse, vice-presidents.</w:t>
        <w:br/>
        <w:t>The session secretary, The president,</w:t>
        <w:br/>
        <w:t>Christine Charron Bruno Lasserre</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