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https://www.autoritedelaconcurrence.fr/fr/decision/relative-des-pratiques-mises-en-oeuvre-lors-de-la-passation-dun-marche-de-renovation-de</w:t>
      </w:r>
    </w:p>
    <w:p>
      <w:r>
        <w:t>Pages translated : 15</w:t>
      </w:r>
    </w:p>
    <w:p/>
    <w:p>
      <w:r>
        <w:rPr>
          <w:b/>
        </w:rPr>
        <w:t>[Pages 1–3]</w:t>
      </w:r>
    </w:p>
    <w:p>
      <w:r>
        <w:t>FRENCH REPUBLIC</w:t>
        <w:br/>
        <w:t>Decision No. 05-D-45 of July 22, 2005</w:t>
        <w:br/>
        <w:t>regarding practices implemented during the awarding of a</w:t>
        <w:br/>
        <w:t>contract for the renovation of the</w:t>
        <w:br/>
        <w:t>incineration plant in Issy les Moulineaux</w:t>
        <w:br/>
        <w:t>The Competition Council (Section II),</w:t>
        <w:br/>
        <w:t>Having regard to the letter registered on January 15, 2002, under number 02/0026 F, by which the Minister of Economy, Finance and Industry referred to the Competition Council practices implemented during the awarding of a contract for the renovation of the incineration plant in Issy-les-Moulineaux;</w:t>
        <w:br/>
        <w:t>Having regard to Book IV of the Commercial Code relating to price freedom and competition, Decree No. 86-1309 of December 29, 1986, as amended, and Decree No. 2002-689 of April 30, 2002, setting the conditions for the application of Book IV of the Commercial Code;</w:t>
        <w:br/>
        <w:t>Having regard to the decision dated March 7, 2005, by which the President of the Competition Council decided to resort to a simplified procedure within the meaning of Article L. 463-3 of the Commercial Code and the letters sent to the parties to inform them;</w:t>
        <w:br/>
        <w:t>Having regard to the observations presented by the companies FL Smidth Airtech and Isotec Entreprise and by the government commissioner;</w:t>
        <w:br/>
        <w:t>Having regard to the other documents in the file;</w:t>
        <w:br/>
        <w:t>The rapporteur, the general rapporteur, the government commissioner, and the companies FL Smidth Airtech and Isotec Entreprise heard during the session of June 21, 2005;</w:t>
        <w:br/>
        <w:t>Adopts the following decision:</w:t>
        <w:br/>
        <w:t>I. Findings</w:t>
        <w:br/>
        <w:t>A. THE CONTRACT IN QUESTION</w:t>
        <w:br/>
        <w:t>1. This case concerns a contract for partial renovation work on the metal silos for storing fly ash (soot) of the household waste treatment plant in Issy-les-Moulineaux, built in 1965. Pending the commissioning of a new plant (the ISSEANE project), certain renovation work was necessary to maintain the operation and safety of the old site of the Issy-les-Moulineaux plant, as part of a broader renovation project for the waste treatment plants of Issy-les-Moulineaux, Ivry, and Saint Ouen, operated by the company Traitement Industriel des Résidus Urbains (TIRU) SA and dependent on the activity of the Intercommunal Union for Household Waste Treatment (SYCTOM). This contract concerned two main sets: the fluidization system for soot on the one hand and the air evacuation system on the other, with the aim of ensuring correct safety conditions in the operation of the soot silos. The work had to comply with operational constraints of the plant, notably specific and reduced intervention dates and deadlines during operational interruptions.</w:t>
        <w:br/>
        <w:t>2. Three successive procedures were necessary, between 1998 and 2000, to award this contract: two open calls for tenders followed by a negotiated procedure. The exact content of the work of the contract evolved over the various procedures. The characteristics of these different procedures are summarized in the following table:</w:t>
        <w:br/>
        <w:t>Procedure First Call for Tenders Second Call for Tenders Negotiated Procedure</w:t>
        <w:br/>
        <w:t>open open</w:t>
        <w:br/>
        <w:t>Operations to be Renovation, on each of the Removal compared to the Removal compared to the</w:t>
        <w:br/>
        <w:t>carried out lines of smoke treatment, first call for tenders of second call for tenders of</w:t>
        <w:br/>
        <w:t>of the lower parts of the replacements and work on the addition of new</w:t>
        <w:br/>
        <w:t>soot silos and their four cyclones, piping, line take-offs for soot on</w:t>
        <w:br/>
        <w:t>environments bottom of the relaxation hopper</w:t>
        <w:br/>
        <w:t>Date of launch January 16, 1998 May 7, 1999 October 4, 1999</w:t>
        <w:br/>
        <w:t>Date of publication January 23, 1998 May 14, 1999 /</w:t>
        <w:br/>
        <w:t>Deadline for receipt March 2, 1998 June 15, 1999 December 8, 1999</w:t>
        <w:br/>
        <w:t>of offers</w:t>
        <w:br/>
        <w:t>Contracting authority SYCTOM SYCTOM SYCTOM</w:t>
        <w:br/>
        <w:t>2</w:t>
      </w:r>
    </w:p>
    <w:p>
      <w:r>
        <w:t>Procedure First Call for Tenders Second Call for Tenders Negotiated Procedure</w:t>
        <w:br/>
        <w:t>open open</w:t>
        <w:br/>
        <w:t>Project Manager TIRU TIRU TIRU</w:t>
        <w:br/>
        <w:t>Number of offers/ 3 2 3</w:t>
        <w:br/>
        <w:t>candidates</w:t>
        <w:br/>
        <w:t>Estimate 2,600,000 F 1,800,000 F 2,000,000 F</w:t>
        <w:br/>
        <w:t>Date of decision March 25, 1998 June 23, 1999 February 21, 2000</w:t>
        <w:br/>
        <w:t>Result Declared unsuccessful, Declared unsuccessful, Award to the company</w:t>
        <w:br/>
        <w:t>one offer being the competition being judged Simotech</w:t>
        <w:br/>
        <w:t>incomplete and the two insufficient and the amount</w:t>
        <w:br/>
        <w:t>others being deemed of the offers being deemed</w:t>
        <w:br/>
        <w:t>too high compared to excessive</w:t>
        <w:br/>
        <w:t>the estimate</w:t>
        <w:br/>
        <w:t>3. The offers submitted for the first open call for tenders are presented in the following table:</w:t>
        <w:br/>
        <w:t>Company Date of submission of the offer Amount of the offer</w:t>
        <w:br/>
        <w:t>ENTREPOSE - MONTALEV March 2, 1998 (mail) 1,410,230 FHT</w:t>
        <w:br/>
        <w:t>MANUTAIR MÖLLER February 27, 1998 (courier) 3,950,100 FHT</w:t>
        <w:br/>
        <w:t>ISOTEC March 2, 1998 (courier) 4,495,000 FHT</w:t>
        <w:br/>
        <w:t>4. The offers submitted for the second open call for tenders are presented in the following table:</w:t>
        <w:br/>
        <w:t>Company Date of submission of the offer Amount of the offer</w:t>
        <w:br/>
        <w:t>MANUTAIR MÖLLER June 15, 1999 (courier) 2,887,284.60 FTTC</w:t>
        <w:br/>
        <w:t>(corrected amount: 2,027,647.80 FTTC)</w:t>
        <w:br/>
        <w:t>ISOTEC June 15, 1999 (courier) 3,314,510.10 FTTC</w:t>
        <w:br/>
        <w:t>(corrected amount: 2,419,055.10 FTTC)</w:t>
        <w:br/>
        <w:t>5. The offers submitted for the negotiated procedure are presented in the following table:</w:t>
        <w:br/>
        <w:t>Company Date of submission of the offer Amount of the offer</w:t>
        <w:br/>
        <w:t>MANUTAIR MÖLLER December 7, 1999 (mail) 1,947,810.60 FTTC</w:t>
        <w:br/>
        <w:t>(Corrected amount: 1,754,850.60 FTTC)</w:t>
        <w:br/>
        <w:t>DEGREMONT December 8, 1999 (courier) 1,122,786 FTTC</w:t>
        <w:br/>
        <w:t>SIMOTECH December 8, 1999 (courier) 1,145,700 FTTC</w:t>
        <w:br/>
        <w:t>3</w:t>
      </w:r>
    </w:p>
    <w:p>
      <w:r>
        <w:rPr>
          <w:b/>
        </w:rPr>
        <w:t>[Pages 4–6]</w:t>
      </w:r>
    </w:p>
    <w:p>
      <w:r>
        <w:t>B. THE COMPANIES INVOLVED</w:t>
        <w:br/>
        <w:t>1. THE CONTRACTING AUTHORITY AND THE PROJECT MANAGER</w:t>
        <w:br/>
        <w:t>6. The SYCTOM of the Paris agglomeration was established in 1984, at the initiative of the city of Paris, to jointly manage the volume of waste to be processed in the Paris region. It is a public administrative establishment that falls under the municipal code. It manages all operations related to waste treatment, from collection to final processing, including recycling when possible, in order to increase waste recovery. SYCTOM has entrusted the operation of certain plants to TIRU SA. It is the contracting authority for the public contract in question.</w:t>
        <w:br/>
        <w:t>7. The company TIRU is an operating company that became a public limited company on January 1, 1986. All the household waste incineration plants of SYCTOM have been entrusted to TIRU since 1986 by an operating contract that specifically charges this company with project management for maintenance work, carried out under the direction and in collaboration with SYCTOM, the contracting authority.</w:t>
        <w:br/>
        <w:t>2. THE COMPANIES INVOLVED</w:t>
        <w:br/>
        <w:t>8. The company Manutair Möller was, at the time of the facts, a public limited company headquartered in Amiens, specializing in the study and implementation of pneumatic transport and air filtration solutions. It was a subsidiary of the Möller company, based in Hamburg (Germany), created on October 9, 1979, by taking over the activities of SA Manutair, which itself was established in 1955. In 1996, Frederik Lassoe Smidth acquired the Möller company. As of December 31, 1999, the activities of Manutair Möller were transferred, as part of a merger-absorption operation, to the company FLS Miljo SA. This company is now called FL Smidth Airtech and is the French subsidiary of the Danish company FL Smidth Airtech, which belongs to the FL Smidth group, active in a large number of fields of civil engineering and industries; SA Manutair Möller was dissolved on April 7, 2000. On May 18, 2005, the extraordinary general meeting of FLS Airtech decided on the early dissolution of the company, which is now in amicable liquidation.</w:t>
        <w:br/>
        <w:t>9. The company Manutair supplied, between 1963 and 1967, the original equipment for the Issy-les-Moulineaux plant, including the entire soot transport system. The company Manutair Möller was therefore the owner of the molds for the cast parts and the assembly plans for the silos. It also provided part of the maintenance of the equipment and the supply of spare parts from the outset.</w:t>
        <w:br/>
        <w:t>10. The company Isotec Entreprise (hereinafter Isotec), headquartered in Chambly, was established in 1985 by a group of employees (SA). It entered the capital of the Groupes Populaires, a venture capital company, around 1994. In November 1999, all shares of the Groupes Populaires and the employees were sold to the Lindner group, based in Arnstorf (Germany). The company was transformed into a SASU on December 30, 2004. It specializes in maintenance operations for industrial clients in the fields of insulation and boiler-making. It has been performing maintenance operations at the Issy-les-Moulineaux plant since 1988 and has already intervened as a subcontractor for Manutair Möller. Contacts were therefore established between the two companies regarding the Issy-les-Moulineaux plant prior to the initiation of the relevant tender procedures.</w:t>
        <w:br/>
        <w:t>C. THE PRACTICES IDENTIFIED</w:t>
        <w:br/>
        <w:t>1. REGARDING THE OPEN CALL FOR TENDERS OF JANUARY 16, 1998</w:t>
        <w:br/>
        <w:t>11. The investigation and instruction have identified the following facts and elements, indicating meetings between the managers of Manutair Möller and those of Isotec, during the open call for tenders on January 16, 1998:</w:t>
        <w:br/>
        <w:t>• A visit report dated February 13, 1998, written by V. X… (General Director of Manutair Möller) and identified by reference V980213d, which mentions a meeting on February 10, 1998, with the company Isotec. It states, regarding the consultation launched by SYCTOM, that there was a consultation between the two companies: "It is agreed [that] MM will take the lead on this matter. The division of services is defined." It also refers to a second meeting to be held before the mandatory site visit by Manutair Möller on February 12, 1998.</w:t>
        <w:br/>
        <w:t>• A visit report dated February 13, 1998, written by V. X… and identified by reference V980213e, which mentions a meeting on February 12, 1998 (the day of the mandatory visit by Manutair Möller) with the company Isotec. It states a "price comparison between boiler supplies," indicating "that Isotec's proposals are not very competitive."</w:t>
        <w:br/>
        <w:t>• A visit report dated February 16, 1998, written by V. X… and identified by reference V980213f, which refers to a discussion on the day of the mandatory visit to the Issy-les-Moulineaux plant by Manutair Möller on February 12, 1998, in the presence of representatives from Isotec and TIRU. It mentions a record of the work to be carried out jointly with Isotec, then specific to Isotec. It also mentions, among the actions to be planned, an estimation of the respective parts and a new meeting to be scheduled between the two companies on February 20, 1998, one week before the submission of Manutair Möller's price offer to the tender commission on February 27, 1998.</w:t>
        <w:br/>
        <w:t>• A visit report dated April 16, 1998, written by V. X… and identified by reference RTIRU1 project 5274, which refers to a visit made to Mr. Y… (from the TIRU company). It states the reasons that led SYCTOM to declare the call for tenders inadmissible (budget overruns), and the organization of a new consultation to come. It also mentions, among the actions to be planned, a "follow-up with ISOTEC to harmonize pressures."</w:t>
        <w:br/>
        <w:t>12. The investigation and instruction also identified the following exchanges of information prior to the submission of offers:</w:t>
        <w:br/>
        <w:t>• A fax from Manutair Möller to Isotec dated February 24, 1998, at 9:50 a.m., three days before the submission of Manutair Möller's offer to the tender commission and six days before Isotec's submission, stating: "As agreed, you will find attached the details of our offer including the items assigned to you (items 1, 2, and part of item 5) in order to draft your direct offer (17 to 21)." The fax is accompanied by 7 pages of description of the entirety of Manutair Möller's technical offer, corresponding to the commitment document dated February 23, 1998, and submitted with the entire offer by Manutair Möller to the tender commission on February 27, 1998. Isotec submitted its offer to the tender commission on March 2, 1998. The draft of this offer shows that the final offer was made based on the documents sent by Manutair Möller.</w:t>
        <w:br/>
        <w:t>• A fax from Manutair Möller to Isotec dated February 26, 1998, at 11:26 a.m., one day before the submission of Manutair Möller's offer to the tender commission and four days before Isotec's submission, stating: "Attached is a copy of the confirmed price documents following the meeting on February 25, 1998, at our offices (…). Please communicate to us today the prices you intend to include in your direct offer to be in sync." The fax is accompanied by 8 pages of description of the entirety of the pricing offer (fixed prices, lists of parts, spare parts and safety, unit price lists, and estimated details) from Manutair Möller, corresponding with slight variations to the offer that was presented by Manutair Möller to the tender commission.</w:t>
        <w:br/>
        <w:t>2. REGARDING THE OPEN CALL FOR TENDERS OF MAY 7, 1999</w:t>
        <w:br/>
        <w:t>13. The investigation and instruction have identified the following exchanges of information prior to the submission of offers for the open call for tenders on May 7, 1999:</w:t>
        <w:br/>
        <w:t>• A fax from Manutair Möller to Isotec dated June 11, 1999, at 9:30 a.m., four days before the submission of offers from both companies, stating: "Attached is a copy of the technical definition (…). Please return to me for unit prices for the grating flooring per m²." The fax is accompanied by 4 pages of description of the entirety of Manutair Möller's technical offer, identical to the offer submitted during the call for tenders. The draft of Isotec's final offer shows that the final submission was made based on the documents sent by Manutair Möller during this call for tenders as well as during the first one. The tender commission noted similarities in the drafting of the offers.</w:t>
        <w:br/>
        <w:t>• A fax from Manutair Möller to Isotec dated June 14, 1999, at 3:04 p.m., the day before the submission of offers from both companies, stating: "Attached is our breakdown of prices for the renovation of the silos. Please send us back your price list for information." The fax is accompanied by 4 pages of description of the entirety of the pricing offer (fixed prices, lists of parts, spare parts and safety, unit price lists, and estimated details) from Manutair Möller, corresponding, with one exception, to the offer that was presented by Manutair Möller to the tender commission.</w:t>
        <w:br/>
        <w:t>• A letter from Isotec to Manutair Möller dated June 15, 1999, the day of the submission of pricing offers from both companies, stating: "Attached is the SYCTOM price table." This letter includes the description of the entirety of Isotec's pricing offer (fixed prices, lists of parts, spare parts and safety, unit price lists, and estimated details), corresponding exactly to the offer presented to the tender commission.</w:t>
        <w:br/>
        <w:t>• The report to the tender commission dated June 23, 1999, notes a similar material error in both offers, with price no. 3 of the estimated details related to the grating flooring indicating 500 m² instead of the 5 m² required for the site, resulting in an artificial increase in the amount of more than 850,000 FTTC. This error was initially included in the estimated details submitted to the companies; an exchange</w:t>
      </w:r>
    </w:p>
    <w:p>
      <w:r>
        <w:rPr>
          <w:b/>
        </w:rPr>
        <w:t>[Pages 7–9]</w:t>
      </w:r>
    </w:p>
    <w:p>
      <w:r>
        <w:t>these exchanges were not limited to subcontracting relationships but rather involved the entirety of the technical and pricing offers from Manutair Möller and, for the second call for tenders, the entirety of Isotec's pricing offer. Consequently, the exchange did not concern the subset of services that each company might have wished to subcontract to the other, provided they informed the contracting authority in the required manner, but rather the entirety of the services, including those not affected by potential subcontracting.</w:t>
      </w:r>
    </w:p>
    <w:p>
      <w:r>
        <w:t>25. The company Isotec also notes that the contacts between the companies were made necessary by the need to use parts manufactured by Manutair Möller to meet the market requirements.</w:t>
      </w:r>
    </w:p>
    <w:p>
      <w:r>
        <w:t>26. There is no doubt, in view of the elements provided by the investigation and the instruction, that the supply of certain parts could only be obtained from Manutair Möller; however, the parts in question do not cover the entirety of the operations to be carried out but only certain very specific elements (notably MPH valves). In any case, the need to resort to Manutair Möller parts cannot justify the communication of all technical and pricing offers from that company and, for the second call for tenders, of Isotec's pricing offer. The exchanges of information between Manutair Möller and Isotec do not respond to the need to use parts manufactured by Manutair Möller for which a quote, an order, or even a technical explanation would suffice.</w:t>
      </w:r>
    </w:p>
    <w:p>
      <w:r>
        <w:t>27. The exchanges of information are therefore not justified by the need for subcontracting or parts manufactured by Manutair Möller, but rather aimed at coordinating the companies' behaviors in establishing their respective direct offers.</w:t>
      </w:r>
    </w:p>
    <w:p>
      <w:r>
        <w:t>2. ON THE CONTEXT OF THE CALLS FOR TENDERS IN A SET OF RELATIONS BETWEEN THE COMPANIES</w:t>
      </w:r>
    </w:p>
    <w:p>
      <w:r>
        <w:t>28. The company Isotec argues that the collected elements can only be meaningfully interpreted in the general context of the relationships between Isotec, Manutair Möller, and TIRU. It specifies that it has long been conducting maintenance operations on the site, that it was consulted to estimate the planned works prior to the call for tenders, and that it participated in operations related to the renovation process of the factory during the procedure as well as in the actual execution of the works dependent on the call for tenders, alongside the procedures, and even subsequently after its award to the company Simotech (after the difficulties encountered by the latter). It concludes that its relationships with Manutair Möller logically stem from these ties.</w:t>
      </w:r>
    </w:p>
    <w:p>
      <w:r>
        <w:t>29. The company Isotec contends that Article L 420-1 of the Commercial Code can only apply when an agreement is established after the publication notice. It argues that exchanges of information between the parties, prior to the consultation, and therefore lawful, help to explain the similarity of the technical offers. It also notes that the prices of the offers it presented were consistent with the responses provided in the earlier consultation phases, which invalidates the hypothesis of a cover offer on its part.</w:t>
      </w:r>
    </w:p>
    <w:p>
      <w:r>
        <w:t>30. However, Article L 420-1 applies in the context of markets with calls for tenders as soon as exchanges of information have occurred, notably, between the publication notice and the date of submission of offers and have consequently limited the independence of the offers and, therefore, the competition among the bidding companies.</w:t>
      </w:r>
    </w:p>
    <w:p>
      <w:r>
        <w:t>31. In this case, the collected documents demonstrate that such exchanges took place after the publication notice and before the date of submission of offers, and that</w:t>
      </w:r>
    </w:p>
    <w:p>
      <w:r>
        <w:rPr>
          <w:b/>
        </w:rPr>
        <w:t>[Pages 10–12]</w:t>
      </w:r>
    </w:p>
    <w:p>
      <w:r>
        <w:t xml:space="preserve">consequently limit the independence of the offers and, therefore, the competition between the bidding companies.  </w:t>
        <w:br/>
        <w:t xml:space="preserve">31. In this case, the collected documents demonstrate that such exchanges took place after the publication notice and before the submission date of the offers, and that these latter were drafted, at least in part, based on this information. The existence of prior relationships between the companies, which did not concern, moreover, the entirety of the calls for tenders, as well as Isotec's participation, either concurrently or subsequently to the awarding of the contract, in the execution of part of the works does not remove the illicit nature of the subsequent exchanges.  </w:t>
        <w:br/>
        <w:t xml:space="preserve">32. Furthermore, while Isotec does not precisely demonstrate that its offers were consistent with its previous quotes, the investigation reveals that the prices proposed by the two companies involved were within a price range corresponding to those of the market. However, this alone is not sufficient to invalidate the hypothesis of a cover offer in the presence of several contrary indications. Cover offers are indeed "offers designed to appear not as reflecting a genuine interest of the bidder in the market in question but as being rejected by the contracting authority either because they are financially less attractive than that of the pre-designated company, or because they imperfectly address the problem posed" (report of the Competition Council for the year 1987). Therefore, the relevant element is not so much the absolute value of the offer as the circumstances specific to its preparation. Now, it appears from the file that the two companies coordinated their actions prior to the submission of the offers, that it was agreed that "MM would take the lead on this matter" (visit report of February 13, 1998, cited), that exchanges of information took place in order to be "in sync" (fax of February 26, 1998, cited) and that Isotec drafted offers higher than those of Manutair Möller based on similar technical choices and in view of the prices proposed by Manutair Möller.  </w:t>
        <w:br/>
        <w:t xml:space="preserve">33. It follows from the above that the exchanges prior to the publication of the call for tenders between the companies and Isotec's participation in part of the works subsequent to the awarding of the contract do not detract from the illicit nature of the practices noted during the consultation period, and that the documents in the file constitute a bundle of serious, precise, and consistent indications that Isotec's offers exhibit the characteristics of a cover offer.  </w:t>
        <w:br/>
        <w:t xml:space="preserve">3. ON THE ROLE PLAYED BY THE PROJECT MANAGER  </w:t>
        <w:br/>
        <w:t xml:space="preserve">34. Isotec argues that the role of TIRU, the project manager for the relevant contracts, explains its behavior. It claims to have participated in the call for tenders based on indications from TIRU, which would have initiated various meetings and was aware of the existence of occasional collaborations between Isotec and Manutair Möller. It notes that TIRU transmitted documents to SYCTOM and that, during the relations between Manutair Möller, it could not have been misled about the reality of the competition. It also points out that TIRU set up a consultation on January 21, 1998, shortly after the first call for tenders on January 16, 1998, for works having the same object, and that this circumstance may have confused the companies. Finally, it mentions an order placed by TIRU to Isotec on March 30, 1998.  </w:t>
        <w:br/>
        <w:t xml:space="preserve">35. These elements put forward by Isotec are not corroborated by the documents in the file or lack significance. Firstly, the collected documents reveal direct and explicit exchanges of information between Isotec and Manutair Möller, without mentioning TIRU. Secondly, nothing demonstrates that TIRU informed SYCTOM of the illicit exchanges, assuming that TIRU itself was aware of them.  </w:t>
        <w:br/>
        <w:t xml:space="preserve">36. In any case, it follows from consistent case law, notably confirmed on May 24, 2005, by the Court of Appeal of Paris (SARL Imagin), that by submitting separate offers, the companies manifested their commercial autonomy and chose to present themselves, within the framework of each of the calls for tenders, as competing companies; they were therefore required to respect the competition rules to which they had submitted and to refrain from presenting offers whose independence was only apparent; that the knowledge of the links uniting these companies, which the project manager or the contracting authority might have had, is ineffective in light of the preceding developments.  </w:t>
        <w:br/>
        <w:t xml:space="preserve">37. Regarding the consultation launched by TIRU on January 21, 1998, the visit report V980213d of February 13, 1998, attests that two different consultations succeeded each other, one initiated by TIRU concerning the maintenance and supply of parts and the other initiated by SYCTOM concerning the replacement of part of the silos, without a priori overlapping operations between these two consultations. The collected documents, the indications, and the grievances notified concern the second consultation. No conclusion can be drawn from the mere fact that TIRU also placed an order with Isotec on March 30, 1998.  </w:t>
        <w:br/>
        <w:t xml:space="preserve">38. It follows from the above that the arguments based on the behavior of the project manager must be dismissed.  </w:t>
        <w:br/>
        <w:t xml:space="preserve">4. ON THE NECESSITY TO DEMONSTRATE INTENT  </w:t>
        <w:br/>
        <w:t xml:space="preserve">39. Isotec argues that its behavior was induced by that of TIRU, the project manager, and that, consequently, the intentional element of the offense it is accused of is lacking. It adds that it never had the feeling or ambition to distort competition and that the notification of grievances contains no element regarding the interest it would have had in colluding with Manutair Möller.  </w:t>
        <w:br/>
        <w:t xml:space="preserve">40. However, it is established case law that "the absence of anti-competitive intent of the companies involved in the agreement is irrelevant to the very qualification of the agreement" (decision No. 01-D-67, cited). But, while proof of intent to harm competition is not required, the agreement of wills to collude must, on the other hand, be demonstrated to characterize the agreement. Indeed, the qualification of an anti-competitive collusion practice is contingent upon demonstrating the willingness of the companies to adhere to the collective action.  </w:t>
        <w:br/>
        <w:t xml:space="preserve">41. The Court of Appeal of Paris has clarified in this regard that in matters of collusion during calls for tenders, the concurrence of wills characterizing a concerted practice within the meaning of Article L 420-1 of the Commercial Code is established as soon as one of the companies has taken, at least partially, elements of the other’s offer to realize its own offer (judgment of the Court of Appeal of Paris of September 22, 1993, Entreprise Pascal).  </w:t>
        <w:br/>
        <w:t xml:space="preserve">42. Now, it appears from the elements present in the file that the exchanges of information were carried out with the aim of preparing the offers of each participant in the collusion. They demonstrate an effective use of both the pricing elements and the technical elements exchanged between the companies. This argument must therefore be dismissed.  </w:t>
        <w:br/>
        <w:t xml:space="preserve">5. ON THE NECESSITY TO DEMONSTRATE HARM  </w:t>
        <w:br/>
        <w:t xml:space="preserve">43. Isotec argues that no harm likely to be the direct consequence of the alleged illicit collusion is demonstrated. According to it, the failure of the call for tenders is due to TIRU's misunderstanding of the public procurement system as well as to budgetary issues and the distribution of roles between SYCTOM and TIRU for the maintenance work. It also claims that it is not responsible for the delay in the works, that its prices were the lowest possible, and that it also participated in significant maintenance work that effectively limited any delays in the renovation procedures. Finally, it notes the absence of overall competition in the market.  </w:t>
        <w:br/>
        <w:t xml:space="preserve">44. It should first be emphasized that concerted practices are liable to be sanctioned under Article L. 420-1 of the Commercial Code when they have the object or may have the effect of restricting competition. Thus, the damage to the economy, which can affect all elements of the market, either through a diversion of demand or through effects on competing suppliers, is not limited to the harm suffered by any particular company in the sense that a civil judge might understand it.  </w:t>
        <w:br/>
        <w:t xml:space="preserve">45. It should also be noted that, according to consistent case law of the Court of Appeal of Paris, practices of exchanging information during public procurement processes have in themselves an anti-competitive object as they necessarily lead to a restriction of competition by eliminating or limiting the independence of the bidding companies (judgment of the Court of Appeal of Paris of January 18, 2000, Chaillan Frères; judgment of the Court of Appeal of Paris of May 24, 2005, cited).  </w:t>
        <w:br/>
        <w:t xml:space="preserve">46. Furthermore, the practices had the effect of limiting competition between the two companies involved. This effect is all the more significant as, as Isotec argues, the possibilities for competition in this market were limited and the companies involved were indeed among the only ones capable of providing a satisfactory service, and thus able to stimulate competition for the awarding of the contract.  </w:t>
        <w:br/>
        <w:t xml:space="preserve">47. Moreover, even if other elements may partly explain the delay in the renovation works subject to the relevant call for tenders, the practices played a role in the events that led to this delay. Finally, they had the effect of depriving the contracting authority of a potentially lower bid but technically complete offer, notably from Isotec, which, given the circumstances of the drafting of its own offer, could have considered only a lower amount in the absence of collusion. This argument must be dismissed.  </w:t>
        <w:br/>
        <w:t>48. Thus, all the documents listed above constitute a bundle of serious, precise, and consistent indications that the companies Manutair Möller and Isotec coordinated their behaviors in preparing their respective responses and exchanged precise information on the content of their offers, both technical and pricing, during the two open calls for tenders concerning the renovation of the soot silos of the Issy-les-Moulineaux plant. During the first call for tenders, Manutair Möller notably communicated the entirety of its technical and pricing offer to Isotec before the submission of the offers, which used this data to prepare its own offer, some prices proposed by Manutair Möller having been set during a meeting with Isotec. During the second call for tenders, Manutair Möller communicated the entirety of its technical and pricing offer to Isotec before the submission of the offers, which used this data to prepare its own offer and, in return, communicated the entirety of its pricing offer to Manutair Möller.</w:t>
      </w:r>
    </w:p>
    <w:p>
      <w:r>
        <w:rPr>
          <w:b/>
        </w:rPr>
        <w:t>[Pages 13–15]</w:t>
      </w:r>
    </w:p>
    <w:p>
      <w:r>
        <w:t xml:space="preserve">49. These exchanges of information, prior to the submission of the offers, allowed both companies, during the two open calls for tenders, to establish their respective offers taking into account the offer of the other, in order to submit two seemingly competitive but actually coordinated offers, with Isotec's offer during the two open calls for tenders presenting the characteristics of a cover offer. As a result, the contracting authority was misled about the reality of the competition.  </w:t>
        <w:br/>
        <w:t xml:space="preserve">50. These practices are prohibited by Article L. 420-1 of the Commercial Code.  </w:t>
        <w:br/>
        <w:t xml:space="preserve">C. ON THE ATTRIBUTION OF PRACTICES  </w:t>
        <w:br/>
        <w:t xml:space="preserve">51. The company FL Smidth Airtech contests the case law that leads to attributing the practices of the company Manutair Möller to it, given the tortious and quasi-criminal nature of the offenses attributed to it and the general principle of criminal law regarding personal and individual responsibility, enshrined in Article L. 121-1 of the Penal Code.  </w:t>
        <w:br/>
        <w:t xml:space="preserve">52. On this point, the Court of Appeal of Paris, in a ruling dated November 27, 2001 (CNCEP), considered "that while it is true that proceedings aimed at financial sanctions that have the character of a punishment imposed by an administrative authority, such as those that can be imposed by the Competition Council, must be regarded as a criminal accusation, and it is also true that there is a fundamental rule of criminal law according to which criminal responsibility does not survive the author of the offense, it is without disregarding said rule that the Competition Council" applies these principles because "on the one hand, the sanctions provided for in Article L. 464-2 of the Commercial Code are applicable to companies that are the authors of the anti-competitive practices prohibited by Articles L. 420-1 and following of the same code and, on the other hand, when, between the time the practices were implemented and the time the company in question must answer for them, the legal entity responsible for the operation has ceased to exist, the practices are attributed to the legal entity to which the company has been legally transferred and, in the absence of such a transfer, to the one that ensures its economic and functional continuity in fact."  </w:t>
        <w:br/>
        <w:t xml:space="preserve">53. In this case, the company Manutair Möller, dissolved on January 6, 2000, was subject to a merger absorption and its activities were transferred to the company FLS Miljo on December 31, 1999. It is well established in case law that the practices are then attributable to the absorbing company (decision No. 01-D-59 of September 25, 2001). In July 2002, the company FLS Miljo changed its name to FLS Airtech, without this having any consequence regarding the attribution of the practices (decision No. 01-D-14 of May 4, 2001). It is therefore rightly that the grievances were notified to the company FL Smidth Airtech, which succeeds to the rights and obligations of the company Manutair Möller.  </w:t>
        <w:br/>
        <w:t xml:space="preserve">D. ON THE SANCTIONS  </w:t>
        <w:br/>
        <w:t xml:space="preserve">54. Pursuant to Article L. 464-5 of the Commercial Code, "the Council, when ruling according to the simplified procedure provided for in Article L. 463-3, may impose the measures provided for in I of Article L. 464-2 (...)." However, under the provisions of Article 22, paragraph 2 of the ordinance of December 1, 1986, applicable at the time of the commission of the facts, the financial sanction imposed within the framework of the simplified procedure may not exceed 500,000 francs (76,244.51 euros) for each of the authors of the prohibited practices.  </w:t>
        <w:br/>
        <w:t xml:space="preserve">55. The companies in question request the Competition Council to refrain from imposing any sanctions against them or to impose a symbolic sanction, notably on the grounds of the absence of damage to the economy, the age of the facts, or the fact that neither of the two companies won the contract. The company Isotec notes that it is not familiar with public contracts and has never been involved in such matters. The company FL Smidth Airtech further notes that a sanction would have no educational effect due to the early dissolution of the company.  </w:t>
        <w:br/>
        <w:t xml:space="preserve">56. The practices in question are consistently regarded by competition authorities as serious in nature. A ruling by the Court of Appeal of Paris, dated January 13, 1998, states that "the damage to the economy is independent of the damage suffered by the contracting authority due to the collusion between several bidding companies and is assessed based on the direct hindrance to the free play of competition," and another ruling by the Court of Appeal of Paris dated December 12, 2000, specifies that "these anti-competitive practices, which characterize damage to the economy, are reprehensible solely by their existence, as they constitute a deception regarding the reality of the competition which they distort, notwithstanding the circumstance that (...) the contract was ultimately awarded to a company not participating in the collusion."  </w:t>
        <w:br/>
        <w:t xml:space="preserve">57. It should also be noted, in this case, the importance of the potential undue benefit relative to the value of the call for tenders, the long delay in the commencement of the work that the practices contributed to causing (23 months), as well as the damage to the contracting authority, prevented from revealing and benefiting from a lower bid.  </w:t>
        <w:br/>
        <w:t xml:space="preserve">58. However, it is also necessary to take into account the value of the call for tenders, the circumstances under which these calls for tenders were made, as well as other possible explanations for the delay in the work and the failures of the consultations. The investigation and instruction have also established that both companies were not accustomed to consultations within the framework of public contracts.  </w:t>
        <w:br/>
        <w:t xml:space="preserve">59. The turnover achieved by the company Isotec during the last closed financial year amounts to 15,771,949 euros and its operating result to 760,487 euros. Considering the general and individual elements as assessed above, a sanction of 55,000 euros should be imposed on it.  </w:t>
        <w:br/>
        <w:t>60. The general assembly of the company FL Smidth Airtech decided, on May 18, 2005, to dissolve it early, which has since been in amicable liquidation and exists for the purposes of its liquidation. Since it has not ceased to exist legally, it must answer for the acts attributed to it. The turnover of the company was, for the last closed financial year, 5,049,841 euros, and its operating result was a deficit of 1,000,581 euros. Considering the general and individual elements as assessed above, a sanction of 18,000 euros should be imposed on the company FL Smidth Airtech.</w:t>
      </w:r>
    </w:p>
    <w:p>
      <w:r>
        <w:t xml:space="preserve">DECISION  </w:t>
        <w:br/>
        <w:t xml:space="preserve">Article 1: It is established that the companies Isotec Entreprise and FL Smidth Airtech have violated the provisions of Article L. 420-1 of the Commercial Code.  </w:t>
        <w:br/>
        <w:t xml:space="preserve">Article 2: The following financial sanctions are imposed:  </w:t>
        <w:br/>
        <w:t xml:space="preserve">• on the company Isotec Entreprise a sanction of 55,000 euros;  </w:t>
        <w:br/>
        <w:t xml:space="preserve">• on the company FL Smidth Airtech a sanction of 18,000 euros.  </w:t>
        <w:br/>
        <w:t xml:space="preserve">Deliberated, on the report of Mr. Berkani, by Mrs. Perrot, vice-president, presiding over the session, Messrs. Flichy, Gauron, Honorat, Robin, and Mrs. Behar-Touchais, members.  </w:t>
        <w:br/>
        <w:t xml:space="preserve">The secretary of the session, The vice-president,  </w:t>
        <w:br/>
        <w:t xml:space="preserve">Rita Sougoumarane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