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https://www.autoritedelaconcurrence.fr/fr/decision/relative-des-pratiques-mises-en-oeuvre-lors-de-marches-publics-passes-pour-la-restauration</w:t>
      </w:r>
    </w:p>
    <w:p>
      <w:r>
        <w:t>Pages translated : 2</w:t>
      </w:r>
    </w:p>
    <w:p/>
    <w:p>
      <w:r>
        <w:rPr>
          <w:b/>
        </w:rPr>
        <w:t>[Pages 1–2]</w:t>
      </w:r>
    </w:p>
    <w:p>
      <w:r>
        <w:t>Decision No. 02-D-49 of September 4, 2002</w:t>
        <w:br/>
        <w:t>concerning practices implemented during public procurement contracts</w:t>
        <w:br/>
        <w:t>for the restoration of historical monuments in the Auvergne region</w:t>
        <w:br/>
        <w:t>The Competition Council (section IV),</w:t>
        <w:br/>
        <w:t>Having regard to the letter registered on August 11, 1998, under number F 1075, by which the Minister of Economy, Finance, and Industry referred to the Competition Council practices implemented during public procurement contracts related to the restoration of historical monuments in the Auvergne region;</w:t>
        <w:br/>
        <w:t>Having regard to Book IV of the Commercial Code relating to the freedom of prices and competition, Decree No. 86-1309 of December 29, 1986, as amended, and Decree No. 2002-689 of April 30, 2002, setting the conditions for the application of Book IV of the Commercial Code;</w:t>
        <w:br/>
        <w:t>Having regard to the observations presented by the Government Commissioner;</w:t>
        <w:br/>
        <w:t>Having regard to the other documents in the file;</w:t>
        <w:br/>
        <w:t>The rapporteur, the deputy general rapporteur, and the Government Commissioner heard during the session of June 26, 2002;</w:t>
        <w:br/>
        <w:t>Considering that, by letter dated August 4, 1998, registered on August 11, 1998, the Minister of Economy, Finance, and Industry referred to the Competition Council practices implemented during public procurement contracts related to the restoration of historical monuments in the Auvergne region, which he considers prohibited by Article 7 of Ordinance No. 86-1243 of December 1, 1986, now Article L. 420-1 of the Commercial Code;</w:t>
        <w:br/>
        <w:t>Considering that Article L. 462-7 of the Commercial Code provides that "the Council cannot be seized of facts dating back more than 3 years, if no act has been made to seek, establish, or sanction them";</w:t>
        <w:br/>
        <w:t>Considering that if, by a judgment of March 5, 1999, the Paris Court of Appeal held that the limitation period set by Article 27 of the Ordinance of December 1, 1986, now Article L. 462-7 of the Commercial Code, was suspended with respect to the referring company as long as it was unable to act to execute an interruptive act in the ongoing procedure before the Competition Council, and if, by another judgment dated October 12, 1999, it extended the same solution to the case of referral to the Council by the Minister responsible for the economy, these decisions were overturned by two judgments of the Court of Cassation dated July 17, 2001, and February 26, 2002, rendered in light of Article L. 462-7 of the Commercial Code, on the grounds that "by ruling in this way, adding to the aforementioned text a case of suspension of the limitation period that it does not provide for, the Court of Appeal violated it"; it follows that the facts submitted to the Competition Council are subject to a three-year limitation period from the date of referral, provided that no interruptive act has been performed subsequent to this referral or that three years have elapsed since the last interruptive act performed after the referral;</w:t>
        <w:br/>
        <w:t>Considering that in this case, the only act capable of interrupting the course of the limitation period was performed on August 11, 1998, the date of registration of the ministerial referral with the Council; that the designation of a first rapporteur on October 9, 1998, pursuant to the provisions of Article 50 of the Ordinance of December 1, 1986, now Article L. 450-6 of the Commercial Code, and then that of a second rapporteur on December 17, 2001, which are internal measures, do not affect the course of the limitation period (Cass. Com. July 8, 1997); thus, more than three years having elapsed since August 11, 1998, without the course of the limitation period being interrupted by an act aimed at seeking, establishing, or sanctioning the reported facts, the limitation period was acquired as of August 11, 2001; therefore, there is no need to continue the procedure.</w:t>
        <w:br/>
        <w:t>DECIDES</w:t>
        <w:br/>
        <w:t>Sole Article: There is no need to continue the procedure.</w:t>
        <w:br/>
        <w:t>Deliberated, on the oral report of Mr. Deparis, by Ms. Pasturel, Vice-President, presiding over the session, Ms. Mader-Saussaye and Mr. Gauron, members.</w:t>
        <w:br/>
        <w:t>The Secretary of the session, The Vice-President, presiding over the session,</w:t>
        <w:br/>
        <w:t>Thierry Poncelet Micheline Pasturel</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