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https://www.autoritedelaconcurrence.fr/fr/decision/relative-des-pratiques-mises-en-oeuvre-lors-du-marche-de-rehabilitation-de-la-maternite-0</w:t>
      </w:r>
    </w:p>
    <w:p>
      <w:r>
        <w:t>Pages translated : 2</w:t>
      </w:r>
    </w:p>
    <w:p/>
    <w:p>
      <w:r>
        <w:rPr>
          <w:b/>
        </w:rPr>
        <w:t>[Pages 1–2]</w:t>
      </w:r>
    </w:p>
    <w:p>
      <w:r>
        <w:t xml:space="preserve">FRENCH REPUBLIC  </w:t>
        <w:br/>
        <w:t xml:space="preserve">Decision No. 95-D-27 of April 25, 1995  </w:t>
        <w:br/>
        <w:t xml:space="preserve">concerning practices implemented during the rehabilitation contract of the maternity ward of the Conception Hospital in Marseille and four other public and private contracts  </w:t>
        <w:br/>
        <w:t xml:space="preserve">The Competition Council (standing committee),  </w:t>
        <w:br/>
        <w:t xml:space="preserve">Having regard to the letter registered on December 6, 1989, under number F 286, by which the Minister of State, Minister of Economy, Finance, and Budget referred to the Competition Council the anti-competitive practices implemented during the rehabilitation contract of the maternity ward of the Conception Hospital in Marseille and four other public and private contracts;  </w:t>
        <w:br/>
        <w:t xml:space="preserve">Having regard to Ordinance No. 86-1243 of December 1, 1986, as amended, relating to the freedom of prices and competition and Decree No. 86-1309 of December 29, 1986, as amended, taken for its application;  </w:t>
        <w:br/>
        <w:t xml:space="preserve">Having regard to Decision No. 93-D-33 of the Competition Council of September 14, 1993;  </w:t>
        <w:br/>
        <w:t xml:space="preserve">Having regard to the observations presented by the companies Cegelec, l'Entreprise industrielle, Compagnie d'entreprise électrique (C.E.E.), Etablissements Degréane, Electricité moderne, Ferrer-Auran, G.T.M. Entrepose Electricité (GTME), Etablissements Laudren, Saunier-Duval, Société méridionale de travaux électriques (S.M.T.E.), S.N.E.F. Electric Flux, Spie-Trindel, Cardella C.I.R.E.M., Montel, Phibor and by the Government Commissioner;  </w:t>
        <w:br/>
        <w:t xml:space="preserve">Having regard to the other documents in the file;  </w:t>
        <w:br/>
        <w:t xml:space="preserve">The rapporteur, the general rapporteur, and the Government Commissioner heard,  </w:t>
        <w:br/>
        <w:t xml:space="preserve">Considering that under Article 46 of the ordinance of December 1, 1986: 'the minutes are transmitted to the competent authority. A copy is left to the interested parties. They are valid until proven otherwise'; that under Article 31 of Decree of December 29, 1986: 'the minutes provided for in Article 46 of the ordinance are drawn up as soon as possible... They are signed by the investigator and the person concerned by the investigations. In case of refusal, this is noted in the minutes';  </w:t>
        <w:br/>
        <w:t xml:space="preserve">Considering, firstly, that the minutes established on December 8, 1988, and January 31, 1989, at the headquarters of the company Cardella C.I.R.E.M. do not mention that a copy was left to the interested parties;  </w:t>
        <w:br/>
        <w:t xml:space="preserve">Considering, secondly, that during their hearing at the Competition Council on December 14, 1994, Mr. Claude Cardella, manager of the company Cardella C.I.R.E.M., and Mr. Cas, his counsel, stated: 'Regarding the transmission of the minutes of December 8, 1988, drawn up at the headquarters of the company Cardella and regarding the minutes of January 31, 1989, drawn up at the same headquarters, Messrs. Cardella and Cas are adamant: no copy of said minutes was transmitted to them';  </w:t>
        <w:br/>
        <w:t xml:space="preserve">Considering, thirdly, that the administration has not provided evidence that a copy of said minutes was handed over to the interested parties, in accordance with the aforementioned provisions;  </w:t>
        <w:br/>
        <w:t xml:space="preserve">Considering, consequently, that it is necessary to exclude from the debates these minutes of declaration and communication of documents; that the same applies to all elements communicated during the investigation, as long as they refer directly or indirectly to the content of said minutes; that the passages of the administrative report that are established from information drawn from the file thus constituted cannot be used either; that, since the documents established under irregular conditions, on which the rapporteur based the notified grievances, are excluded from the file, the evidence of the existence of anti-competitive practices between the bidding companies is not established;  </w:t>
        <w:br/>
        <w:t xml:space="preserve">Considering that it follows from the above that it is not established that the facts denounced in the referral registered under number F 286 constitute anti-competitive practices within the meaning of Article 7 of the ordinance of December 1, 1986,  </w:t>
        <w:br/>
        <w:t xml:space="preserve">Decides:  </w:t>
        <w:br/>
        <w:t xml:space="preserve">Sole Article. - It is not established that the companies Cegelec, l'Entreprise industrielle, Compagnie d'entreprise électrique (C.E.E.), Etablissements Degréane, Electricité moderne, Ferrer-Auran, G.T.M. Entrepose Electricité (GTME), Etablissements Laudren, Saunier-Duval, Société méridionale de travaux électriques (S.M.T.E.), S.N.E.F. Electric Flux, Spie-Trindel, Cardella C.I.R.E.M., Montel, Ripoll, Sociétés d'entretien et d'installations électriques, Somep, Périni Le Quelec and Phibor have violated the provisions of Article 7 of the ordinance of December 1, 1986.  </w:t>
        <w:br/>
        <w:t xml:space="preserve">Deliberated on the oral report of Mr. Alain Dupouy, designated to replace Mr. Jean-Pierre Lehman, rapporteur, prevented, by Mr. Barbeau, president, Mr. Jenny, vice-president and Mr. Rocca, member, replacing Mr. Cortesse, vice-president, prevented.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