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https://www.autoritedelaconcurrence.fr/fr/decision/relative-des-pratiques-mises-en-oeuvre-lors-dun-appel-doffres-visant-renouveler-le-contrat</w:t>
      </w:r>
    </w:p>
    <w:p>
      <w:r>
        <w:t>Pages translated : 11</w:t>
      </w:r>
    </w:p>
    <w:p/>
    <w:p>
      <w:r>
        <w:rPr>
          <w:b/>
        </w:rPr>
        <w:t>[Pages 1–3]</w:t>
      </w:r>
    </w:p>
    <w:p>
      <w:r>
        <w:t>FRENCH REPUBLIC</w:t>
        <w:br/>
        <w:t>Decision No. 05-D-35 of June 30, 2005</w:t>
        <w:br/>
        <w:t>regarding practices implemented during a tender</w:t>
        <w:br/>
        <w:t>to renew the contract for selective collection of household</w:t>
        <w:br/>
        <w:t>waste and similar waste</w:t>
        <w:br/>
        <w:t>The Competition Council (permanent commission),</w:t>
        <w:br/>
        <w:t>Having regard to the letter registered on November 17, 2003, under number 03/0078 F, by which the</w:t>
        <w:br/>
        <w:t>Community of communes of the Grande Vallée de la Marne referred to the Competition Council</w:t>
        <w:br/>
        <w:t>practices implemented during a tender to renew the contract for selective collection of household</w:t>
        <w:br/>
        <w:t>waste and similar waste;</w:t>
        <w:br/>
        <w:t>Having regard to Book IV of the Commercial Code relating to the freedom of prices and competition and</w:t>
        <w:br/>
        <w:t>Decree 2002-689 of April 30, 2002, setting its conditions of application;</w:t>
        <w:br/>
        <w:t>The rapporteur, the deputy general rapporteur, and the Government commissioner heard during the session</w:t>
        <w:br/>
        <w:t>of June 7, 2005, the Community of communes of the Grande Vallée de la Marne having been duly convened;</w:t>
        <w:br/>
        <w:t>Adopts the following decision:</w:t>
        <w:br/>
        <w:t>I. Findings</w:t>
        <w:br/>
        <w:t>A. THE SECTOR OF ACTIVITY AND ITS ACTORS</w:t>
        <w:br/>
        <w:t>1. The market for the collection and treatment of waste has experienced considerable growth,</w:t>
        <w:br/>
        <w:t>particularly with the adoption of Law No. 92-646 of July 13, 1992, relating to waste disposal as well as</w:t>
        <w:br/>
        <w:t>to classified installations for the protection of the environment, which has prohibited, since July 1, 2002,</w:t>
        <w:br/>
        <w:t>raw landfills, allowing only storage centers for "ultimate" waste, that is to say, waste that cannot be</w:t>
        <w:br/>
        <w:t>recovered. Since that date, other standards have been adopted in favor of greater depollution, prevention</w:t>
        <w:br/>
        <w:t>of nuisances to the environment, management, and recovery of waste. This tightening of the regulatory</w:t>
        <w:br/>
        <w:t>framework has had the direct consequence of increasing the costs of waste collection and treatment,</w:t>
        <w:br/>
        <w:t>while making the activity more complex and technical.</w:t>
      </w:r>
    </w:p>
    <w:p>
      <w:r>
        <w:t>2. Faced with these constraints, local authorities, for the vast majority of them, have chosen to delegate</w:t>
        <w:br/>
        <w:t>this activity to specialized companies that have fully benefited from the development of this market. Thus,</w:t>
        <w:br/>
        <w:t>between 1995 and 2003, the activity of professionals in household waste management increased by 103.5%.</w:t>
      </w:r>
    </w:p>
    <w:p>
      <w:r>
        <w:t>3. France has 4,100 waste management companies, an activity that includes collection, transport,</w:t>
        <w:br/>
        <w:t>treatment, and recovery. The sector is characterized by a strong concentration around two major groups –</w:t>
        <w:br/>
        <w:t>Veolia Environnement and Suez – which have been able to take advantage of their historical presence in</w:t>
        <w:br/>
        <w:t>the distribution and then water treatment sectors. Together, these two groups control nearly 75% of the</w:t>
        <w:br/>
        <w:t>main companies involved in waste management.</w:t>
      </w:r>
    </w:p>
    <w:p>
      <w:r>
        <w:t>4. CGEA-Onyx, present in 49 countries through 430 companies employing a total of 72,193 employees,</w:t>
        <w:br/>
        <w:t>is ranked as the second largest global operator in cleanliness and waste management with a turnover of</w:t>
        <w:br/>
        <w:t>6 billion euros in 2003. In France, the group holds or controls ten companies that had, in 2002, a turnover</w:t>
        <w:br/>
        <w:t>exceeding 80 million euros and seven others whose turnover was between 40 and 80 million euros. Its</w:t>
        <w:br/>
        <w:t>subsidiary, of the same name, which is mentioned in this case, had a turnover of 116.3 million euros in</w:t>
        <w:br/>
        <w:t>2002.</w:t>
      </w:r>
    </w:p>
    <w:p>
      <w:r>
        <w:t>5. Sita, for its part, is present in 30 countries and has 1,800 waste treatment and operation sites, an</w:t>
        <w:br/>
        <w:t>activity for which it is a leader at the European level and the third company at the global level. In 2002,</w:t>
        <w:br/>
        <w:t>its turnover amounted to 5.8 billion euros, representing 44.2% of the total turnover of Suez Environnement.</w:t>
        <w:br/>
        <w:t>In France, the group holds or controls eleven companies whose turnover was, in 2002, greater than 80</w:t>
        <w:br/>
        <w:t>million euros and ten others whose turnover was, in the same year, between 40 and 80 million euros. Its</w:t>
        <w:br/>
        <w:t>French subsidiary Sita Dectra, also mentioned in this file, had a turnover of 81.7 million francs in 2002.</w:t>
      </w:r>
    </w:p>
    <w:p>
      <w:r>
        <w:t>6. Alongside these two leaders, the Bouygues company is also present in the field of storage and sorting,</w:t>
        <w:br/>
        <w:t>through its Saur group, whose subsidiary Coved had a turnover of 232.3 million euros in 2003, and Tiru</w:t>
        <w:br/>
        <w:t>(subsidiary of EDF Développement). However, their presence does not challenge the predominance of Sita</w:t>
        <w:br/>
        <w:t>and CGEA-Onyx.</w:t>
      </w:r>
    </w:p>
    <w:p>
      <w:r>
        <w:t>7. Furthermore, several independent operators are ranked among the leaders in the profession,</w:t>
        <w:br/>
        <w:t>particularly in the industrial waste sector, such as Ortec Onet, Séché Environnement, and Malezieux.</w:t>
        <w:br/>
        <w:t>Additionally, the sector also includes many particularly high-performing SMEs; in 2005, these should thus</w:t>
        <w:br/>
        <w:t>generate a financial profitability exceeding 15% and a pre-tax result of more than 19% of the added value.</w:t>
      </w:r>
    </w:p>
    <w:p>
      <w:r>
        <w:t>8. Regarding only household waste, the latest INSEE survey on services indicates that the turnover of</w:t>
        <w:br/>
        <w:t>companies whose main activity is the collection and treatment of household waste and similar waste was,</w:t>
        <w:br/>
        <w:t>in 2002, 5.2 billion euros. That same year, the sector employed 43,700 people.</w:t>
      </w:r>
    </w:p>
    <w:p>
      <w:r>
        <w:t>9. The table below, derived from the Xerfi study of May 2004 on the waste market, provides the ranking</w:t>
        <w:br/>
        <w:t>by turnover of the leading companies specialized in waste management in France, and illustrates the</w:t>
        <w:br/>
        <w:t>preeminence of the subsidiaries of the Suez and Veolia Environnement groups; in gray appear the companies</w:t>
        <w:br/>
        <w:t>that are not part of these two groups or that are not controlled by one of their subsidiaries:</w:t>
        <w:br/>
        <w:t xml:space="preserve"> </w:t>
        <w:br/>
        <w:t>Companies Turnover Control Closing Date</w:t>
        <w:br/>
        <w:t>(millions of euros)</w:t>
        <w:br/>
        <w:t>Sita Ile-de-France 196.16 Suez 12/31/2002</w:t>
        <w:br/>
        <w:t>Sita FD 142.4 Suez 12/31/2002</w:t>
        <w:br/>
        <w:t>Aubine 137.0 Veolia 12/31/2002</w:t>
        <w:br/>
        <w:t>Sita Mos 118.5 Suez 12/31/2002</w:t>
        <w:br/>
        <w:t>CGEA-Onyx 116.3 Veolia 12/31/2002</w:t>
        <w:br/>
        <w:t>Paul Grandjouan Saco 108.1 Veolia 12/31/2002</w:t>
        <w:br/>
        <w:t>Novergie 107.5 Suez 12/31/2002</w:t>
        <w:br/>
        <w:t>Onyx Ara 107.3 Veolia 12/31/2002</w:t>
        <w:br/>
        <w:t>Onyx Est 103.1 Veolia 12/21/2001</w:t>
        <w:br/>
        <w:t>Tiru 102.1 EDF (majority) + Veolia 12/31/2002</w:t>
        <w:br/>
        <w:t>(24%) + Suez (25%)</w:t>
        <w:br/>
        <w:t>Tais 100.7 Veolia 12/31/2002</w:t>
        <w:br/>
        <w:t>Otus 100.3 Veolia 12/31/2002</w:t>
        <w:br/>
        <w:t>Sita Nord 99.2 Suez 12/31/2002</w:t>
        <w:br/>
        <w:t>Esterra 96.5 Veolia 12/31/2002</w:t>
        <w:br/>
        <w:t>Soccoim 95.0 Veolia 12/31/2002</w:t>
        <w:br/>
        <w:t>Sita Sud 93.9 Veolia 12/31/2002</w:t>
      </w:r>
    </w:p>
    <w:p>
      <w:r>
        <w:rPr>
          <w:b/>
        </w:rPr>
        <w:t>[Pages 4–6]</w:t>
      </w:r>
    </w:p>
    <w:p>
      <w:r>
        <w:t>Companies Turnover Control Closing Date</w:t>
        <w:br/>
        <w:t>(millions of euros)</w:t>
        <w:br/>
        <w:t>Seché Eco Industries 92.6 Mr. Michel X… 12/31/2002</w:t>
        <w:br/>
        <w:t>Sita Lorraine 87.9 Suez 12/31/2002</w:t>
        <w:br/>
        <w:t>Nicollin 86.1 Suez 12/31/2002</w:t>
        <w:br/>
        <w:t>Sita Dectra 81.7 Suez 12/31/2002</w:t>
        <w:br/>
        <w:t>Tredi 80.8 Mr. Michel X… 12/31/2002</w:t>
        <w:br/>
        <w:t>Sud-Est Assainissement 79.1 Veolia 12/31/2002</w:t>
        <w:br/>
        <w:t>Sita Centre-Ouest 78.4 Suez 12/31/2002</w:t>
        <w:br/>
        <w:t>SURCA 14.5 Suez 12/31/2002</w:t>
        <w:br/>
        <w:t>Inova France 72.35 Von Roll Inova Holding 12/31/2002</w:t>
        <w:br/>
        <w:t>Sita Ouest 66.9 Suez 12/31/2002</w:t>
        <w:br/>
        <w:t>Generis 64.0 Veolia 12/31/2002</w:t>
        <w:br/>
        <w:t>Sra-Savac 31.4 Suez 12/31/2002</w:t>
        <w:br/>
        <w:t>SEPUR 60.3 Mr. Hervé Y… 12/31/2002</w:t>
        <w:br/>
        <w:t>Sita Normandie-Picardie 60.3 Suez 12/31/2002</w:t>
        <w:br/>
        <w:t>Sté SCORI 59.0 Suez (majority) + Lafarge 12/31/2000</w:t>
        <w:br/>
        <w:t>Ciments (13%) + Ciments</w:t>
        <w:br/>
        <w:t>Calcia (13%) + Vicat (6%)</w:t>
        <w:br/>
        <w:t>Sita 58.3 Suez 12/31/2002</w:t>
        <w:br/>
        <w:t>SMN 58.1 Nicollin Holding (Suez) 12/31/2002</w:t>
        <w:br/>
        <w:t>SARP industries 57.5 Veolia 12/31/2002</w:t>
        <w:br/>
        <w:t>Sita Centre Est 56.9 Suez 12/31/2002</w:t>
        <w:br/>
        <w:t>Sita Alsace 50.2 Suez 12/31/2002</w:t>
        <w:br/>
        <w:t>Ortec Industrie 48.3 Ortec Expansion 12/31/2002</w:t>
        <w:br/>
        <w:t>Valnor 46.5 Veolia 12/31/2002</w:t>
      </w:r>
    </w:p>
    <w:p>
      <w:r>
        <w:t>Companies Turnover Control Closing Date</w:t>
        <w:br/>
        <w:t>(millions of euros)</w:t>
        <w:br/>
        <w:t>Coved Midi Atlantique 45.3 Bouygues 12/31/2002</w:t>
        <w:br/>
        <w:t>Coved Centre Ouest 43.7 Bouygues 12/31/2002</w:t>
        <w:br/>
        <w:t>Coved Nord et Île de 43.4 Bouygues 12/31/2002</w:t>
        <w:br/>
        <w:t>France</w:t>
        <w:br/>
        <w:t>Recyclage Matière 43.2 Veolia 12/31/2002</w:t>
        <w:br/>
        <w:t>Onyx Méditerranée 42.1 Veolia 12/31/2002</w:t>
        <w:br/>
        <w:t>Abilis 39.9 ISS 12/31/2002</w:t>
        <w:br/>
        <w:t>Bronzo 38.6 Veolia 12/31/2002</w:t>
        <w:br/>
        <w:t>Onyx Aquitaine 38.0 Veolia 12/31/2002</w:t>
        <w:br/>
        <w:t>Cideme 37.3 EDF via Tiaru 12/31/2002</w:t>
        <w:br/>
        <w:t>Onyx USP 36.2 Veolia 12/21/2001</w:t>
        <w:br/>
        <w:t>Sanetra 36.1 Veolia 12/31/2002</w:t>
        <w:br/>
        <w:t>Polyurbaine 35.9 Penauille Polyservices 12/31/2002</w:t>
        <w:br/>
        <w:t>Degremont Services 35.7 Suez 12/31/2002</w:t>
        <w:br/>
        <w:t>Sede Environnement 34.7 Veolia 12/31/2002</w:t>
        <w:br/>
        <w:t>Solamat Merex 33.6 Veolia 12/31/2002</w:t>
        <w:br/>
        <w:t>Sté normande de 32.3 Suez 12/31/2001</w:t>
        <w:br/>
        <w:t>nettoiement</w:t>
        <w:br/>
        <w:t>Semardel 32.1 Not available 12/31/2002</w:t>
        <w:br/>
        <w:t>Sanitra Fourrier 32.0 Suez 12/31/2002</w:t>
        <w:br/>
        <w:t>Coved Centre Est 31.7 Bouygues 12/31/2002</w:t>
        <w:br/>
        <w:t>Fassa 31.1 Veolia 12/31/2002</w:t>
        <w:br/>
        <w:t>Ipodec Normandie 30.6 Veolia 12/31/2002</w:t>
        <w:br/>
        <w:t>Silim Environnement 30.6 Veolia 12/31/2002</w:t>
        <w:br/>
        <w:t>Sanitra services 30.3 Suez 12/31/2002</w:t>
      </w:r>
    </w:p>
    <w:p>
      <w:r>
        <w:t>Companies Turnover Control Closing Date</w:t>
        <w:br/>
        <w:t>(millions of euros)</w:t>
        <w:br/>
        <w:t>Onyx Languedoc 29.6 Veolia 12/31/2002</w:t>
        <w:br/>
        <w:t>Roussillon</w:t>
        <w:br/>
        <w:t>Ortec Environnement 29.1 Ortec Expansion 12/31/2002</w:t>
        <w:br/>
        <w:t>Générale de Valorisation 28.9 Veolia 12/31/2002</w:t>
        <w:br/>
        <w:t>SETRAD 28.9 Veolia 12/31/2002</w:t>
        <w:br/>
        <w:t>Creteil Incineration 28.4 Suez 12/31/2002</w:t>
        <w:br/>
        <w:t>Energy</w:t>
        <w:br/>
        <w:t>Sté Traitement des 27.6 Veolia 12/31/2002</w:t>
        <w:br/>
        <w:t>Effluents Nord</w:t>
        <w:br/>
        <w:t>Onyx Normandie 27.0 Veolia 12/31/2002</w:t>
        <w:br/>
        <w:t>Polynordsud 26.8 Commissariat à l'énergie 12/31/2002</w:t>
        <w:br/>
        <w:t>Atomique</w:t>
        <w:br/>
        <w:t>Sté Orléanaise 26.2 Veolia 12/31/2002</w:t>
        <w:br/>
        <w:t>d'Assainissement</w:t>
        <w:br/>
        <w:t>Novergie Méditerranée 25.6 Not available 12/31/2001</w:t>
        <w:br/>
        <w:t>B. PRACTICES</w:t>
        <w:br/>
        <w:t>1. THE MARKETS IN QUESTION IN THE REFERRAL</w:t>
        <w:br/>
        <w:t>10. The market for the collection and treatment of household waste of the Community of</w:t>
        <w:br/>
        <w:t>communes of the Grande Vallée de la Marne was subject, until 2002, to a single contract</w:t>
        <w:br/>
        <w:t>with the company Dectra (Sita Dectra) whose service was payable per ton collected</w:t>
        <w:br/>
        <w:t>for a total amount that reached in 2002 to 544,855.82 euros excluding VAT, not including the rental of bins.</w:t>
        <w:br/>
        <w:t>During the spring of 2003, the Community of communes decided "to open the market</w:t>
        <w:br/>
        <w:t>to more competition and to limit the foreseeable increase in costs" by dividing the market into</w:t>
        <w:br/>
        <w:t>four lots:</w:t>
        <w:br/>
        <w:t>• lot no. 1: collection and treatment of household waste and green waste;</w:t>
        <w:br/>
        <w:t>• lot no. 2: collection and sorting of hollow bodies, flat bodies1, papers, newspapers, and magazines;</w:t>
        <w:br/>
        <w:t>• lot no. 3: collection and sorting of glass;</w:t>
        <w:br/>
        <w:t>• lot no. 4: supply of bins.</w:t>
        <w:br/>
        <w:t>11. The duration of each of these markets was set at 7 years starting from October 1, 2003.</w:t>
        <w:br/>
        <w:t>1 Plastics, steel, aluminum, food bricks, packaging cartons.</w:t>
      </w:r>
    </w:p>
    <w:p>
      <w:r>
        <w:rPr>
          <w:b/>
        </w:rPr>
        <w:t>[Pages 7–9]</w:t>
      </w:r>
    </w:p>
    <w:p>
      <w:r>
        <w:t>12. The calls for tenders were launched on May 2, 2003, and the commission that examined the bids met on May 27, 2003, with the following results:</w:t>
        <w:br/>
        <w:t>a) Lot No. 1: collection and treatment of household waste and green waste</w:t>
        <w:br/>
        <w:t>13. Three companies submitted bids for this contract, which was awarded to the lowest bid presented by Sita Dectra, the Community of communes "considering that (its) proposal complied with the estimate established by the consulting firm" it had consulted in its process of renewing the aforementioned contracts. The table below presents the status of the bids for this first lot.</w:t>
        <w:br/>
        <w:t>Deviation from</w:t>
        <w:br/>
        <w:t>COMPANIES BID AMOUNT (*) the lowest bid (in %)</w:t>
        <w:br/>
        <w:t>Onyx Est 514,832.20 + 2.23</w:t>
        <w:br/>
        <w:t>Sita Dectra 503,600.40</w:t>
        <w:br/>
        <w:t>Edinord 521,658.80 + 3.59</w:t>
        <w:br/>
        <w:t>(*) Amount excluding taxes in euros and per year.</w:t>
        <w:br/>
        <w:t>b) Lot No. 2: collection and sorting of hollow bodies, flat bodies, papers, newspapers, and magazines</w:t>
        <w:br/>
        <w:t>14. The administrative estimate for this second lot was 161,000 euros per year. Given the significant gap between this estimate and the bids submitted by the three bidding companies during the first call for tenders, the commission declared this contract unsuccessful. A second call for tenders was launched retaining the solution proposed by Sita Dectra to collect mixed hollow and flat bodies. On this basis, the three companies that initially submitted bids presented new offers, significantly more competitive for Sita Dectra and Edinord; following negotiations with the local authority, the lowest bid, presented by Edinord, was accepted after the latter agreed to grant a discount of 6.60% on its second offer, bringing it down to 222,675.25 euros excluding taxes per year, representing a deviation of 38.3% from the administrative estimate.</w:t>
        <w:br/>
        <w:t>15. The table below presents the status of the bids for the second lot during the two successive calls for tenders it underwent:</w:t>
        <w:br/>
        <w:t>Deviation</w:t>
        <w:br/>
        <w:t>BID AMOUNT Deviation from BID AMOUNT Deviation from between the</w:t>
        <w:br/>
        <w:t>COMPANIES THE LOWEST BID THE SECOND to the lowest bid 1st and the</w:t>
        <w:br/>
        <w:t>INITIAL (*) (in %) OFFER (*) (in %) 2nd offer</w:t>
        <w:br/>
        <w:t>Sita Dectra 278,741.25 +17.45 269,451.00 + 16.96 - 3.33%</w:t>
        <w:br/>
        <w:t>Edinord 237,330.25 230,375.25(**) -2.93%</w:t>
        <w:br/>
        <w:t>Onyx Est 281,694.20 + 18.69 281,694.20 + 22.28 0</w:t>
        <w:br/>
        <w:t>(*) Amount excluding taxes in euros and per year.</w:t>
        <w:br/>
        <w:t>(**) Offer reduced to 222,675.25 euros after negotiations.</w:t>
        <w:br/>
        <w:t>c) Lot No. 3: collection and sorting of glass</w:t>
        <w:br/>
        <w:t>16. Two companies submitted bids for this contract, but their offers appeared so high compared to the estimate that had been made (34,500 euros excluding taxes per year) that the contract was classified as not pursued. In July 2003, a new call for tenders was launched on the same technical bases, to which one of the two companies present during the initial call for tenders and a new candidate, Suippase de Récupération, responded, whose offer, significantly lower than that of its competitor, was accepted by the Community of communes.</w:t>
        <w:br/>
        <w:t>17. The status of the bids for this third lot is illustrated by the table below:</w:t>
        <w:br/>
        <w:t>BID AMOUNT Deviation from the BID AMOUNT Deviation from the</w:t>
        <w:br/>
        <w:t>COMPANIES THE LOWEST BID SECOND LOWEST BID</w:t>
        <w:br/>
        <w:t>INITIAL (*) (in %) OFFER (*) (in %)</w:t>
        <w:br/>
        <w:t>Sita Dectra 82,976.25 58,315 + 84.50</w:t>
        <w:br/>
        <w:t>Edinord 95,249.65 + 14.80</w:t>
        <w:br/>
        <w:t>Suippase 31,610</w:t>
        <w:br/>
        <w:t>(*) Amount excluding taxes in euros and per year.</w:t>
        <w:br/>
        <w:t>d) Lot No. 4: supply of bins</w:t>
        <w:br/>
        <w:t>18. Three companies submitted bids for this supply contract, for which the lowest bid, Plastic Omnium, was immediately accepted. The table below specifies the status of the competition for this last lot:</w:t>
        <w:br/>
        <w:t>Deviation from</w:t>
        <w:br/>
        <w:t>COMPANIES BID AMOUNT (*) the lowest bid (in %)</w:t>
        <w:br/>
        <w:t>Conteneur SA 26,909.28 + 15.57</w:t>
        <w:br/>
        <w:t>Plastic Omnium 23,284</w:t>
        <w:br/>
        <w:t>Citec Environnement 31,113.80 + 33.63</w:t>
        <w:br/>
        <w:t>(*) Amount excluding taxes in euros and per year.</w:t>
        <w:br/>
        <w:t>2. THE PRACTICES MENTIONED BY THE REFERRER</w:t>
        <w:br/>
        <w:t>19. In his referral letter to the Council dated November 13, 2003, the president of the Community of communes of the Grande Vallée de la Marne mentions:</w:t>
        <w:br/>
        <w:t>• regarding lot No. 1, the difference of "only" 6.9% between the lowest bid and the highest bid, "whereas in other comparable markets, particularly in the Marne, the difference can vary from 10 to 50%" and that the difference "appears much more pronounced in the other lots" such as for lot No. 4 for which it is around 33.6%;</w:t>
        <w:br/>
        <w:t>• regarding lot No. 2, the "poor proposals" presented by the bidders during the first call for tenders, the "difficult negotiation" engaged with the company that ultimately won the contract, Edinord, which he claims he was "forced" to accept the final offer;</w:t>
        <w:br/>
        <w:t>• regarding lot No. 3, concerning the second offer from Dectra after the relaunch of the contract, its "service strictly identical to that of the first call for tenders, a reduction of 21,453.92 euros no more justified than the first cost put forward."</w:t>
        <w:br/>
        <w:t>20. In this regard, the president of the Community of communes finds it "disturbing to note that both the service has significantly increased and at the same time there are also so few differences from one provider to another." According to him, this would raise serious doubts about the "economic reality" of the "prices put forward by the two main companies in the market (Onyx of the Eolia group and Dectra of the Suez group) directly or indirectly monopolizing the shares of this oligopolistic market." He argues that the amount of the annual bill would have been if lots No. 1, No. 2, and No. 3 had been awarded to Dectra alone, the sum of its offers amounting to 865,317.90 euros excluding taxes per year, whereas the sum of the three contracts awarded ultimately amounted to 757,885.65 euros excluding taxes per year, with a greater frequency of collections.</w:t>
        <w:br/>
        <w:t>21. From this situation, the referrer concludes to the possibility of the existence of a collective dominant position that the company Dectra would be abusing, in the sense of community and French case law, this notion could according to him "be understood as 'the power to obstruct effective competition' as it emerges from the ruling of the Court of Appeal (1st chamber, April 13, 1999, Sita Dectra and others, BOCCRF May 12, p.154)."</w:t>
        <w:br/>
        <w:t>II. Discussion</w:t>
        <w:br/>
        <w:t>22. Article L. 462-8, paragraph 2 of the Commercial Code states: "The Competition Council may also reject the referral by reasoned decision when it considers that the facts invoked are not supported by sufficiently probative elements."</w:t>
        <w:br/>
        <w:t>A. ON THE POSSIBLE EXISTENCE OF AN AGREEMENT</w:t>
        <w:br/>
        <w:t>23. It is necessary to first exclude lot No. 4 from this reasoning, as this lot is the only supply contract (bins) for which the candidate companies do not belong to the same sector of activity as the companies that submitted bids for lots No. 1, 2, and 3, service contracts, and are therefore not in competition with the latter. Furthermore, no issues have been reported regarding this contract by the referrer.</w:t>
        <w:br/>
        <w:t>24. Regarding the remaining three contracts, demonstrating the existence of a possible agreement among the bidders requires establishing the reality of information exchanges prior to the submission of bids.</w:t>
        <w:br/>
        <w:t>25. In this case, the fact, alleged by the referrer, that the bids were closely spaced, while the total amount of the contracts had significantly increased, is, in the absence of other indicators, insufficient to constitute a beginning of proof.</w:t>
        <w:br/>
        <w:t>26. Regarding, firstly, the substantial increase in the total amount of the contracts awarded compared to the previous single contract, it can partly be explained by the impact of the application of the aforementioned law of July 13, 1992, underestimated by the referrer.</w:t>
      </w:r>
    </w:p>
    <w:p>
      <w:r>
        <w:rPr>
          <w:b/>
        </w:rPr>
        <w:t>[Pages 10–11]</w:t>
      </w:r>
    </w:p>
    <w:p>
      <w:r>
        <w:t xml:space="preserve">commencement of proof.  </w:t>
        <w:br/>
        <w:t>26. Regarding, firstly, the substantial increase in the total amount of contracts awarded compared to the previous single contract, this can partly be explained by the impact of the application of the aforementioned law of July 13, 1992, which was underestimated by the complainant.</w:t>
      </w:r>
    </w:p>
    <w:p>
      <w:r>
        <w:t xml:space="preserve">In providing for the obligation to recover waste through reuse, recycling, or any other action aimed at obtaining reusable materials or energy from waste, and the elimination, as of July 1, 2002, of raw landfills to only allow the storage of ultimate waste, this law has indeed contributed to the increase in the cost of collecting and treating household waste. At the same time, other standards, particularly European ones, have contributed to increasing the burdens on local authorities. Thus, the consideration of increasingly strict anti-pollution standards has led to the constant increase in the cost of incinerating a ton of household waste (€67.53/ton in 2002 compared to €9.45/ton in 1987).  </w:t>
        <w:br/>
        <w:t xml:space="preserve">27. In this regard, a study conducted by the Agency for Environment and Energy Management (ADEME: Study on Waste-Related Markets - Situation 2003-2004 and Prospects 2005, conducted by In Numeri) on the situation in 2003-2004 and the forecasts for 2005 of the "waste-related activities markets" demonstrates that this increase in the cost of collection and treatment is a significant trend in the sector. It estimates an average increase of 4.7% in the management cost of household waste between 2003 and 2005, divided between a 5.1% increase for collection and a 3.3% increase for treatment, particularly due to the progress in selective collection of packaging (market no. 2 in this case). All these factors explain why the cost of collecting and treating waste has increased, particularly for the Community of communes of the Grande Vallée de la Marne, which re-tendered this market the year following the entry into force of the ban on raw landfills and the obligation to only store ultimate waste. This has resulted in a significant overall increase in the cost of this market, which does not exclude the possibility that some companies submitted uncompetitive bids. The complainant was indeed aware of this foreseeable increase since he stated in his referral that he had divided the market into four lots in order to "limit the foreseeable increase in costs."  </w:t>
        <w:br/>
        <w:t xml:space="preserve">28. Additionally, there has been a significant increase in the volume of waste produced by each household due to the cumulative effect of rising living standards and the success of packaged or ready-to-eat food products. Following this evolution in consumption patterns, the nature of the waste has also evolved with the increase in the share of plastic packaging.  </w:t>
        <w:br/>
        <w:t xml:space="preserve">29. Regarding, secondly, the level of the bids submitted, the bids for lot no. 1, which were not far from that of Sita Dectra (+2.23% for Onyx and +3.59% for Edinord), do not demonstrate that the companies colluded before bidding. In the market corresponding to lot no. 2, the gaps between the lowest and highest bids in the first and second rounds are of the same order (between 19% and 22%), without any conclusions being drawn from the existence of such gaps, which are quite common in other public markets. In contrast, lot no. 3 is characterized by bids with contrasting levels (the second proposal from Sita Dectra exceeds that of Suippase by 84.5%, even though Dectra has reduced its initial bid by nearly 30%).  </w:t>
        <w:br/>
        <w:t>30. Thus, none of the elements provided by the referral offers any proof of the existence of an agreement regarding the markets in question.</w:t>
      </w:r>
    </w:p>
    <w:p>
      <w:r>
        <w:t xml:space="preserve">B. ON THE POSSIBLE EXISTENCE OF ABUSE OF DOMINANT POSITION  </w:t>
        <w:br/>
        <w:t xml:space="preserve">31. In the markets for the collection and treatment of waste in the Community of communes of the Grande Vallée de la Marne, none of the bidding companies was individually in a dominant position. Furthermore, the complainant provides no evidence in his referral that would characterize abusive behavior.  </w:t>
        <w:br/>
        <w:t xml:space="preserve">32. The complainant claims that the three companies would be in a collective dominant position.  </w:t>
        <w:br/>
        <w:t xml:space="preserve">33. However, collective dominant position is not reprehensible in itself concerning anti-competitive practices. Only an abuse of this collective dominant position could be sanctioned.  </w:t>
        <w:br/>
        <w:t xml:space="preserve">34. In this case, the complainant does not allege any abuse, and no element in the file suggests its existence.  </w:t>
        <w:br/>
        <w:t xml:space="preserve">35. Moreover, a situation of collective dominance is questionable in the market in question. Indeed, one of the conditions for the existence of this collective dominance established by community jurisprudence (Court of First Instance, June 6, 2002, Airtours, T-342/99) is clearly not met, as it results from the elements submitted to the file that there are "free riders" capable of challenging the common position potentially adopted by the market leaders, namely the SMEs present in the market and, in the context of the referral, the companies Edinord and Suippase Récupération, which effectively won two of the three lots in the local market considered.  </w:t>
        <w:br/>
        <w:t xml:space="preserve">36. It follows from the above that the alleged facts, in light of the elements provided by the referral, cannot be classified as an agreement within the meaning of Article L. 420-1 of the Commercial Code, nor as an abuse of individual or collective dominant position within the meaning of Article L. 420-2 of the same code. Therefore, the provisions of Article L. 462-8, paragraph 2, of the Commercial Code should be applied.  </w:t>
        <w:br/>
        <w:t xml:space="preserve">DECISION  </w:t>
        <w:br/>
        <w:t xml:space="preserve">Single Article: The referral from the Community of communes of the Grande Vallée de la Marne is rejected.  </w:t>
        <w:br/>
        <w:t xml:space="preserve">Deliberated on the oral report of Ms. Vannina Correa de Sampaio, by Mr. Nasse, vice-president, presiding over the session, Ms. Aubert and Ms. Perrot, vice-presidents.  </w:t>
        <w:br/>
        <w:t xml:space="preserve">The session secretary, The vice-president,  </w:t>
        <w:br/>
        <w:t xml:space="preserve">Catherine Duparcq Philippe Nasse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