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https://www.autoritedelaconcurrence.fr/fr/decision/relative-des-pratiques-mises-en-oeuvre-par-carte-blanche-partenaires-dans-le-secteur-de</w:t>
      </w:r>
    </w:p>
    <w:p>
      <w:r>
        <w:t>Pages translated : 16</w:t>
      </w:r>
    </w:p>
    <w:p/>
    <w:p>
      <w:r>
        <w:rPr>
          <w:b/>
        </w:rPr>
        <w:t>[Pages 1–3]</w:t>
      </w:r>
    </w:p>
    <w:p>
      <w:r>
        <w:t>FRENCH REPUBLIC</w:t>
        <w:br/>
        <w:t>Decision No. 16-D-12 of June 9, 2016</w:t>
        <w:br/>
        <w:t>regarding practices implemented by Carte Blanche</w:t>
        <w:br/>
        <w:t>Partners in the optical sector</w:t>
        <w:br/>
        <w:t>The Competition Authority (section II),</w:t>
        <w:br/>
        <w:t>Considering the letters, registered on January 26, 2016 under numbers 16/0008F and 16/0009M by which the Centrale des Opticiens (hereinafter "CDO") and the companies FL2 and Opti’bambins referred to the Competition Authority regarding practices implemented by the Carte Blanche Partners care network (hereinafter "Carte Blanche") in the optical sector and requested the granting of interim measures;</w:t>
        <w:br/>
        <w:t>Considering Articles 101 or 102 of the Treaty on the Functioning of the European Union;</w:t>
        <w:br/>
        <w:t>Considering Book IV of the Commercial Code;</w:t>
        <w:br/>
        <w:t>Considering the observations presented by the CDO, FL2, and Opti’bambins as well as Carte Blanche;</w:t>
        <w:br/>
        <w:t>Considering the business secrecy decisions Nos. 16-DSA-61 (CDO), 16-DSA-62 (FL2), 16-DSA-66 (CDO, Opti’Bambins), 16-DSA-78 (Carte Blanche), 16-DSA-79 (BBGR), 16-DSA-87 (Essilor), 16-DSA-93 (Rodenstock France), 16-DSA-100 (Hoya Lens France) and 16-DSA-103 (Rodenstock France);</w:t>
        <w:br/>
        <w:t>Considering the other documents in the file;</w:t>
        <w:br/>
        <w:t>The rapporteur, the deputy general rapporteur, the Government commissioner, and the representatives of the CDO and the companies FL2, Opti’bambins, and Carte Blanche heard during the session of the Competition Authority on May 26, 2016;</w:t>
        <w:br/>
        <w:t>Adopts the following decision:</w:t>
      </w:r>
    </w:p>
    <w:p>
      <w:r>
        <w:t>I. Findings</w:t>
        <w:br/>
        <w:t>1. The CDO, FL2, and Opti’bambins (hereinafter "referring parties") denounce anti-competitive practices implemented by the Carte Blanche care network in the optical-glasses sector.</w:t>
        <w:br/>
        <w:t>2. This referral is accompanied by a request for interim measures.</w:t>
        <w:br/>
        <w:t>A. THE SECTORS OF ACTIVITY CONCERNED</w:t>
        <w:br/>
        <w:t>1. THE ACTORS IN THE SECTOR</w:t>
        <w:br/>
        <w:t>3. The optical-glasses sector includes upstream suppliers of optical products and downstream distributors of said products (opticians). Purchasing and/or referencing groups also operate in this sector.</w:t>
        <w:br/>
        <w:t>a) Suppliers of lenses and frames</w:t>
        <w:br/>
        <w:t>4. There are numerous manufacturers of eyewear frames, including both small and medium-sized enterprises as well as multinationals.</w:t>
        <w:br/>
        <w:t>5. As for lens manufacturers in France, the sector is quite concentrated with the market leader, the Essilor group, followed at a distance by the German group Carl Zeiss and the Japanese group Hoya. Sales of ophthalmic lenses in France amounted to 3.3 billion euros in 2014.</w:t>
        <w:br/>
        <w:t>b) Purchasing or referencing groups</w:t>
        <w:br/>
        <w:t>6. For their supply, opticians can rely on purchasing and/or referencing groups (hereinafter "group/s") that allow them to benefit from the strength of a collective for negotiations with suppliers while remaining affiliated, if applicable, to their own brand. They can choose, from the group, the products of the suppliers referenced by it, as well as, in certain cases, products specific to the group. Indeed, some groups offer opticians their own frames and lenses. Groups can be independent or affiliated with an optician brand.</w:t>
        <w:br/>
        <w:t>c) Opticians</w:t>
        <w:br/>
        <w:t>7. The distribution of optical-glasses products is ensured by opticians, a regulated profession, notably by the Public Health Code.</w:t>
        <w:br/>
        <w:t>8. In the optical-glasses sector, the number of retail outlets in France has continued to grow in recent years: it increased from 8,700 in 2003 to just over 12,000 in 2014.</w:t>
      </w:r>
    </w:p>
    <w:p>
      <w:r>
        <w:t>2. THE FINANCING OF OPTICAL-GLASSES EXPENSES</w:t>
        <w:br/>
        <w:t>9. In France, medical optical expenses amounted to 5.8 billion euros in 2014. The financing of optical products is provided by three categories of stakeholders: health insurance, complementary health organizations, and households. To illustrate, for a pair of single-vision glasses costing 200 euros, Health Insurance reimburses on average a little less than 8 euros, complementary health insurance covers 150 euros, and the insured must pay 42 euros. For progressive lenses priced at 500 euros, Health Insurance reimburses on average 24 euros, complementary health insurance covers 280 euros, leaving approximately 196 euros to be paid by the insured.</w:t>
        <w:br/>
        <w:t>a) Health Insurance</w:t>
        <w:br/>
        <w:t>10. Certain categories of optical-glasses products are considered medical devices reimbursable by Health Insurance. This includes, in particular, eyewear frames, ophthalmic lenses, and contact lenses. However, medical optics is poorly reimbursed by Health Insurance, which only covers 3.6% of total consumption, the remainder being financed by complementary health insurance and households.</w:t>
        <w:br/>
        <w:t>b) Complementary health insurance organizations ("OCAM")</w:t>
        <w:br/>
        <w:t>11. In return for contributions paid by clients who have taken out health insurance, complementary health insurance organizations (hereinafter "OCAM") cover all or part of health expenses not reimbursable by Health Insurance. Approximately 94% of the population is affiliated with an OCAM, either through an individually subscribed contract initiated by the insured or through a collective contract subscribed by a company. The reimbursement guarantees for healthcare and medical goods expenses such as optical equipment vary according to contracts.</w:t>
        <w:br/>
        <w:t>12. OCAM can be classified into three categories based on their legal regime:</w:t>
        <w:br/>
        <w:t>- mutuals, which are non-profit private law companies registered in the national mutuals register that can only operate in the field of personal insurance and are governed by the Mutuality Code;</w:t>
        <w:br/>
        <w:t>- insurance companies, which are private law legal entities that primarily operate in the field of property insurance and are governed by the Insurance Code;</w:t>
        <w:br/>
        <w:t>- provident institutions, which are non-profit private law companies that primarily operate in the field of collective provident insurance and can only conduct their activities in the field of personal insurance. These institutions are governed by the Social Security Code or the Rural Code (for those operating in the agricultural sector).</w:t>
      </w:r>
    </w:p>
    <w:p>
      <w:r>
        <w:rPr>
          <w:b/>
        </w:rPr>
        <w:t>[Pages 4–6]</w:t>
      </w:r>
    </w:p>
    <w:p>
      <w:r>
        <w:t xml:space="preserve">13. This is a particularly fragmented sector where mutual insurance companies are predominant. Indeed, they represent more than 55% of the overall base of the CMU Fund compared to 27% for insurance companies and 17% for provident institutions.  </w:t>
        <w:br/>
        <w:t xml:space="preserve">14. Under Law 2013-504 of June 14, 2013, relating to the securing of employment (known as ANI), all companies must offer their employees, starting January 1, 2016, complementary health insurance. This new obligation affected approximately 500,000 structures and nearly 4 million employees.  </w:t>
        <w:br/>
        <w:t xml:space="preserve">c) Households  </w:t>
        <w:br/>
        <w:t xml:space="preserve">15. Households finance the remaining part of the expenses, referred to as the "out-of-pocket expenses."  </w:t>
        <w:br/>
        <w:t xml:space="preserve">d) The third-party payment mechanism  </w:t>
        <w:br/>
        <w:t xml:space="preserve">16. For their optical expenses, insured individuals can benefit from the "third-party payment" system. This system relieves the insured, under certain conditions, from advancing the reimbursable amounts, which are then paid directly to the healthcare professional by Health Insurance and/or the relevant OCAM.  </w:t>
        <w:br/>
        <w:t xml:space="preserve">17. This system requires the establishment of agreements with healthcare professionals. OCAMs must also implement the necessary tools for monitoring reimbursement requests, managing invoices, and providing teletransmission services. It is common for them to turn to specialized companies for this purpose.  </w:t>
        <w:br/>
        <w:t xml:space="preserve">3. THE CARE NETWORKS  </w:t>
        <w:br/>
        <w:t xml:space="preserve">18. As the main contributors to the financing of certain health expenses, several OCAMs have sought to develop new forms of partnership with professionals, going beyond the third-party payment system and aiming to limit the amount of these expenses.  </w:t>
        <w:br/>
        <w:t xml:space="preserve">19. For several years now, OCAMs have been organizing calls for tenders to establish networks of approved professionals with the objective of offering better quality/price ratios to their insured individuals. Most of these networks have been set up as part of partnerships between several OCAMs and are managed by a platform.  </w:t>
        <w:br/>
        <w:t xml:space="preserve">20. These networks have been formalized through agreements concluded:  </w:t>
        <w:br/>
        <w:t xml:space="preserve">- on the one hand, between the platform and the partner OCAMs, the latter delegating the management of the network to the platform;  </w:t>
        <w:br/>
        <w:t xml:space="preserve">- on the other hand, between the platform and each of the selected opticians.  </w:t>
        <w:br/>
        <w:t xml:space="preserve">21. The agreements concluded between the network managers and the selected opticians generally provide for commitments from the parties regarding the orientation of insured individuals towards the approved optician, the establishment of a third-party payment system for the benefit of the insured, the quality of services rendered and materials sold, as well as adherence to certain pricing moderation. Indeed, most networks have maximum pricing grids per product that opticians cannot exceed for network members. Thus, in exchange for access to the clientele of the networks, they agree to a price reduction of 15 to 40% compared to market prices.  </w:t>
        <w:br/>
        <w:t xml:space="preserve">22. These agreements have been established for a limited duration, which can vary, depending on the networks, between one and four years. It is prohibited for a network to impose exclusivity on an optician. Thus, an optician can be affiliated with multiple networks.  </w:t>
        <w:br/>
        <w:t xml:space="preserve">23. There are open networks and closed networks. Open networks are those that welcome any requesting optician to the OCAM or the relevant platform who meets certain criteria defined by the OCAM or the platform. Closed networks, on the other hand, reserve access to the network for a limited number of professionals per geographical region.  </w:t>
        <w:br/>
        <w:t xml:space="preserve">24. The share of financing for optical-glasses expenses covered by OCAMs for purchases made within these networks varies from one OCAM to another and depends on the levels of coverage. Some OCAMs practice differentiated reimbursement allowing their insured individuals to benefit from a better reimbursement rate or a bonus for purchases made within the network. Overall, the share of out-of-pocket expenses for insured individuals for purchases made within a network is lower than that found, on average, for purchases made outside of these networks.  </w:t>
        <w:br/>
        <w:t xml:space="preserve">25. In its opinion No. 09-A-467, the Competition Authority (hereinafter "the Authority") expressed general support, provided that the selection process for healthcare professionals is based on merit-based competition, for the establishment of care networks. It indeed considered that, focused on regulating supply, and based on a shared interest between the complementary organization – which seeks to better control its costs – and the insured individuals – who wish to benefit from zero or limited out-of-pocket expenses and the lowest possible insurance premium – the establishment of care networks subjects professionals wishing to be selected to the obligation to adhere to commitments of pricing moderation. Furthermore, the Authority considered that the development of agreements is likely to lead to a more competitive functioning of the market insofar as professionals not contracted by OCAMs will be incentivized to offer either additional services (such as deferred payment conditions), or superior quality of services, or attractive prices, to continue attracting insured individuals.  </w:t>
        <w:br/>
        <w:t xml:space="preserve">26. Today, in the optical-glasses sector, the main networks are, in order of importance, as follows: Kalivia, Santéclair, Carte Blanche, Itelis, Sévéane, and Optistya.  </w:t>
        <w:br/>
        <w:t xml:space="preserve">7 This is permitted by the so-called Le Roux law, Law No. 2014-57 of January 27, 2014, relating to the implementation modalities of agreements concluded between complementary health insurance organizations and healthcare professionals, establishments, and services.  </w:t>
        <w:br/>
        <w:t xml:space="preserve">8 Opinion No. 09-A-46 of September 9, 2009, regarding the effects on competition of the development of approved care networks.  </w:t>
        <w:br/>
        <w:t>5</w:t>
      </w:r>
    </w:p>
    <w:p>
      <w:r>
        <w:rPr>
          <w:b/>
        </w:rPr>
        <w:t>[Pages 7–9]</w:t>
      </w:r>
    </w:p>
    <w:p>
      <w:r>
        <w:t>34. In 2015, Opti’bambins was part of the Carte Blanche network, which represented [5-10]% of its revenue. Due to the conditions imposed by Carte Blanche in its call for tenders for the year 2016, particularly the obligation to purchase the frame collection, which it deemed unsuitable for children, Opti’bambins did not finalize its application. Today, Opti’bambins is not part of any care network.</w:t>
      </w:r>
    </w:p>
    <w:p>
      <w:r>
        <w:t>2. THE PARTY IN QUESTION: CARTE BLANCHE PARTENAIRES</w:t>
        <w:br/>
        <w:t>35. Carte Blanche is a simplified joint-stock company whose activity is that of a health platform operating in the field of third-party payment, management of health professional networks, and health support.</w:t>
        <w:br/>
        <w:t>36. The Carte Blanche network currently represents 6.5 million insured individuals. Its objective is to "facilitate access to care for the insured and control health expenditures for complementary organizations, in partnership with health professionals."</w:t>
        <w:br/>
        <w:t>37. The shareholders of Carte Blanche are primarily Swiss Life, Henner, Mutuelle Nationale des Hospitaliers, Generali, Aviva, Pacifica, and Thelem. Carte Blanche manages several networks of health professionals: opticians, dentists, and hearing aid specialists, who commit to pricing criteria and adherence to good practices.</w:t>
        <w:br/>
        <w:t>38. The Carte Blanche network has been open from the beginning, meaning that all health professionals who accept the proposed agreements can join, without limitation. Currently, the Carte Blanche network of opticians includes 7,632 opticians (compared to 10,331 opticians in 2015).</w:t>
        <w:br/>
        <w:t>39. In 2014, Carte Blanche generated a revenue of 6.9 million euros.</w:t>
      </w:r>
    </w:p>
    <w:p>
      <w:r>
        <w:t>C. THE CONDEMNED PRACTICES</w:t>
        <w:br/>
        <w:t>1. THE RENEWAL OF THE OPTICIAN NETWORK ON JANUARY 1, 2016 AND THE PREMIUM REFERENCING</w:t>
        <w:br/>
        <w:t>40. During the first half of 2015, Carte Blanche announced its intention to renew its optical network. It therefore terminated previous agreements with the opticians who were members of its network and launched a call for applications on September 15 to establish the new network starting January 1, 2016.</w:t>
        <w:br/>
        <w:t>41. As part of this call for applications, Carte Blanche offered interested opticians two levels of referencing:</w:t>
        <w:br/>
        <w:t>- A standard referencing, open to all opticians who agree to comply with the following commitments: adherence to good practices inherent to the profession, completion of professional training, implementation of third-party payment, store equipment, free provision of certain services, follow-up of the beneficiary and traceability of equipment, compliance with the product catalogs referenced by Carte Blanche, and adherence to regulations. To date, 7,632 opticians have been referenced in the Carte Blanche network.</w:t>
        <w:br/>
        <w:t>- A premium referencing, also open to all opticians provided they commit to providing additional services to their clients such as: personalized welcome, partitioned vision examination room, personalized assessment, technological innovations, and a wide choice of products, and above all, possessing a certification. In compensation for these additional services, premium opticians may benefit, on certain individualized lenses, from a differentiated pricing valuation with premium lens manufacturers, as well as additional services provided by these suppliers.</w:t>
        <w:br/>
        <w:t>42. Concurrently with the renewal of the optician network, Carte Blanche launched a call for tenders to suppliers of ophthalmic lenses to select those whose lenses could be offered and delivered by partner opticians within the network set to take effect on January 1, 2016.</w:t>
        <w:br/>
        <w:t>43. The new partnership proposed to lens suppliers consists, as with opticians, of two levels:</w:t>
        <w:br/>
        <w:t>- A standard referencing, consisting of the referencing of suppliers whose lenses can be delivered by all partner opticians of Carte Blanche. Within this standard referencing, 24 suppliers were retained, out of approximately 35 active in the market. Carte Blanche is the care network that has retained the largest number of lens manufacturers, while other networks limit the number of suppliers to between 3 and 11.</w:t>
        <w:br/>
        <w:t>- A premium referencing, aimed at selecting suppliers likely to meet certain additional requirements in terms of reputation, technological innovations, and services made available to opticians and beneficiaries of the network. Two lens manufacturers were selected in this regard: Essilor and Carl Zeiss. The individualized lenses from these two manufacturers distributed by premium opticians can be marked up by 10 euros.</w:t>
        <w:br/>
        <w:t>44. The two brands of lenses distributed by the CDO, Orus and Neo, have been referenced in the standard referencing of Carte Blanche.</w:t>
        <w:br/>
        <w:t>45. The CDO considers that the conditions of the premium referencing for lens manufacturers are discriminatory and tailored to reference Essilor and Carl Zeiss, while the two brands of lenses it markets could not be referenced as premium. The fact that premium opticians can sell certain individualized lenses from premium suppliers for ten euros more than the price indicated in the Carte Blanche pricing schedule, without any surcharge for the client, would give a competitive advantage to premium lens suppliers.</w:t>
      </w:r>
    </w:p>
    <w:p>
      <w:r>
        <w:t>2. THE PRYSME OFFER</w:t>
        <w:br/>
        <w:t>46. As part of the renewal of its network for the year 2016, Carte Blanche decided to implement, on an experimental basis, an offer called "Prysme offer," intended to allow beneficiaries access to optical equipment with no out-of-pocket expenses, while benefiting from quality control of the frames and lenses offered. Three lens manufacturers were retained: Essilor, Carl Zeiss, and Nikon. These three lens manufacturers were selected by mutual agreement without a call for tenders. For the needs of the Prysme offer, each manufacturer must propose eight references of lenses (four single vision lenses and four progressive lenses) based on the level of coverage of the beneficiary.</w:t>
        <w:br/>
        <w:t>47. Regarding frames, Carte Blanche decided to create its own collection, called "1796," the date of the creation of the first frame in France, with manufacturing partly entrusted to eyewear artisans based in France.</w:t>
        <w:br/>
        <w:t>48. Opticians who are members of the network are required to purchase the frame collection in advance and systematically offer the beneficiary of the Carte Blanche network a Prysme offer with no out-of-pocket expenses. However, they have no obligation to sell or achieve results. Furthermore, the 1796 frame collection is not reserved solely for beneficiaries of the Carte Blanche network but can be offered to all clients of the optician. The 1796 collection, which includes 36 frames, is sold by the Carte Blanche central purchasing organization to the opticians of the network for the sum of 1,310 euros excluding tax.</w:t>
        <w:br/>
        <w:t>49. The referring parties believe that the creation of a preferential referencing with the Prysme offer within the general referencing, negotiated by mutual agreement and without transparency, would constitute an abuse of dominant position by Carte Blanche or a restrictive vertical agreement between Carte Blanche and the opticians who are members of the network and/or the lens suppliers.</w:t>
      </w:r>
    </w:p>
    <w:p>
      <w:r>
        <w:t>II. Discussion</w:t>
        <w:br/>
        <w:t>A. THE RELEVANT MARKETS AND THE POSITIONING OF THE PARTIES</w:t>
        <w:br/>
        <w:t>1. THE SUPPLY OF FRAMES</w:t>
        <w:br/>
        <w:t>50. Frame manufacturers can offer branded or private label frames. Prices vary widely, and the market is fragmented. The Authority had noted in 2009 that "The eyewear industry is indeed very atomized, with a population of companies made up of 90% SMEs. The two eyewear departments are Jura, with Morez as the center of metal eyewear, where local companies account for 50% of national eyewear production, and Ain, with Oyonnax as the cradle of plastic eyewear, where 630 specialized establishments are present. This low degree of concentration gives a significant advantage to purchasing groups of opticians."</w:t>
        <w:br/>
        <w:t>French manufacturers face competition from Italian companies in the high-end market and Chinese companies in the low-end market.</w:t>
        <w:br/>
        <w:t>51. It is not necessary, for the purposes of this case, to define the market precisely, as the conclusions of the analysis remain unchanged.</w:t>
        <w:br/>
        <w:t>52. Carte Blanche has established a partnership with three French subcontractors to develop the 1796 brand, which is to ultimately become "Origin France Guaranteed." The 36</w:t>
      </w:r>
    </w:p>
    <w:p>
      <w:r>
        <w:rPr>
          <w:b/>
        </w:rPr>
        <w:t>[Pages 10–12]</w:t>
      </w:r>
    </w:p>
    <w:p>
      <w:r>
        <w:t>frames of the brand 1796 are sold to opticians in the Carte Blanche network through the new purchasing group of Carte Blanche, CBP, a non-profit association. By imposing the sale of the 36 frames to its 7,632 member opticians, Carte Blanche sold 274,752 frames in 2015, in a market estimated at around 13 million units. The share of volume sales of the 1796 brand frames distributed by Carte Blanche is therefore about 2% of total frame sales in France.</w:t>
      </w:r>
    </w:p>
    <w:p>
      <w:r>
        <w:t>2. THE SUPPLY OF OPHTHALMIC LENSES</w:t>
        <w:br/>
        <w:t>53. Regarding the manufacturing of lenses, it is also not necessary to make a precise determination of the market definition, as the conclusions of the analysis remain unchanged regardless of the segmentation of the ophthalmic lens sector.</w:t>
        <w:br/>
        <w:t>54. In France, across all lenses, the sector is largely dominated by the Essilor group (approximately 70% of sales), followed at a distance by Carl Zeiss (approximately 11%), and then Hoya (approximately 9%). Codir, a subsidiary of the Krys Group, which also owns the CDO, manufactures and distributes lenses under private label. Its market share was estimated in 2013 at 5.2%.</w:t>
      </w:r>
    </w:p>
    <w:p>
      <w:r>
        <w:t>3. THE DISTRIBUTION OF OPTICAL-GLASSES PRODUCTS</w:t>
        <w:br/>
        <w:t>55. The market for the distribution of optical glasses has been identified as the relevant market by the Council, and then by the Competition Authority in several decisions. Several elements indicate that competition among retailers of optical-glasses products primarily occurs at the local level.</w:t>
        <w:br/>
        <w:t>56. There are currently just over 12,000 opticians in France, which can be categorized into four main types of distribution:</w:t>
        <w:br/>
        <w:t>- Independents: 47% of points of sale for approximately 30% market share,</w:t>
        <w:br/>
        <w:t>- Cooperative groups: 30% of points of sale,</w:t>
        <w:br/>
        <w:t>- Mutualists: 6% of points of sale,</w:t>
        <w:br/>
        <w:t>- Franchise branches: 16.5% of points of sale.</w:t>
      </w:r>
    </w:p>
    <w:p>
      <w:r>
        <w:t>57. The revenue generated from the sale of optical equipment (frames plus lenses) in France amounted to 5.8 billion euros in 2014. In value, the sales of optical equipment made by the Carte Blanche network in 2014 represented 233 million euros, or about 4% of the total. In volume, sales of glasses in France reached approximately 13 million units, of which about 900,000 were sold by opticians in the Carte Blanche network, representing a sales share of 6.7%.</w:t>
      </w:r>
    </w:p>
    <w:p>
      <w:r>
        <w:t>4. THE MARKET FOR MEMBERSHIP IN CARE NETWORKS</w:t>
        <w:br/>
        <w:t>58. Currently, the six main care networks active in the optical sector are distributed as follows (the date in the table below corresponds to the effective date of the network, which is renewed during new calls for applications and corresponding partnership agreements):</w:t>
        <w:br/>
        <w:t>Network Name Type of Network Effective Date Number of Insured Market Share (in Number of Opticians</w:t>
        <w:br/>
        <w:t>number of insured)</w:t>
        <w:br/>
        <w:t>Kalivia Open 01/04/2016 10 million 15.1% 4,700</w:t>
        <w:br/>
        <w:t>Santéclair Closed 01/01/2015 8.5 million 12.8% 3,049</w:t>
        <w:br/>
        <w:t>Carte Open 01/01/2016 6.5 million 9.8% 7,632</w:t>
        <w:br/>
        <w:t>Blanche</w:t>
        <w:br/>
        <w:t>Itélis Closed 01/01/2015 6.5 million 9.8% 3,000</w:t>
        <w:br/>
        <w:t>Sévéane Open 01/01/2016 6 million 9% 2,023</w:t>
        <w:br/>
        <w:t>Optistya Open 01/01/2015 3.8 million 5.7% 6,623</w:t>
        <w:br/>
        <w:t>Total networks 41.3 million 62.3%</w:t>
        <w:br/>
        <w:t>Total networks and non-networks 66.3 million 100% 12,018</w:t>
      </w:r>
    </w:p>
    <w:p>
      <w:r>
        <w:t>a) The issue of the relevant market</w:t>
        <w:br/>
        <w:t>59. The referring parties consider that each care network constitutes a distinct market since the network manager chooses to organize a call for applications for access to its network and that membership in the network significantly conditions access to the clientele of beneficiaries of the OCAM affiliated with the network. Each network manager would therefore be in a monopoly position in the market for membership in its network.</w:t>
        <w:br/>
        <w:t>60. The referring parties justify their viewpoint for several reasons:</w:t>
        <w:br/>
        <w:t>- insured individuals are only insured with one OCAM, often imposed by the employer, and would therefore be captive;</w:t>
        <w:br/>
        <w:t>- the referencing of lenses, imposed by the network, would constitute a condition for accessing the beneficiaries of the network, with the sale of non-referenced lenses by an optician being difficult to reimburse by the OCAM;</w:t>
        <w:br/>
        <w:t>- the attendance rate of networks would be increasingly high and in some cases exceed 80%. This would be due, among other things, to the enactment of the Le Roux law, which allows for differentiated reimbursements and services depending on whether the insured visits a partner optician or not. Thus, according to a press release from the FNOF, out of 11 analyzed complementary health insurers, 82% would penalize the insured when they do not visit a partner optician.</w:t>
        <w:br/>
        <w:t>61. However, in decision no. 13-D-05 of February 26, 2013 (Kalivia), the Authority considered that the choice of an optician to join a network is primarily motivated by an expected increase in customer flow and rejected the existence of a market for membership in the Kalivia network, on which the manager would be in a dominant position, given that the "Kalivia clientele" does not present any specific distinguishing characteristics compared to other potential clients of opticians. Furthermore, the "Kalivia clientele" represented only a small share of insured individuals in France under complementary health insurance.</w:t>
        <w:br/>
        <w:t>62. The same reasoning can be applied in this case, as the referring parties do not provide sufficiently convincing evidence to establish that the operating conditions of the market have been substantially modified since the aforementioned decision no. 13-D-05.</w:t>
        <w:br/>
        <w:t>63. First, and even if care networks play an increasingly important role in the relevant markets, their weight should be put into perspective. Indeed, as indicated in the table regarding care networks in paragraph 58, nearly 48% of insured individuals do not benefit from any care network. According to an Ipsos study conducted in 2013 on behalf of the CDO, only 34% of glasses wearers are members of an OCAM offering a care network. Among them, 37% are aware of this advantage and purchased their equipment at the partner store, 34% are aware of it but refused to buy at the approved store, and 29% are unaware of it. Thus, only 14% of all glasses wearers would use optician networks. For illustrative purposes, while FL2 is a member of the six main care networks, it only generates half of its revenue with them. Even though the Le Roux law allows OCAMs to make differentiated reimbursements, the practice varies among mutuals. Regarding Carte Blanche, it does not recommend differentiated reimbursement with its OCAMs.</w:t>
        <w:br/>
        <w:t>64. Secondly, the alleged captivity of beneficiaries with respect to their OCAM should also be put into perspective. Indeed, while beneficiaries of collective contracts are reluctant to change mutuals, individual insured individuals, who represent 57% of contracts, are completely free to change their complementary health insurance at any time.</w:t>
        <w:br/>
        <w:t>65. Furthermore, this argument proves ineffective for two reasons. First, as long as opticians can join multiple care networks, they can potentially access the entire clientele. Moreover, it is not uncommon for opticians to be members of several networks.</w:t>
      </w:r>
    </w:p>
    <w:p>
      <w:r>
        <w:rPr>
          <w:b/>
        </w:rPr>
        <w:t>[Pages 13–15]</w:t>
      </w:r>
    </w:p>
    <w:p>
      <w:r>
        <w:t>opticians belong to several care networks. In this regard, and as highlighted above, FL2 is affiliated with the 6 main optical care networks. Furthermore, as established by decision No. 13-D-05, the interest of opticians is to access clientele in general and not to the clientele of a particular care network, which does not present any specific characteristics compared to the clientele of another care network. The beneficiaries of Carte Blanche do not have anything particular compared to the beneficiaries of other care networks. The offer is currently abundant for opticians wishing to join a care network since there are 6 main ones, none holding a market share greater than 15.1%.</w:t>
      </w:r>
    </w:p>
    <w:p>
      <w:r>
        <w:t>66. Thirdly, opticians are free to join or not join the Carte Blanche network without it being an essential condition for the conduct of their activity. Thus, when Carte Blanche established its network for the year 2016, nearly 3,000 opticians from the previous network decided not to apply since the number of members decreased from 10,331 to 7,632.</w:t>
      </w:r>
    </w:p>
    <w:p>
      <w:r>
        <w:t>67. Consequently, the referring parties provide no evidence to define a specific market for the Carte Blanche care network.</w:t>
      </w:r>
    </w:p>
    <w:p>
      <w:r>
        <w:t>b) The presence of Carte Blanche in the relevant market</w:t>
      </w:r>
    </w:p>
    <w:p>
      <w:r>
        <w:t>68. Contrary to what the referring parties claim, the weight of Carte Blanche in the optical sector must be analyzed by considering not the number of opticians affiliated with the network, but the number of insured individuals and the sales of optical products made by the members of the network. Indeed, the number of opticians affiliated with the network does not indicate an alleged market dominance by Carte Blanche but simply reflects the fact that it is an open network offering advantageous conditions to opticians. Thus, the weight of Carte Blanche in the relevant market is very relative since, when considering the number of insured individuals, its market share is 9.8%, and when considering the optical sales by the members of the network, its market share is approximately 4% (see § 57).</w:t>
      </w:r>
    </w:p>
    <w:p>
      <w:r>
        <w:t>69. Therefore, it cannot be considered that Carte Blanche is in a dominant position in the market for membership in care networks.</w:t>
      </w:r>
    </w:p>
    <w:p>
      <w:r>
        <w:t>70. It follows that the referring parties have provided no evidence suggesting the existence of any dominant position by Carte Blanche.</w:t>
      </w:r>
    </w:p>
    <w:p>
      <w:r>
        <w:t>B. THE QUALIFICATION OF THE CONDEMNED PRACTICES</w:t>
      </w:r>
    </w:p>
    <w:p>
      <w:r>
        <w:t>71. The referring parties believe that the premium referencing of lens manufacturers by mutual agreement as well as the establishment of the Prysme offer are discriminatory and thus constitute an abuse of dominant position by Carte Blanche or a vertical agreement between Carte Blanche and the opticians and/or lens suppliers.</w:t>
      </w:r>
    </w:p>
    <w:p>
      <w:r>
        <w:t>1. THE QUALIFICATION OF ABUSE OF DOMINANT POSITION</w:t>
      </w:r>
    </w:p>
    <w:p>
      <w:r>
        <w:t>72. As demonstrated in the paragraphs relating to the relevant markets and the positioning of the parties, Carte Blanche is not in a dominant position in any of the relevant markets. Thus, no abuse of dominant position can be retained against it.</w:t>
      </w:r>
    </w:p>
    <w:p>
      <w:r>
        <w:t>2. THE QUALIFICATION OF VERTICAL AGREEMENT</w:t>
      </w:r>
    </w:p>
    <w:p>
      <w:r>
        <w:t>73. The referring parties argue that from the moment opticians and lens suppliers entered into agreements with Carte Blanche, and that the partners of Carte Blanche accepted the conditions imposed by it, the agreements can be qualified as anti-competitive vertical agreements. However, in order to qualify an agreement as an anti-competitive agreement, it must be shown that the agreement concerns a practice with an anti-competitive object or effect.</w:t>
      </w:r>
    </w:p>
    <w:p>
      <w:r>
        <w:t>74. As a preliminary point, it should be noted that none of the referring parties are lens manufacturers (the CDO distributes lenses but does not manufacture them) and that premium referencing is reserved for manufacturers, making it difficult to see the interest of the referring parties in having the Authority consider premium referencing as anti-competitive.</w:t>
      </w:r>
    </w:p>
    <w:p>
      <w:r>
        <w:t>a) Absence of anti-competitive object</w:t>
      </w:r>
    </w:p>
    <w:p>
      <w:r>
        <w:t>75. In its opinion No. 09-A-46 on care networks and its decision No. 13-D-05 Kalivia, the Authority considered that, as long as the agreements did not contain "black clauses," the establishment of care networks was not a vertical agreement by object. Indeed, care networks act on behalf of OCAMs, which themselves "act [...] to some extent as 'clients by subrogation' of the insured," which implies that the behavior of a final customer cannot, by its very nature, restrict competition. Furthermore, the referencing of products likely to be sold in a network "is objectively justified by legitimate considerations," "motivated by the desire to offer the insured [...] quality products and services at competitive prices." These previous considerations are applicable to the present case.</w:t>
      </w:r>
    </w:p>
    <w:p>
      <w:r>
        <w:t>76. The selection procedure for lens manufacturers, whether for standard referencing or premium referencing, is carried out through an application file submitted by the supplier to Carte Blanche. This file is duly signed by the supplier and accepted or not by Carte Blanche.</w:t>
      </w:r>
    </w:p>
    <w:p>
      <w:r>
        <w:t>77. The lenses that allow for the benefit of the 10 euro increase are highly individualized high-end lenses that take into account multiple parameters. Nothing in the selection criteria suggests that they are discriminatory since they focus on technological innovation, the range of products offered, and the services provided to opticians and beneficiaries, criteria that allow for the selection of manufacturers capable of producing very high-end lenses. Moreover, several manufacturers applied for this second level of referencing, and four of them succeeded in reaching the final stage, with Carte Blanche ultimately deciding to reference two of them.</w:t>
      </w:r>
    </w:p>
    <w:p>
      <w:r>
        <w:t>78. Consequently, no provision of the submission form can be analyzed as a vertical agreement between Carte Blanche and the supplier aimed at restricting competition.</w:t>
      </w:r>
    </w:p>
    <w:p>
      <w:r>
        <w:t>79. As for the Prysme offer, it is described in Chapter 4 of the agreement signed with the opticians. No clause of the agreement concluded with the opticians can be considered as having an anti-competitive object.</w:t>
      </w:r>
    </w:p>
    <w:p>
      <w:r>
        <w:t>80. Insofar as the referring parties have provided no evidence justifying the existence of an anti-competitive object, it is necessary to examine whether they have presented evidence suggesting one or more anti-competitive effects.</w:t>
      </w:r>
    </w:p>
    <w:p>
      <w:r>
        <w:t>b) Absence of anti-competitive effects</w:t>
      </w:r>
    </w:p>
    <w:p>
      <w:r>
        <w:t>81. Regarding the effects of premium referencing, the referring parties believe that it grants a competitive advantage to the selected lens manufacturers while the selection was made in a discriminatory manner.</w:t>
      </w:r>
    </w:p>
    <w:p>
      <w:r>
        <w:t>82. However, the referring parties provide no evidence to demonstrate a possible anti-competitive effect related to the premium referencing of lens manufacturers. Indeed, only certain individualized lenses from premium suppliers are concerned by the additional 10 euro price advantage granted by premium referencing and only when these lenses are sold by an optician who is also referenced as premium. As stated by one of the non-premium referenced lens manufacturers, the expected volume from premium referencing for them would not have been significant. Carte Blanche believes that the lenses sold under this title represent only 2% of the network's sales.</w:t>
      </w:r>
    </w:p>
    <w:p>
      <w:r>
        <w:t>83. The referring parties argue that, even in the absence of a sales obligation, the mere obligation for the optician to propose a Prysme quote risks reducing the number of lens manufacturers in the market since opticians who do not have one of the three Prysme referenced manufacturers as their supplier will change their usual supplier to one of the three.</w:t>
      </w:r>
    </w:p>
    <w:p>
      <w:r>
        <w:t>84. However, this risk must be dismissed, particularly due to the very limited importance of the Prysme offer in the market, which will represent, in 2016, at best 2% market share. This is confirmed by the three partner lens manufacturers, who do not expect significant sales from the Prysme offer. Thus, for Essilor, it is "an experimental offer with, in terms of sales, a marginal impact." For Carl Zeiss, "In terms of expected volumes, the gain for us is infinitesimal. In practice:</w:t>
        <w:br/>
        <w:t>- An average optician makes about 1,000 prescriptions per year;</w:t>
        <w:br/>
        <w:t>- Carte Blanche represents 5% of the market, which means about 50 prescriptions per year;</w:t>
        <w:br/>
        <w:t>- The Prysme offer will represent a maximum of 10% of these 50 prescriptions, namely 5 sales per year or one sale every two months, to be shared among three lens manufacturers."</w:t>
      </w:r>
    </w:p>
    <w:p>
      <w:r>
        <w:t>85. In the same vein, one of the lens manufacturers that was not selected for Prysme states: "Opticians are quite independent and conservative. Lens manufacturers offer very broad ranges, and opticians must be well-versed in the catalogs. For this reason, opticians do not like to change suppliers. When they sell a Prysme offer, they...</w:t>
      </w:r>
    </w:p>
    <w:p>
      <w:r>
        <w:rPr>
          <w:b/>
        </w:rPr>
        <w:t>[Pages 16–16]</w:t>
      </w:r>
    </w:p>
    <w:p>
      <w:r>
        <w:t>will be able to occasionally contact the lens manufacturer of the offer, which only includes eight references.</w:t>
      </w:r>
    </w:p>
    <w:p>
      <w:r>
        <w:t>86. Consequently, the referring parties have not provided any evidence suggesting any anti-competitive effect of the referencing practices for both the premium offer and the Prysme offer.</w:t>
      </w:r>
    </w:p>
    <w:p>
      <w:r>
        <w:t>3. CONCLUSION</w:t>
        <w:br/>
        <w:t>87. Article L. 462-8 of the Commercial Code provides that the Authority may "reject the referral by reasoned decision when the facts invoked are not supported by sufficiently probative elements." Furthermore, Article R.464-1 of the same code states that "the request for interim measures mentioned in Article L. 464-1 may only be made as an accessory to a substantive referral to the Competition Authority."</w:t>
      </w:r>
    </w:p>
    <w:p>
      <w:r>
        <w:t>88. It follows from all of the above that the facts invoked in the context of the referral by the CDO, FL2, and Opti’bambins are not supported by sufficiently probative elements to substantiate the existence of practices that would have the object or effect of hindering the free play of competition. It is therefore appropriate to apply the provisions of Article L. 462-8 of the Commercial Code and, consequently, to reject the request for interim measures.</w:t>
      </w:r>
    </w:p>
    <w:p>
      <w:r>
        <w:t>DECISION</w:t>
        <w:br/>
        <w:t>Article 1: The substantive referral registered under number 16/0008F is rejected.</w:t>
        <w:br/>
        <w:t>Article 2: The request for interim measures registered under number 16/0009M is rejected.</w:t>
        <w:br/>
        <w:t>Deliberated on the oral report of Ms. Eliezer Garcia-Rosado, rapporteur, and the intervention of Mr. Éric Cuziat, deputy general rapporteur, by Ms. Claire Favre, vice-president, chair of the session, Ms. Séverine Larere, and Mr. Olivier d’Ormesson, members.</w:t>
        <w:br/>
        <w:t>The session secretary, The president,</w:t>
        <w:br/>
        <w:t>Caroline Chéron 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