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https://www.autoritedelaconcurrence.fr/fr/decision/relative-des-pratiques-mises-en-oeuvre-par-des-geometres-experts-dans-le-cadre-de-marches</w:t>
      </w:r>
    </w:p>
    <w:p>
      <w:r>
        <w:t>Pages translated : 12</w:t>
      </w:r>
    </w:p>
    <w:p/>
    <w:p>
      <w:r>
        <w:rPr>
          <w:b/>
        </w:rPr>
        <w:t>[Pages 1–3]</w:t>
      </w:r>
    </w:p>
    <w:p>
      <w:r>
        <w:t>FRENCH REPUBLIC</w:t>
        <w:br/>
        <w:t>Decision No. 06-D-32 of October 31, 2006</w:t>
        <w:br/>
        <w:t>regarding practices implemented by land surveyors in the context of public contracts in the department of Aveyron</w:t>
        <w:br/>
        <w:t>The Competition Council (Section I),</w:t>
        <w:br/>
        <w:t>Having regard to the letter of July 29, 2004, registered under reference 04/0059 F, by which the Minister of Economy, Finance and Industry referred to the Competition Council practices implemented by land surveyors in Aveyron in the context of calls for competition launched by the General Council of Aveyron in 2002;</w:t>
        <w:br/>
        <w:t>Having regard to Book IV of the Commercial Code relating to the freedom of prices and competition, Decree No. 86-1309 of December 29, 1986 as amended and Decree 2002-689 of April 30, 2002 setting the conditions for the application of Book IV of the Commercial Code;</w:t>
        <w:br/>
        <w:t>Having regard to the proposal for non-suit established by the rapporteur;</w:t>
        <w:br/>
        <w:t>Having regard to the observations presented by the government commissioner;</w:t>
        <w:br/>
        <w:t>Having regard to the other documents in the file;</w:t>
        <w:br/>
        <w:t>The rapporteur, the general rapporteur, and the government commissioner heard during the session of October 4, 2006;</w:t>
        <w:br/>
        <w:t>Adopts the following decision:</w:t>
      </w:r>
    </w:p>
    <w:p>
      <w:r>
        <w:t>I. Findings</w:t>
        <w:br/>
        <w:t>A. TOPOGRAPHIC SERVICE CONTRACTS</w:t>
        <w:br/>
        <w:t>1. Among the tasks assigned to the general councils by the decentralization law of March 2, 1982, are new works and maintenance works on departmental roads.</w:t>
        <w:br/>
        <w:t>2. Until 2001, the General Council of Aveyron entered into contracts by mutual agreement, negotiated directly by the sectoral agencies of the equipment directorate with local land surveyor firms. In 2002, it changed its practice and launched, in three successive waves, 13 open calls for tenders for the awarding of contracts for the implementation of topographic services and land negotiations.</w:t>
        <w:br/>
        <w:t>3. In this case, these are purchase order contracts with a duration of one year, with the possibility of annual renewal, by amendment, without the total duration exceeding three years. These contracts are divided into two homogeneous categories, according to the estimated value by the general council. Each contract covers the territory of a subdivision of the departmental equipment directorate.</w:t>
        <w:br/>
        <w:t>4. For the contracts corresponding to the equipment subdivisions of Rignac, Laguiole, Naucelle, Requista, Mur de Barrez, and Pont-de-Salars, the minimum amount retained in the budget for the study of departmental roads was €15,000 and the maximum amount was €60,000. This category of contract is hereinafter referred to by the acronym "D1".</w:t>
        <w:br/>
        <w:t>5. For the contracts corresponding to the equipment subdivisions of Millau, Espalion, Decazeville-Capdenac, Rodez, St Affrique, Villefranche de Rouergue, and Séverac Saint Geniez, the minimum amount was €25,000 and the maximum amount was €100,000. This category of contract is referred to in this document by the acronym "D2".</w:t>
        <w:br/>
        <w:t>6. The services expected from the awardees are described in the special technical specifications (CCTP) of these contracts, particularly in Articles 1 and 2-4, all identical in this regard. They concern the execution of topographic works of various kinds. Firstly, these works consist, in particular, of the production of plans and other topographic surveys, the establishment of boundary markers, the implantation of axes and points of occupation, the establishment of parcel files and cadastral sketches, and the realization of specific interventions. Secondly, they consist of land negotiations, namely the identification of owners and tenants of real estate and the direction of negotiations up to the signing of sales agreements and annexed documents.</w:t>
        <w:br/>
        <w:t>7. Each type of service provided for by the CCTP has led to the determination of a unit price. There are, for each of the contracts awarded by the General Council of Aveyron, 29 different unit prices for each of the identified services.</w:t>
        <w:br/>
        <w:t>8. The offers were ranked based on two main criteria: on the one hand, the technical value of the services analyzed based on an index calculated from the data of the memorandum and the breakdown of certain prices, and on the other hand, the average price, estimated through a price grid. In practice, the selected offers always corresponded to the lowest offers as they appeared from the provided price grid. The notice of award of the contracts was published in the BOAMP of January 25, 2003.</w:t>
      </w:r>
    </w:p>
    <w:p>
      <w:r>
        <w:t>B. RESULTS OF THE CALLS FOR TENDERS</w:t>
        <w:br/>
        <w:t>9. The 13 calls for tenders from the General Council generated proposals from 13 land surveyor firms, 12 of which are established in Aveyron.</w:t>
        <w:br/>
        <w:t>10. For the clarity of the tables in this document and conventionally, a letter identifies each of the land surveyor firms and a number identifies each of the geographical sectors to which a contract is attached. The contracts are designated by the following numbers:</w:t>
        <w:br/>
        <w:t>Number Sector Name and Contract Category Number Sector Name and Contract Category</w:t>
        <w:br/>
        <w:t>1 Rignac (D1) 7 Millau (D2)</w:t>
        <w:br/>
        <w:t>2 Laguiole (D1) 8 Espalion (D2)</w:t>
        <w:br/>
        <w:t>3 Naucelle (D1) 9 Decazeville-Capdenac (D2)</w:t>
        <w:br/>
        <w:t>4 Requista (D1) 10 Rodez (D2)</w:t>
        <w:br/>
        <w:t>5 Mur de Barrez (D1) 11 St Affrique (D2)</w:t>
        <w:br/>
        <w:t>6 Pont de Salars (D1) 12 Villefranche de Rouergue (D2)</w:t>
        <w:br/>
        <w:t>13 Severac St Geniez (D2)</w:t>
        <w:br/>
        <w:t>11. The firms that submitted offers vary in size. Their main characteristics are summarized in the following table:</w:t>
        <w:br/>
        <w:t>CA HT 2002 in Number Firm Location of the firms</w:t>
        <w:br/>
        <w:t>Letter Name (Firm) hundreds of employees main and secondary Sector</w:t>
        <w:br/>
        <w:t>thousands of euros</w:t>
        <w:br/>
        <w:t>A La Sari Getude (formerly 1,023 23 Capdenac 9</w:t>
        <w:br/>
        <w:t>Couderc-Landes)</w:t>
        <w:br/>
        <w:t>B Andrieu 274 5.5 Espalion 8</w:t>
        <w:br/>
        <w:t>C Gravellier-Fourcadier 2,251 (in 2001) 5 Millau 7</w:t>
        <w:br/>
        <w:t>D Roques 228 2 St Affrique 11</w:t>
        <w:br/>
        <w:t>E Labroue 401 6 Rodez 10</w:t>
        <w:br/>
        <w:t>F Bois 469 (in 2001) 9 Rodez 10</w:t>
        <w:br/>
        <w:t>G Gombert 448 8 Onet le Château 10</w:t>
        <w:br/>
        <w:t>H Taillefer 046 0 Pont de Salars 6</w:t>
        <w:br/>
        <w:t>I Abadie 224 2.5 Millau 7</w:t>
        <w:br/>
        <w:t>J Lefebvre-Broussous- 600 14 Villefranche and Decazeville 9 and 12</w:t>
        <w:br/>
        <w:t>Poujade</w:t>
        <w:br/>
        <w:t>K Seguin-Pouget 904 11 Rodez 10</w:t>
        <w:br/>
        <w:t>L Couet 1,000 20 Mende (48) and Rodez 10</w:t>
        <w:br/>
        <w:t>M Mérigaud-Letrange- 2,285 27 Malemort (19) Outside</w:t>
        <w:br/>
        <w:t>Hoffman Aveyron</w:t>
      </w:r>
    </w:p>
    <w:p>
      <w:r>
        <w:rPr>
          <w:b/>
        </w:rPr>
        <w:t>[Pages 4–6]</w:t>
      </w:r>
    </w:p>
    <w:p>
      <w:r>
        <w:t>12. Of the 13 firms involved in the investigation, two firms (C and M) had a turnover excluding tax exceeding €2 million in 2001 or 2002, two firms (A and L) had a turnover between €1 million and €2 million, and the other nine firms had a turnover of less than €1 million.</w:t>
        <w:br/>
        <w:t>13. Even though the proportions vary among the firms, their activity comes from three different sectors: municipalities, the private sector, and the department. The Andrieu firm stated during its hearing on June 17, 2003: "Our activity can broadly be divided into 40% municipalities (excluding public tenders), 40% private, and 20% clients such as the general council" (cotes 425-431). In its hearing on June 18, 2003, the Gravellier firm indicated that "topographic services represent about 30% of our turnover" (cotes 715-721).</w:t>
        <w:br/>
        <w:t>14. The following table presents the results of the various calls for tenders from a qualitative perspective. For the most part, these firms did not compete in all the calls for tenders and submitted offers individually or in groups (designated by the letters identifying the grouped firms).</w:t>
        <w:br/>
        <w:t>Table of Category D1 Contracts Category D2 Contracts</w:t>
        <w:br/>
        <w:t>offers</w:t>
        <w:br/>
        <w:t>1 2 3 4 5 6 7 8 9 10 11 12 13</w:t>
        <w:br/>
        <w:t>A AJ AJ A AJ ABG AJ AEG AJ AJ</w:t>
        <w:br/>
        <w:t>B BEF BEF ABG</w:t>
        <w:br/>
        <w:t>C CI C C C CI CI C C C CL</w:t>
        <w:br/>
        <w:t>D DFI D</w:t>
        <w:br/>
        <w:t>E E BEF BEF EFH E AEG</w:t>
        <w:br/>
        <w:t>F F BEF F DFI BEF EFH F F F F F F</w:t>
        <w:br/>
        <w:t>G G G GJ G ABG G AEG G</w:t>
        <w:br/>
        <w:t>H EFH</w:t>
        <w:br/>
        <w:t>I CI DFI CI CI</w:t>
        <w:br/>
        <w:t>J AJ AJ GJ AJ AJ AJ AJ</w:t>
        <w:br/>
        <w:t>K K K K K K K K K K K K K K</w:t>
        <w:br/>
        <w:t>L L L CL</w:t>
        <w:br/>
        <w:t>M = Application submitted by the sole firm M (without grouping); XYZ = Application from the group composed of firms X, Y, and Z; Gray box = Holder of the lot.</w:t>
        <w:br/>
        <w:t>tenibaC</w:t>
        <w:br/>
        <w:t>M M M M M M M M M M M M M M</w:t>
        <w:br/>
        <w:t>Distinct offers 7 6 6 3 3 4 7 7 6 4 7 4 4</w:t>
        <w:br/>
        <w:t>15. This table shows the success of the 9 groups, as each wins at least one contract and only contract number 11 eludes them:</w:t>
        <w:br/>
        <w:t>Total number of offers submitted: 68 100%</w:t>
        <w:br/>
        <w:t>Number of offers submitted in a group: 17 25%</w:t>
        <w:br/>
        <w:t>Number of offers submitted by a single candidate: 51 75%</w:t>
        <w:br/>
        <w:t>Total number of contracts put out to tender: 13 100%</w:t>
        <w:br/>
        <w:t>Number of contracts obtained in a group: 12 92%</w:t>
        <w:br/>
        <w:t>Number of contracts obtained by a single candidate: 1 8%</w:t>
        <w:br/>
        <w:t>16. When referring to a map, it appears that at least one of the awardees of contracts 6 to 12 is established in the geographical area concerned by the contract and that in other cases, at least one of the awardees of the contract is established in the immediate vicinity of the area.</w:t>
        <w:br/>
        <w:t>17. The diversity of the groups formed, in terms of the number of employees, is evident. It appears that contracts 1, 8, 9, 10, and 12 were obtained by groups each comprising more than 35 employees, whereas lots 7 and 11 were awarded to a group and a single firm, in any case comprising fewer than 8 employees. It thus appears that a single firm (D) obtained one of the largest lots and that the smallest group (CI) was formed with a view to obtaining a lot among the most significant (7). Conversely, one of the largest groups (AJ) was formed for the submission of an offer concerning one of the least significant lots (1).</w:t>
        <w:br/>
        <w:t>18. The offers submitted for each contract were as follows (in euros):</w:t>
        <w:br/>
        <w:t>Table of Category D1 Contracts</w:t>
        <w:br/>
        <w:t>of offers</w:t>
        <w:br/>
        <w:t>1 2 3 4 5 6</w:t>
        <w:br/>
        <w:t>A 31,393 37,038 37,038</w:t>
        <w:br/>
        <w:t>B 30,431 30,171</w:t>
        <w:br/>
        <w:t>C 43,358 43,358 43,358 51,856</w:t>
        <w:br/>
        <w:t>D 30,171</w:t>
        <w:br/>
        <w:t>E 42,855 30,431 30,171 30,157</w:t>
        <w:br/>
        <w:t>F 44,293 30,431 44,293 30,171 30,171 30,157</w:t>
        <w:br/>
        <w:t>G Ref. 50,020 29,941</w:t>
        <w:br/>
        <w:t>incomplete</w:t>
        <w:br/>
        <w:t>H 30,157</w:t>
        <w:br/>
        <w:t>I 43,358 30,171</w:t>
        <w:br/>
        <w:t>J 31,393 37,038 29,941</w:t>
        <w:br/>
        <w:t>K 44,074 44,074 44,074 37,993 44,074 44,074</w:t>
        <w:br/>
        <w:t>L</w:t>
        <w:br/>
        <w:t>tenibaC</w:t>
        <w:br/>
        <w:t>M 32,900 32,900 32,900 32,900 32,900 32,900</w:t>
        <w:br/>
        <w:t>19. When identical offers were submitted, they were made in the context of different calls for tenders by groups always having a common member.</w:t>
        <w:br/>
        <w:t>20. The best offers are very close to each other, by category of contracts, and are always approximately 50% lower than the estimates of the project owner. Furthermore, in most cases, the firms only made truly competitive offers for the contracts they obtained. The following table indicates to what extent the offers from competitors exceed that of the awardee of the lot (marked 0):</w:t>
        <w:br/>
        <w:t>Lot of category D1 Lot of category D2</w:t>
        <w:br/>
        <w:t>1 2 3 4 5 6 7 8 9 10 11 12 13</w:t>
        <w:br/>
        <w:t>A 0 21.7 23.7 9.7 0 0 0 38.4 0</w:t>
        <w:br/>
        <w:t>B 0 0 0</w:t>
        <w:br/>
        <w:t>C 38.1 42.5 44.8 72 0 40.7 48.4 48.4 33.8 0</w:t>
        <w:br/>
        <w:t>D 0 0</w:t>
        <w:br/>
        <w:t>E 36.5 0 0 0 38.5 0</w:t>
        <w:br/>
        <w:t>F 41 0 47.9 0 0 0 33.3 42.9 50.8 50.8 45.3 36</w:t>
        <w:br/>
        <w:t>G - 64.4 0 - 0 62.8 0 53.8</w:t>
        <w:br/>
        <w:t>H 0</w:t>
        <w:br/>
        <w:t>I 38.1 0 0 40.7</w:t>
        <w:br/>
        <w:t>J 0 21.7 0 9.7 0 38.4 0</w:t>
        <w:br/>
        <w:t>K 40.4 44.8 47.2 25.9 46 46 32.8 42.4 29.7 29.7 35.5 29.7 25</w:t>
        <w:br/>
        <w:t>L 0.6 20.4 0</w:t>
        <w:br/>
        <w:t>Light gray: offer exceeding the best offer for each lot considered by less than 15%;</w:t>
        <w:br/>
        <w:t>Medium gray: offer exceeding the best offer for each lot considered by 15 to 30%;</w:t>
        <w:br/>
        <w:t xml:space="preserve">Dark gray: offer exceeding the best offer for each lot considered by more than 30%. </w:t>
        <w:br/>
        <w:t>tenibaC</w:t>
        <w:br/>
        <w:t>M 4.8 8.1 9.9 9 9 9 0.5 7.7 13.6 13.6 2.5 13.6 9.5</w:t>
      </w:r>
    </w:p>
    <w:p>
      <w:r>
        <w:rPr>
          <w:b/>
        </w:rPr>
        <w:t>[Pages 7–9]</w:t>
      </w:r>
    </w:p>
    <w:p>
      <w:r>
        <w:t>21. For example, for the awarding of lot no. 1 (Rignac), Firms C (Gravelier-Fourcadier) and I (Abadie) submitted (as a group) an offer that was 38% higher than that of Firms A (La Sari Getude, formerly Couderc-Landes) and J (Lefebvre-Broussous-Poujade), whereas the same Firm I was very competitive for the awarding of contract no. 4 (Requista), which is in the same category as that of Rignac.</w:t>
      </w:r>
    </w:p>
    <w:p>
      <w:r>
        <w:t>22. It is noted that the two land surveyor firms that did not obtain any lots, namely Firms K (Séguin-Pouget) and M (Mérigaud), did not submit offers as a group. Firm Séguin adjusted its offers without ever being sufficiently competitive, while Firm Mérigaud made identical offers to each other and very close to the best offers retained, but never succeeded in submitting the best offer itself.</w:t>
      </w:r>
    </w:p>
    <w:p>
      <w:r>
        <w:t>23. The competitive pressure among most of the land surveyor firms in Aveyron is, however, low. One way to account for the reality of competitive pressure is to observe how much the second offer (the one closest to the winner) and the last one (the one furthest from it) differ from the winning offer: the offers taken into consideration are all the distinct offers submitted for each contract, except for those from Firm M, which stands out for its pro-competitive behavior.</w:t>
      </w:r>
    </w:p>
    <w:p>
      <w:r>
        <w:t>24. The results are given in absolute and relative values. It is observed that, with the exception of contract no. 7 (Millau), the theoretically competitive offers, even the closest one, are all significantly more expensive than the winning offer.</w:t>
      </w:r>
    </w:p>
    <w:p>
      <w:r>
        <w:t>Lot Number of Offers Second Best Less Good Offer</w:t>
        <w:br/>
        <w:t>Competitive Offer</w:t>
        <w:br/>
        <w:t>1 - Rignac 4 42,855 / 36.5% 44,293 / 41%</w:t>
        <w:br/>
        <w:t>2 - Laguiole 3 37,038 / 21.7% 50,020 / 64.4%</w:t>
        <w:br/>
        <w:t>3 - Naucelle 3 37,038 / 23.7% 44,293 / 47.9%</w:t>
        <w:br/>
        <w:t>4 - Requista 1 37,993 / 25.9%</w:t>
        <w:br/>
        <w:t>5 - Mur de Barrez 1 44,075 / 46.1%</w:t>
        <w:br/>
        <w:t>6 - Pont de Salars 1 51,856 / 71.9%</w:t>
        <w:br/>
        <w:t>7 - Millau 4 54,041 / 0.6% 71,624 / 33.3%</w:t>
        <w:br/>
        <w:t>8 - Espalion 4 60,320 / 20.4% 71,624 / 42.9%</w:t>
        <w:br/>
        <w:t>9 - Decazeville 3 70,481 / 48.4% 77,344 / 62.8%</w:t>
        <w:br/>
        <w:t>10 - Rodez 1 70,481 / 48.4%</w:t>
        <w:br/>
        <w:t>11 - St Affrique 4 70,481 / 48 / 33.8% 80,999 / 50.8%</w:t>
        <w:br/>
        <w:t>12 - Villefranche 1 71,624 / 45.3%</w:t>
        <w:br/>
        <w:t>13 - Séverac 1 71,624 / 36%</w:t>
      </w:r>
    </w:p>
    <w:p>
      <w:r>
        <w:t>C. STATEMENTS FROM THE HEADS OF FIRMS</w:t>
        <w:br/>
        <w:t>25. The heads of the firms, heard by the investigation services of the DGCCRF, provided several justifications for the groups that were formed, related to the interest of working close to their place of establishment. The representative of Firm Gombert stated during her hearing on June 17, 2003: "I chose my co-contractors partly because of the proximity of the market location and partly because the firm has different technical equipment, GPS for example. It is important to be well-acquainted with the locations to respond to this type of market (…)" (Cotes 296-301).</w:t>
      </w:r>
    </w:p>
    <w:p>
      <w:r>
        <w:t>26. Similarly, the representative of Firm Andrieu stated during her hearing on June 17, 2003: "(…) In fact, I was not interested in other markets (…) insofar as I prioritize proximity and knowledge of the field; moving away from one's base amounts to doing, if not another job, at least a different way of practicing it. (…) As I told you, I had worked in these sectors, which is an advantage derived from knowledge of the field and the human fabric. Furthermore, we can carry out work in the same area for both the public and private sectors. (…) In fact, I must admit that our activity is not exercised, far from it, predominantly on public tenders (the General Council market is the only one we responded to in 2002). The discriminating criterion for these operations is price, whereas, for me, the quality of the service and the technicality are what matter, and other clients are more sensitive to that. (…) I do not wish to base my activity on public contracts because I do not find them very rewarding. (…) In other words, public contracts can only be an accessory to the main focus, which remains private, and a means to stay present in the sector where we have our private clientele" (Cotes 425-431).</w:t>
      </w:r>
    </w:p>
    <w:p>
      <w:r>
        <w:t>27. The representative of Firm Taillefer specified during his hearing on July 9, 2003: "I believe that the proximity of the firm's location to the place of execution of the services provides an advantage, particularly in terms of land negotiations, thanks to the contacts established with the population" (Cotes 385-389). The representative of Firm Gravellier said during his hearing on June 18, 2003: "Our strategy is to make group offers on the lots that interest us the most, individual offers on the lots of lesser interest due to their distance from Millau, and not to respond to lots that are too far out" (Cotes 715-721). Finally, the representative of Firm Broussous clarified during his hearing on June 18, 2003: "We have our offices, main headquarters and secondary offices, respectively in Villefranche and Decazeville. That is why we are agents for these two contracts. We work with Couderc-Landes due to the proximity of our structures allowing for a quick and effective response to the demand. In our profession, it can be considered that for large operations we are obliged to group together to meet demand within short deadlines and to protect ourselves from competition from firms in other departments" (Cotes 181-185).</w:t>
      </w:r>
    </w:p>
    <w:p>
      <w:r>
        <w:t>28. Several of the land surveyors heard indicated that the pooling of resources allowed the firms in the group to respond appropriately to the presumed importance of the work to be carried out in light of the constraints they face, which are linked to the short deadlines assigned for the execution of public orders as well as to the resources that can be allocated to the contracts given the firms' activities. Thus, the representative of Firm Gombert stated: "When we operate as a group, it is due to the response time for the work requested under the purchase order contracts and the presumed importance of the work to be carried out quickly (…). For Naucelle, (…) we know that there will be project realizations because it is a rich area. Decazeville, on the other hand, has had reduced economic activity since the 1960s. The expected realizations are low. That is why we responded alone (…). For the three contracts (…) where we operate as a group, we previously worked in the areas concerned. In my opinion, these contracts can hardly be carried out by a single firm (deadline and distance constraints)" (Cotes 296-301).</w:t>
      </w:r>
    </w:p>
    <w:p>
      <w:r>
        <w:t>29. The representative of Firm Broussous expresses the same opinion: "In our profession, it can be considered that for large operations we are obliged to group together to meet demand within short deadlines and to protect ourselves from competition from firms in other departments. (…) Previously, we operated in the same areas but with a different form of contract that was better suited to the structures of our companies (operations of lesser importance not requiring groups, less appeal for external participants, better profitability (…). Each firm [continues] to operate individually, the motivation for the group resulting from a need for responsiveness to demand (…)" (Cotes 181-185); as does Firm Séguin: "In the General Council's calls for tenders, the formation of temporary groups seemed justified given the volume of services and their place of execution (…)" (Cotes 771-781); Firm Labroue: "The volume of services to be carried out on the different geographical lots was significant in light of the resources that could be allocated to these contracts given my firm's usual activity, namely land development. Consequently, it seemed normal to me to respond as a group to the calls for tenders" (Cotes 394-399); Firm Bois: "No distribution of the services to be carried out was made among the members of the group. We intervene based on the administration's demand and our respective workload" (Cotes 590-596); and Firm Andrieu: "The advantage of the group is the pooling of technical or human resources that allow us to meet the deadlines assigned to us" (Cotes 425-431).</w:t>
      </w:r>
    </w:p>
    <w:p>
      <w:r>
        <w:t>D. PROPOSAL FOR DISMISSAL</w:t>
        <w:br/>
        <w:t>30. The rapporteur considered that it was not possible, in light of the elements of the file, to gather a set of indices that were sufficiently serious, precise, and consistent to retain the qualification of collusion. Based on this finding, a report proposing a dismissal of the procedure was submitted to the Minister of Economy and Finance on July 29, 2005.</w:t>
      </w:r>
    </w:p>
    <w:p>
      <w:r>
        <w:t>II. Discussion</w:t>
        <w:br/>
        <w:t>31. Article L. 464-6 of the Commercial Code states that: "when no practice likely to harm competition in the market is established, the Competition Council may decide, after the author of the referral and the government commissioner have been given the opportunity to consult the file and make their observations, that there is no need to pursue the procedure."</w:t>
      </w:r>
    </w:p>
    <w:p>
      <w:r>
        <w:t>On the use of groups</w:t>
        <w:br/>
        <w:t>32. In its consistent case law, the Competition Council indicates that "the formation, by independent and competing companies, of a group in order to respond to a call for tenders is not, in itself, illegal" (decisions of the Competition Council no. 04-D-57 of 16-11-2004; 01-D-16 of 24-04-2001; 03-D-19 of 15-04-2003; 04-D-20 of 14-06-2004; no. 95-D-83 of 12-12-1995).</w:t>
      </w:r>
    </w:p>
    <w:p>
      <w:r>
        <w:t>33. It also considers that "such groups can have a pro-competitive effect if they allow companies, thus grouped, to compete when they would not have been able to do so individually or to compete on the basis of a more competitive offer. They can, on the other hand, have an anti-competitive effect if they cause an artificial reduction in the number of candidate companies, concealing a collusive agreement or market sharing. If the absence of technical and economic necessities justifying these groups can suggest their anti-competitive nature, it is not sufficient to provide proof of such a nature" (decisions no. 04-D-57 of 16-11-2004; 01-D-16 of 24-04-2001; 03-D-19 of 15-04-2003).</w:t>
      </w:r>
    </w:p>
    <w:p>
      <w:r>
        <w:rPr>
          <w:b/>
        </w:rPr>
        <w:t>[Pages 10–12]</w:t>
      </w:r>
    </w:p>
    <w:p>
      <w:r>
        <w:t>34. The law and case law therefore admit that a grouping of companies may respond to a call for tenders provided that this association of companies is justified by economic reasons and by the specificity of the markets in question, and that it does not have the object or effect of restricting competition, or even drying it up, thereby emptying the very procedure of the call for tenders of its substance.</w:t>
      </w:r>
    </w:p>
    <w:p>
      <w:r>
        <w:t>35. The Court of Appeal of Paris thus recalled, in a judgment of February 18, 2003 (Syndicat intercommunal de l’eau de Dunkerque), that the grouping formula could have several justifications for a company that resorts to it: helping it acquire a missing competence, ensuring better chances of success, distributing the workload to gain flexibility, putting it in a position to carry out works that it would have found difficult to accomplish alone given their importance. The relevance of these technical justifications is assessed on a case-by-case basis, evaluating their effect on the intensity of the residual competition once the grouping is formed.</w:t>
      </w:r>
    </w:p>
    <w:p>
      <w:r>
        <w:t>36. The Council has also had the opportunity to specify the technical justifications deemed acceptable in light of the preservation of competition. Thus, in decision no. 05-D-24 of May 31, 2005, it noted that: "The technical complementarity between the members of a grouping can equally cover the addition of different specialties, exclusive technical processes, supply facilities for materials, as well as the simple availability of equipment or personnel. The presumed or proven existence of material and human resources within a company does not allow for a presumption of rapid mobilization capabilities, even simultaneous, over a geographical territory as extensive as a department within the framework of a technical work realization process offering little flexibility. A partnership submission allows for increased maneuverability in terms of mobilizable resources."</w:t>
      </w:r>
    </w:p>
    <w:p>
      <w:r>
        <w:t>37. In this case, the technical factors put forward to justify the groupings are the efficiency gains related to the pooling of human and material resources, the only solution to offer better overall availability to the requests of the project owner, which is essential in the case of purchase order contracts.</w:t>
      </w:r>
    </w:p>
    <w:p>
      <w:r>
        <w:t>38. In this regard, the specificity of purchase order contracts has been recognized by the Council as justifying groupings, for example, for public contracts for road surfacing works in the Pyrénées Orientales department: "(…) the specific characteristics of purchase order contracts make it difficult to establish work forecasts and may require the mobilization of significant resources over a short period" (Decision no. 04-D-57 of November 16, 2004).</w:t>
      </w:r>
    </w:p>
    <w:p>
      <w:r>
        <w:t>39. Regarding the choice of partners in the groupings, the companies concerned have shown, in their statements, that they prioritize obtaining contracts located near their establishment, justifying this preference by the resulting productivity gains: reduced travel times, better knowledge of the terrain, better knowledge of the clientele for land negotiations, the interest in executing local contracts due to the positive impacts for obtaining other contracts located in the same geographical area with other project owners.</w:t>
      </w:r>
    </w:p>
    <w:p>
      <w:r>
        <w:t>40. This position explains that, although the groupings of land surveyor firms in question are of varied composition, it is noted that they have essentially formed based on geographical and historical affinities and that they constitute, in fact, groupings by area. However, this situation has not, by itself, dried up competition since the additional cost related to a relative distance within the department has not constituted a significant barrier for a more distant competitor, as evidenced by the fact that competitive offers from a firm located in a neighboring department were received for all contracts.</w:t>
      </w:r>
    </w:p>
    <w:p>
      <w:r>
        <w:t>41. The fact that firms participated simultaneously in several groupings of different compositions has, however, significantly increased the risk that the price levels practiced by each firm were known to the others. Indeed, if a firm X groups with a firm Y for one lot, and Y with a firm Z for another, the exchange of price information between X and Y on the one hand and between Y and Z on the other runs the risk that X and Z are, in fact, aware of their reciprocal prices, especially in the case of constructed proposals, as in this case, based on a limited number of unit price schedules. However, with the exception of firms K and M, which did not participate in any grouping (and obtained no lots), all the others have, through the groupings, been indirectly put in contact with each other. But there are not sufficient elements in the file to provide proof that this transmission of prices actually occurred and to consider that it would have, in fact, allowed for a general concertation among all the firms to define their offers. In the absence of other indices available in the file, this multiplicity of groupings does not appear illicit in this case, although it is observed that this type of generalized association cannot, in principle, be considered a favorable solution for the exercise of effective competition.</w:t>
      </w:r>
    </w:p>
    <w:p>
      <w:r>
        <w:t>42. It follows from the above that the fact that most of the firms established in Aveyron formed chain groupings in the context of their submissions to the various calls for tenders from the General Council cannot, in this case, be qualified as anti-competitive collusion.</w:t>
      </w:r>
    </w:p>
    <w:p>
      <w:r>
        <w:t>On the result of the calls for tenders</w:t>
      </w:r>
    </w:p>
    <w:p>
      <w:r>
        <w:t>43. The contracts in question were awarded for the first time in a competitive bidding process for the realization of topographic services in Aveyron. This new procedure led to a decrease in prices and a certain convergence of the best offers: the latter are very close to each other within the same category of contracts and are approximately 50% lower than the estimates of the project owner.</w:t>
      </w:r>
    </w:p>
    <w:p>
      <w:r>
        <w:t>44. However, this decrease in prices, observed both in relation to the prices of previously negotiated contracts and the evaluations of the general council, does not provide a reliable indication of the level of competition. Indeed, it is not possible, in the absence of a historical price series, to make a relevant diagnosis on the intensity of the competition that this price decrease would reveal. At most, one can observe that prices were at a relatively high level before the establishment of a formal competition among the firms. As noted in the investigation report, "the launch of these new contracts, after competition, has in fact allowed for the establishment of a 'truth' of the market prices for land surveyor services in the Aveyron department, disregarding estimates based on direct orders or negotiated contracts."</w:t>
      </w:r>
    </w:p>
    <w:p>
      <w:r>
        <w:t>45. Furthermore, the decrease in prices can also be explained by the need to resist the potential arrival of firms from outside Aveyron. Faced with this competition, now opened up by the new procedure as evidenced by the offers from firm M (Mérigaud), local firms had no choice but to make a pricing effort to retain the awarding of contracts deemed important. However, it is observed that firms only made truly competitive offers for the contracts they obtained and that these successes were achieved in grouping, against the individual offer of M, with a very small gap.</w:t>
      </w:r>
    </w:p>
    <w:p>
      <w:r>
        <w:t>46. Overall, the result of these calls for tenders (except for contract 7) reveals a very particular situation: the groupings only focused their competitive effort on the lot with which they were geographically close, as evidenced by the much higher price level they systematically offered on their other lots; they won the lot they had chosen; the competitor (M), from outside the department, made offers for all the lots that are extremely close to the winning offer but did not win any lot; all lots were awarded at a price approximately half lower than in previous contracts. Despite their particularity, these facts are not sufficient to establish formal proof of collusion.</w:t>
      </w:r>
    </w:p>
    <w:p>
      <w:r>
        <w:t>47. The Competition Council notes that the general council accepted the formation of all the groupings that proposed themselves, without examining their relevance, and expressed overall satisfaction with the results of the consultations: "We chose to allot these services in accordance with the provisions of the public procurement code (Article 10). Allotment provides an economic advantage (access for small businesses) and technical advantage (the intervention deadlines are generally short and there is an interest in having a single point of contact for all services). The financial advantage was confirmed by the results of the calls for tenders" (minutes of the hearing of October 3, 2002, by the deputy technical director of the roads department of the general council of Aveyron, cotes 131-134).</w:t>
      </w:r>
    </w:p>
    <w:p>
      <w:r>
        <w:t>48. This position explains the initial choice of allotment but does not address the question of the justification for the groupings. In this regard, the Council recalls that it is the responsibility of the contracting authorities to ensure that grouped offers do not empty the competitive bidding procedures of their substance and that they have, for this purpose, the possibility of setting objective and non-discriminatory conditions for the acceptance of grouped submissions.</w:t>
      </w:r>
    </w:p>
    <w:p>
      <w:r>
        <w:t>49. This responsibility is merely the counterpart of the burden that rests on the project owner not to follow up on a call for tenders for which they would have serious indications of practices that had the effect of distorting competition, as recognized by the administrative judge (TA of Bastia, February 6, 2003, AJDA April 14, 2003, pp. 738-743, decision of the Competition Council no. 04-D-30 of July 7, 2004, School Transport in Corsica; TA Rouen, April 28, 2000, AJDA, October 20, 2000, p. 842, decision no. 05-D-69 of December 15, 2005, Road Works in Seine-Maritime).</w:t>
      </w:r>
    </w:p>
    <w:p>
      <w:r>
        <w:t>50. In light of all the elements of the file, it is not sufficiently established that the multiple groupings had the object or effect of distorting competition for the awarding of the various public contracts examined.</w:t>
      </w:r>
    </w:p>
    <w:p>
      <w:r>
        <w:t>51. It follows from the above that the provisions of L. 464-6 of the Commercial Code should be applied.</w:t>
      </w:r>
    </w:p>
    <w:p>
      <w:r>
        <w:t>DECISION</w:t>
      </w:r>
    </w:p>
    <w:p>
      <w:r>
        <w:t>Sole Article: There is no need to continue the procedure.</w:t>
      </w:r>
    </w:p>
    <w:p>
      <w:r>
        <w:t>Deliberated on the oral report of Mr. Barbier, by Mr. Nasse, vice-president presiding over the session, Mrs. Mader-Saussaye, Messrs. Piot, Combe, and Honorat, members.</w:t>
      </w:r>
    </w:p>
    <w:p>
      <w:r>
        <w:t>The session secretary, The vice-president,</w:t>
      </w:r>
    </w:p>
    <w:p>
      <w:r>
        <w:t>Catherine Duparcq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