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https://www.autoritedelaconcurrence.fr/fr/decision/relative-des-pratiques-mises-en-oeuvre-par-la-banque-populaire-de-la-region-economique-de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03-D-64 of December 19, 2003  </w:t>
        <w:br/>
        <w:t xml:space="preserve">regarding practices implemented by the Banque Populaire  </w:t>
        <w:br/>
        <w:t xml:space="preserve">of the Strasbourg economic region  </w:t>
        <w:br/>
        <w:t xml:space="preserve">The Competition Council (permanent commission),  </w:t>
        <w:br/>
        <w:t xml:space="preserve">Having regard to the letter registered on January 10, 2003, under number 03/0070 F, by which Maître Dominique X... referred to the Competition Council practices implemented by the Banque Populaire of the Strasbourg economic region;  </w:t>
        <w:br/>
        <w:t xml:space="preserve">Having regard to Book IV of the Commercial Code relating to the freedom of prices and competition and Decree No. 2002-689 of April 30, 2002, setting its conditions of application;  </w:t>
        <w:br/>
        <w:t xml:space="preserve">Having regard to the other documents in the file;  </w:t>
        <w:br/>
        <w:t xml:space="preserve">The rapporteur, the general rapporteur, the Government commissioner heard during the session of December 3, 2003, Maître Dominique X... having been regularly summoned;  </w:t>
        <w:br/>
        <w:t xml:space="preserve">1. Pursuant to the second paragraph of Article L. 462-8 of Book IV of the Commercial Code, the Competition Council may: "reject the referral by reasoned decision when it considers that the facts invoked are not supported by sufficiently probative elements."  </w:t>
        <w:br/>
        <w:t xml:space="preserve">2. Maître Dominique X... denounces the practice by which the Banque Populaire of the Strasbourg economic region allegedly refused to release the funds from a loan he had contracted, placed him in a situation of banking prohibition, and refused to provide him with means of payment while charging him account maintenance fees.  </w:t>
        <w:br/>
        <w:t xml:space="preserve">3. However, while the applicant claims that this practice constitutes an abuse of a dominant position, he provides no elements in his referral to support this allegation, either regarding the existence of a dominant position of the bank in question or regarding any potential abuse.  </w:t>
        <w:br/>
        <w:t xml:space="preserve">4. It is therefore appropriate to apply the provisions of Article L. 462-8 of Book IV of the Commercial Code.  </w:t>
        <w:br/>
        <w:t xml:space="preserve">DECISION  </w:t>
        <w:br/>
        <w:t xml:space="preserve">Sole Article: - The referral registered under number 03/0070 F is rejected.  </w:t>
        <w:br/>
        <w:t xml:space="preserve">Deliberated, on the oral report of Mr. Fontaine, by Ms. Hagelsteen, president, Messrs. Jenny and Nasse, vice-presidents.  </w:t>
        <w:br/>
        <w:t xml:space="preserve">The session secretary, The president,  </w:t>
        <w:br/>
        <w:t xml:space="preserve">Christine Charron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