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https://www.autoritedelaconcurrence.fr/fr/decision/relative-des-pratiques-mises-en-oeuvre-par-la-confederation-nationale-du-credit-mutuel</w:t>
      </w:r>
    </w:p>
    <w:p>
      <w:r>
        <w:t>Pages translated : 30</w:t>
      </w:r>
    </w:p>
    <w:p/>
    <w:p>
      <w:r>
        <w:rPr>
          <w:b/>
        </w:rPr>
        <w:t>[Pages 1–3]</w:t>
      </w:r>
    </w:p>
    <w:p>
      <w:r>
        <w:t xml:space="preserve">FRENCH REPUBLIC  </w:t>
        <w:br/>
        <w:t xml:space="preserve">Decision No. 16-D-30 of December 21, 2016  </w:t>
        <w:br/>
        <w:t xml:space="preserve">regarding practices of the Confédération Nationale  </w:t>
        <w:br/>
        <w:t xml:space="preserve">du Crédit Mutuel in the banking sector  </w:t>
        <w:br/>
        <w:t xml:space="preserve">The Autorité de la concurrence (Permanent Commission),  </w:t>
        <w:br/>
        <w:t xml:space="preserve">Having regard to the letter registered on October 6, 2014, under number 14/0077 F, by which Crédit Mutuel Arkéa referred to the Autorité de la concurrence practices implemented by the Confédération Nationale du Crédit Mutuel in the banking sector;  </w:t>
        <w:br/>
        <w:t xml:space="preserve">Having regard to Articles 101 and 102 of the Treaty on the Functioning of the European Union;  </w:t>
        <w:br/>
        <w:t xml:space="preserve">Having regard to Book IV of the amended Commercial Code;  </w:t>
        <w:br/>
        <w:t xml:space="preserve">Having regard to the response of September 23, 2016, from the Prudential Control and Resolution Authority to the request for an opinion from the General Rapporteur dated July 18, 2016;  </w:t>
        <w:br/>
        <w:t xml:space="preserve">Having regard to the business secrecy decisions No. 15-DSA-308 of September 7, 2015, No. 15-DSA-322 of September 29, 2015, and No. 16-DSA-371 of October 31, 2016;  </w:t>
        <w:br/>
        <w:t xml:space="preserve">Having regard to the other documents in the file;  </w:t>
        <w:br/>
        <w:t xml:space="preserve">The Caisse Fédérale de Crédit Mutuel (CFCM) heard pursuant to Article L. 463-7 of the Commercial Code;  </w:t>
        <w:br/>
        <w:t xml:space="preserve">The rapporteur, the general rapporteur, the Government Commissioner, and the representatives of Crédit Mutuel Arkéa, heard during the session of November 29, 2016;  </w:t>
        <w:br/>
        <w:t>Adopts the following decision:</w:t>
      </w:r>
    </w:p>
    <w:p>
      <w:r>
        <w:t xml:space="preserve">SUMMARY  </w:t>
        <w:br/>
        <w:t xml:space="preserve">By letter dated October 6, 2014, Crédit Mutuel Arkéa (CMA) referred to the Autorité de la concurrence practices implemented by the Confédération Nationale du Crédit Mutuel (CNCM), the central body tasked by the legislator with ensuring the proper functioning of Crédit Mutuel and having extensive powers for this purpose.  </w:t>
        <w:br/>
        <w:t xml:space="preserve">CMA intended to denounce a collusive practice involving exchanges of information and market allocation, taking place within the CNCM, between CMA (an inter-federation grouping the federations located in the west of France) and CM11-CIC (an inter-federation grouping the federations of eastern France), considering that these two entities are autonomous and competing enterprises.  </w:t>
        <w:br/>
        <w:t>Without ruling on the merits of CMA's claims, the Autorité de la concurrence considered that the examination of the practices denounced in the referral could not be separated from the assessment of the legality of the acts manifesting the public power prerogatives held by the CNCM and organizing the public service mission assigned to it. Such an examination falls within the exclusive jurisdiction of the administrative court. Consequently, the Autorité de la concurrence declared the referral inadmissible.</w:t>
      </w:r>
    </w:p>
    <w:p>
      <w:r>
        <w:t xml:space="preserve">TABLE OF CONTENTS  </w:t>
        <w:br/>
        <w:t xml:space="preserve">I. Procedure ......................................................................................... 5  </w:t>
        <w:br/>
        <w:t xml:space="preserve">II. Findings ........................................................................................... 5  </w:t>
        <w:br/>
        <w:t xml:space="preserve">A. CRÉDIT MUTUEL .................................................................................................................... 5  </w:t>
        <w:br/>
        <w:t xml:space="preserve">1. THE DIFFERENT LEVELS OF CRÉDIT MUTUEL ........................................................ 5  </w:t>
        <w:br/>
        <w:t xml:space="preserve">2. THE ORGANIZATION AND MISSIONS OF THE CNCM ....................................................... 6  </w:t>
        <w:br/>
        <w:t xml:space="preserve">a) The missions of the CNCM ............................................................................... 6  </w:t>
        <w:br/>
        <w:t xml:space="preserve">The legal framework of the missions of the CNCM ..................................................... 6  </w:t>
        <w:br/>
        <w:t xml:space="preserve">The implementation of the missions of the CNCM ....................................................... 7  </w:t>
        <w:br/>
        <w:t xml:space="preserve">b) The obligation of prudential control at the central body level .......................... 8  </w:t>
        <w:br/>
        <w:t xml:space="preserve">Under national law ................................................................................................... 8  </w:t>
        <w:br/>
        <w:t xml:space="preserve">Under European law ................................................................................................. 9  </w:t>
        <w:br/>
        <w:t xml:space="preserve">c) The Board of Directors of the CNCM ............................................................... 10  </w:t>
        <w:br/>
        <w:t xml:space="preserve">3. THE HOLDING OF CAPITAL .......................................................................................... 11  </w:t>
        <w:br/>
        <w:t xml:space="preserve">4. THE ACTIVITIES AND SUBSIDIARIES OF CMA AND CM11-CIC ........................................ 11  </w:t>
        <w:br/>
        <w:t xml:space="preserve">5. THE DIFFERENT DISPUTES BETWEEN CMA AND CM11-CIC ........................................ 12  </w:t>
        <w:br/>
        <w:t xml:space="preserve">B. THE PRACTICES ALLEGED BY THE REFERRING PARTY .................................................. 13  </w:t>
        <w:br/>
        <w:t xml:space="preserve">1. ON THE ALLEGED PRACTICE OF INFORMATION EXCHANGE ........................................ 13  </w:t>
        <w:br/>
        <w:t xml:space="preserve">a) On the circulation of information .................................................................... 13  </w:t>
        <w:br/>
        <w:t xml:space="preserve">b) On the sensitive nature of the requested information ...................................... 14  </w:t>
        <w:br/>
        <w:t xml:space="preserve">2. ON THE ALLEGED PRACTICE OF MARKET ALLOCATION ............................................... 18  </w:t>
        <w:br/>
        <w:t xml:space="preserve">C. ON THE ELEMENTS OF APPLICABLE LAW .................................................................... 18  </w:t>
        <w:br/>
        <w:t xml:space="preserve">1. ON THE OFFENSE OF COLLUSION ................................................................................ 18  </w:t>
        <w:br/>
        <w:t xml:space="preserve">2. ON THE CONCEPT OF ENTERPRISE ................................................................................ 19  </w:t>
        <w:br/>
        <w:t xml:space="preserve">3. ON INTRA-GROUP AGREEMENTS .................................................................................. 19  </w:t>
        <w:br/>
        <w:t xml:space="preserve">4. ON PRACTICES THAT ARE THE RESULT OF A LEGISLATIVE OR REGULATORY TEXT .......... 20  </w:t>
        <w:br/>
        <w:t xml:space="preserve">5. ON THE APPLICATION OF UNION LAW ........................................................................... 21  </w:t>
        <w:br/>
        <w:t xml:space="preserve">III. Discussion ....................................................................................... 22  </w:t>
        <w:br/>
        <w:t xml:space="preserve">A. ON THE RESPECTIVE JURISDICTION OF THE AUTHORITY AND THE ADMINISTRATIVE JUDGE ...................................................................................................................................... 22  </w:t>
        <w:br/>
        <w:t xml:space="preserve">B. ON THE EXERCISE BY THE CNCM OF PUBLIC POWER PREROGATIVES ........................ 23  </w:t>
        <w:br/>
        <w:t xml:space="preserve">C. ON THE NATURE OF THE ACTS OF THE CNCM DENOUNCED IN THE REFERRAL ............... 25  </w:t>
        <w:br/>
        <w:t>1. ON THE ACTS THAT LIMIT THE GEOGRAPHICAL ACTIVITY OF THE BANKS AND FEDERATIONS ......................................................................................................................... 25</w:t>
      </w:r>
    </w:p>
    <w:p>
      <w:r>
        <w:rPr>
          <w:b/>
        </w:rPr>
        <w:t>[Pages 4–6]</w:t>
      </w:r>
    </w:p>
    <w:p>
      <w:r>
        <w:t>2. ON THE ACTS THAT ORGANIZE THE TRANSMISSION AND CIRCULATION OF DATA BETWEEN CMA AND CM11-CIC .................................................................................. 25</w:t>
        <w:br/>
        <w:t>a) The statutes of the CNCM ................................................................................ 25</w:t>
        <w:br/>
        <w:t>Regarding the transmission of data to the CNCM ........................................... 25</w:t>
        <w:br/>
        <w:t>Regarding the circulation of data between CMA and CM11-CIC ................... 26</w:t>
        <w:br/>
        <w:t>Conclusion .......................................................................................................... 26</w:t>
        <w:br/>
        <w:t>b) The general decisions of the CNCM ............................................................... 26</w:t>
        <w:br/>
        <w:t>The general decision No. 1-2009 of February 9, 2005, of the CNCM ............ 27</w:t>
        <w:br/>
        <w:t>The general decision No. 1-1993 of October 6, 1993, of the CNCM .............. 27</w:t>
        <w:br/>
        <w:t>3. ON THE ABSENCE OF PRACTICES DETACHABLE FROM THE ACTS THAT ORGANIZE THE TRANSMISSION AND CIRCULATION OF DATA ............................................................. 28</w:t>
        <w:br/>
        <w:t>a) On the required data ...................................................................................... 28</w:t>
        <w:br/>
        <w:t>b) On the circulation of data ............................................................................. 28</w:t>
        <w:br/>
        <w:t>D. CONCLUSION ................................................................................................................................ 29</w:t>
        <w:br/>
        <w:t>DECISION ............................................................................................. 30</w:t>
      </w:r>
    </w:p>
    <w:p>
      <w:r>
        <w:rPr>
          <w:b/>
        </w:rPr>
        <w:t>[Pages 7–9]</w:t>
      </w:r>
    </w:p>
    <w:p>
      <w:r>
        <w:t>risques et la rentabilité des établissements de crédit, ainsi que des informations sur les incidents significatifs révélés par les procédures de contrôle interne.</w:t>
      </w:r>
    </w:p>
    <w:p>
      <w:r>
        <w:t>39. En outre, la CNCM doit également fournir des informations sur les mesures de redressement mises en œuvre au niveau régional et national, ainsi que sur l'évolution de la situation financière des caisses de Crédit Mutuel.</w:t>
      </w:r>
    </w:p>
    <w:p>
      <w:r>
        <w:t>40. La CNCM est donc tenue de respecter les exigences de transparence et de communication imposées par les autorités de supervision, tant au niveau national qu'européen, afin d'assurer une surveillance efficace et appropriée du réseau de Crédit Mutuel.</w:t>
      </w:r>
    </w:p>
    <w:p>
      <w:r>
        <w:t>41. Enfin, la CNCM doit veiller à ce que les caisses de Crédit Mutuel respectent également les obligations de reporting et de contrôle interne, afin de garantir la stabilité et la solidité du groupe dans son ensemble.</w:t>
      </w:r>
    </w:p>
    <w:p>
      <w:r>
        <w:rPr>
          <w:b/>
        </w:rPr>
        <w:t>[Pages 10–12]</w:t>
      </w:r>
    </w:p>
    <w:p>
      <w:r>
        <w:t>capital et sur la mise en œuvre de sanctions. CMA soutient que ces dispositions excèdent les compétences de la CNCM et portent atteinte à l'autonomie des caisses fédérales.</w:t>
      </w:r>
    </w:p>
    <w:p>
      <w:r>
        <w:t>58. En outre, CMA a engagé une procédure devant le tribunal administratif de Paris concernant la décision de la CNCM de ne pas approuver certaines nominations au sein des fédérations, arguant que cette décision constitue une ingérence dans la gestion interne des caisses fédérales.</w:t>
      </w:r>
    </w:p>
    <w:p>
      <w:r>
        <w:t>59. Enfin, CMA a également saisi le Conseil d'État d'une demande d'annulation de la décision de la CNCM relative à la répartition des sièges au sein du conseil d'administration, estimant que cette répartition ne respecte pas les principes d'équité et de représentation des différentes fédérations.</w:t>
      </w:r>
    </w:p>
    <w:p>
      <w:r>
        <w:rPr>
          <w:b/>
        </w:rPr>
        <w:t>[Pages 13–15]</w:t>
      </w:r>
    </w:p>
    <w:p>
      <w:r>
        <w:t>territoire des prévisions de CMA concernant les encours de crédits immobiliers, de consommation et d'équipement.</w:t>
      </w:r>
    </w:p>
    <w:p>
      <w:r>
        <w:t>78. Selon CMA, ces données « permettent d'identifier les segments de marché sur lesquels CMA</w:t>
        <w:br/>
        <w:t>prévoit de se développer et d'adapter sa stratégie commerciale en conséquence, ce qui</w:t>
        <w:br/>
        <w:t>constitue une information sensible pour ses concurrents ».</w:t>
      </w:r>
    </w:p>
    <w:p>
      <w:r>
        <w:t>79. En conclusion, le saisissant soutient que la CNCM, en tant qu'organe central, a accès à des</w:t>
        <w:br/>
        <w:t>informations sensibles qui pourraient être utilisées par CM11-CIC pour renforcer sa position</w:t>
        <w:br/>
        <w:t>concurrentielle sur le marché, ce qui soulève des préoccupations quant à la concurrence</w:t>
        <w:br/>
        <w:t>loyale entre les entités du Crédit Mutuel.</w:t>
      </w:r>
    </w:p>
    <w:p>
      <w:r>
        <w:rPr>
          <w:b/>
        </w:rPr>
        <w:t>[Pages 16–18]</w:t>
      </w:r>
    </w:p>
    <w:p>
      <w:r>
        <w:t>associations ou des ordres professionnels peuvent donc constituer une entente au sens de l'article L. 420-1 du code de commerce et de l'article 101 du TFUE.</w:t>
      </w:r>
    </w:p>
    <w:p>
      <w:r>
        <w:t>97. En ce qui concerne la preuve de l'existence d'une entente, il est important de noter que celle-ci peut être établie par des indices convergents. Les éléments de preuve peuvent inclure des communications entre les entreprises, des comportements de marché, ainsi que des analyses économiques.</w:t>
      </w:r>
    </w:p>
    <w:p>
      <w:r>
        <w:t>98. La jurisprudence a également précisé que l'existence d'une entente peut être déduite de la nature des comportements des entreprises sur le marché. Par exemple, si plusieurs entreprises adoptent des stratégies similaires en matière de prix ou de conditions commerciales, cela peut indiquer une coordination entre elles.</w:t>
      </w:r>
    </w:p>
    <w:p>
      <w:r>
        <w:t>99. En conclusion, pour établir l'existence d'une entente prohibée, il est nécessaire de démontrer non seulement l'existence d'un accord entre les entreprises, mais aussi que cet accord a pour objet ou pour effet de restreindre la concurrence sur le marché.</w:t>
      </w:r>
    </w:p>
    <w:p>
      <w:r>
        <w:rPr>
          <w:b/>
        </w:rPr>
        <w:t>[Pages 19–21]</w:t>
      </w:r>
    </w:p>
    <w:p>
      <w:r>
        <w:t>ordres professionnels ou associations are therefore presumed to constitute agreements between their members, pursuant to the jurisprudence of the Court of Cassation. In a landmark decision dated May 16, 2000 (National Order of Pharmacists), the Court of Cassation indeed ruled that "a professional order represents the community of its members and (...) [that] a practice likely to have an anti-competitive object or effect implemented by such an organization necessarily reveals an agreement, within the meaning of Article 7 of the Ordinance of December 1, 1986, between its members."</w:t>
      </w:r>
    </w:p>
    <w:p>
      <w:r>
        <w:t>2. ON THE CONCEPT OF ENTERPRISE</w:t>
      </w:r>
    </w:p>
    <w:p>
      <w:r>
        <w:t>97. The definition of an enterprise in competition law is essentially functional and economic. Any entity engaging in an economic activity, regardless of the legal status of that enterprise and its mode of financing, can be classified as an enterprise (judgment of April 23, 1991, Court of Justice, Klaus Höfner and Fritz Elser, C-41/90). An economic activity consists of any activity involving the offering of goods or services in a given market (judgment of June 18, 1998, Court of Justice, Commission/Italy, C-35/96, paragraph 36) or more broadly any activity, whether for profit or not, that involves economic exchanges.</w:t>
      </w:r>
    </w:p>
    <w:p>
      <w:r>
        <w:t>98. The legal status is therefore indifferent. As the Authority's study recalls, "the enterprise may not have legal personality, as recently reiterated by the Court of Justice of the European Communities in a judgment dated June 28, 2005, Dansk Rorindustri. The legal form of the enterprise matters little; it may be a division of the State without autonomous legal personality (Monetary and Medal Service, National Meteorological Directorate in France), a company, a public establishment, cooperatives, foundations, artisanal enterprises, or natural persons engaging in economic activity or a liberal profession."</w:t>
      </w:r>
    </w:p>
    <w:p>
      <w:r>
        <w:t>99. The economic nature of the activity in question constitutes the essential criterion. The study specifies that "the enterprise may not operate directly in a market, but indirectly by exercising control over an operator active in that market. This control must lead to a direct or indirect interference in the management of the market operator, interference that makes it participate in the economic activities carried out by the controlled enterprise. Thus, the Court of Justice of the European Communities, ruling on a preliminary question, recently suggested that a banking foundation could, under certain conditions, qualify as an enterprise within the meaning of competition law (ECJ, January 10, 2006, Cassa di Risparmio di Firenze and others, C-222/04)."</w:t>
      </w:r>
    </w:p>
    <w:p>
      <w:r>
        <w:t>3. ON INTRA-GROUP AGREEMENTS</w:t>
      </w:r>
    </w:p>
    <w:p>
      <w:r>
        <w:t>100. The autonomy of an enterprise necessarily implies, for the application of competition rules, that it is in a competitive relationship with entities external to it. Conversely, the lack of autonomy of one company in relation to another allows for the consideration that it is a single enterprise within the meaning of competition law (judgment of September 10, 2009, CJEU, Akzo Nobel, C-97/08 P, paragraphs 58 and 59). In other words, according to the terms of the aforementioned Authority's study, "no agreement can be constituted between two non-autonomous subsidiaries of the same group (...). The agreement can only exist between autonomous enterprises within the meaning of competition law."</w:t>
      </w:r>
    </w:p>
    <w:p>
      <w:r>
        <w:t>101. Thus, "it is the real autonomy of an entity that must be assessed, particularly in terms of commercial and financial autonomy (even in the case of two subsidiaries of the same parent company)." The Authority takes into account several parameters to assess autonomy, including the significance of the parent company's financial participation in the capital of the controlled company, appointments within the management bodies, and the ability of the subsidiary's governing bodies to freely determine a fully autonomous industrial, financial, and commercial strategy (decision No. 99-D-18 of March 2, 1999, regarding practices identified in the distribution of products of the company Laboratoire 3M).</w:t>
      </w:r>
    </w:p>
    <w:p>
      <w:r>
        <w:t>4. ON PRACTICES THAT ARE THE RESULT OF A LEGISLATIVE OR REGULATORY TEXT</w:t>
      </w:r>
    </w:p>
    <w:p>
      <w:r>
        <w:t>102. Under the provisions of 1° of Article L. 420-4 of the Commercial Code, practices resulting from the application of a legislative text or a regulatory text taken for its application are not subject to the provisions of Article L. 420-1 of the Commercial Code prohibiting anti-competitive agreements.</w:t>
      </w:r>
    </w:p>
    <w:p>
      <w:r>
        <w:t>103. Indeed, as specified in the aforementioned study, "if an anti-competitive behavior is imposed on enterprises by national legislation or if such legislation creates a legal framework that, in itself, eliminates any possibility of competitive behavior on their part, Articles 81 and 82 [now Articles 101 and 102 TFEU] do not apply to them. In such a situation, the restriction of competition does not arise from autonomous behaviors of the enterprises (see Court of First Instance of the European Communities, December 11, 2003, Greek Ferries, Strintzis Line Shipping SA, T-65/99, paragraph 119)."</w:t>
      </w:r>
    </w:p>
    <w:p>
      <w:r>
        <w:t>104. However, Article L. 420-4 cannot apply if national legislation allows for the possibility of competition that could be hindered, restricted, or distorted by autonomous behaviors of the enterprises. As the aforementioned study recalls, this article can only exempt practices that constitute an inevitable consequence of the application of legislative or regulatory texts (decision No. 96-D-18 of March 26, 1996, regarding practices implemented by the regional council of the order of architects of Auvergne and architecture firms in the context of a public procurement).</w:t>
      </w:r>
    </w:p>
    <w:p>
      <w:r>
        <w:t>105. Conversely, as emphasized in the aforementioned study, this protection cannot be invoked when European competition law is applicable: "the judgment of September 9, 2003 (CIF; C 198/01 29) concerning 'Italian matches,' in which the Court of Justice ruled that, by virtue of the primacy of Community law, competition authorities, like courts, must disregard the application of national laws contrary to Community rules and that 'the exception based on state action' cannot be invoked by parties before competition authorities if the law they invoke is contrary to Community rules. In this case, their behavior is qualifying under Articles 81 and 82 of the Treaty [now Articles 101 and 102 TFEU]. However, competition authorities cannot sanction them for past actions under the principle of legal certainty; only practices occurring after the decision of the competition authorities (excluding the application of anti-competitive law to said enterprises) can be sanctioned. The protection no longer extends to practices prior to the first decision."</w:t>
      </w:r>
    </w:p>
    <w:p>
      <w:r>
        <w:t>5. ON THE APPLICATION OF UNION LAW</w:t>
      </w:r>
    </w:p>
    <w:p>
      <w:r>
        <w:t>106. The criterion that determines the applicability of European competition rules is based on the notion of practices "likely to affect trade between Member States," which appears, for agreements, in Article 101 TFEU.</w:t>
      </w:r>
    </w:p>
    <w:p>
      <w:r>
        <w:t>107. In its guidelines regarding the notion of affecting trade as set out in Articles 81 and 82 of the Treaty, the Commission specifies that "the criterion of affecting trade limits the scope of Articles 101 and 102 TFEU to agreements and practices likely to have a minimal level of cross-border effects within the EU," and that "national courts and competition authorities are obliged to apply EU competition rules to all agreements and practices likely to affect trade between EU countries."</w:t>
      </w:r>
    </w:p>
    <w:p>
      <w:r>
        <w:t>108. The Commission recalls in its guidelines the three elements that characterize an intra-Community trade effect justifying the application of European competition law. First, the notion of trade is not limited to traditional cross-border exchanges of goods and services, but has a broader scope that encompasses any international economic activity. The condition related to the existence of an effect on trade between countries of the Union therefore implies that there must be an impact on cross-border economic activities involving at least two countries of the Union. Secondly, the phrase "likely to affect" implies that the agreement in question must, based on a set of objective legal or factual elements, allow for a sufficient degree of probability that it could exert a direct or indirect, actual or potential influence on the flow of trade between Member States. Finally, the jurisprudential requirement related to the "sensitive nature" of the trade effect allows for the integration of a quantitative element that limits the applicability of Union law to agreements and practices that are likely to have effects of a certain magnitude. The sensitive nature can be evaluated notably in relation to the position and importance of the parties in the market for the products in question.</w:t>
      </w:r>
    </w:p>
    <w:p>
      <w:r>
        <w:t>109. The Commission considers that, in principle, agreements cannot significantly affect trade between countries of the Union when the total market share of the enterprises involved in the affected market does not exceed 5% and that, cumulatively, the total sales excluding taxes made in the Union during the past year by the enterprises involved with the products covered by the agreement do not exceed the threshold of 40 million euros.</w:t>
      </w:r>
    </w:p>
    <w:p>
      <w:r>
        <w:t>110. The Authority considers that, to be likely to affect trade between Member States, a decision, agreement, or concerted practice must, based on a set of factual and legal elements, allow for a sufficient degree of probability that it could exert a direct or indirect, actual or potential influence on the flow of trade between Member States and that, regarding horizontal agreements covering the entire national territory, such practices are normally likely to affect trade between Member States, as recalled by the guidelines (paragraph 78) of the Commission (see decision No. 07-D-21 of June 26, 2007, regarding practices implemented in the laundry maintenance rental sector and decision No. 12-D-26 of December 20, 2012, regarding practices implemented in the sector of production, marketing, installation, and maintenance of fire extinguishers).</w:t>
      </w:r>
    </w:p>
    <w:p>
      <w:r>
        <w:rPr>
          <w:b/>
        </w:rPr>
        <w:t>[Pages 22–24]</w:t>
      </w:r>
    </w:p>
    <w:p>
      <w:r>
        <w:t xml:space="preserve">III. Discussion  </w:t>
        <w:br/>
        <w:t xml:space="preserve">A. ON THE RESPECTIVE JURISDICTION OF THE AUTHORITY AND THE ADMINISTRATIVE JUDGE  </w:t>
        <w:br/>
        <w:t xml:space="preserve">111. Under consistent jurisprudence, the administrative judge is solely competent to rule on acts by which public entities and private entities entrusted with a public service mission exercise public power prerogatives.  </w:t>
        <w:br/>
        <w:t xml:space="preserve">112. As ruled by the Tribunal des conflits, "while public entities may be sanctioned by the Conseil de la concurrence acting under the control of the judiciary for activities of production, distribution, or services, the decisions by which these entities fulfill their public service mission using public power prerogatives fall under the jurisdiction of the administrative court to assess their legality and, where applicable, to rule on the liability incurred by these public entities" (decision of the Tribunal des conflits of October 18, 1999, Prefect of the Île-de-France region, Prefect of Paris, case known as "Aéroports de Paris," No. 03174, in the collection).  </w:t>
        <w:br/>
        <w:t xml:space="preserve">113. The Court of Cassation has ruled similarly that "the decisions by which public entities or private entities entrusted with a public service exercise the mission assigned to them and implement public power prerogatives, which may constitute acts of production, distribution, and services within the meaning of Article 53 of the Ordinance of December 1, 1986 falling within its scope, do not fall under the competence of the Conseil de la concurrence; the situation is different when these organizations intervene through their decisions outside of this mission or do not implement any public power prerogative" (judgment of the Court of Cassation of May 16, 2000, case "Semmaris," No. 98-11800, published in the bulletin).  </w:t>
        <w:br/>
        <w:t xml:space="preserve">114. More recently, the Tribunal des conflits recalled that, according to Article L. 410-1 of the Commercial Code, the rules defined in the fourth book of this code, relating to price and competition freedom, apply to all activities of production, distribution, and services, including those carried out by public entities, particularly within the framework of public service delegation agreements, but that the Authority was not competent to sanction anti-competitive practices "concerning decisions or acts relating to the organization of public service or implementing public power prerogatives" (decision of the Tribunal des conflits of May 4, 2009, Société Editions Jean-Paul Gisserot, No. 3714, in the collection).  </w:t>
        <w:br/>
        <w:t xml:space="preserve">115. In application of this jurisprudence, the Authority has, for example, declined its competence regarding alleged practices against Réseau de transport de l'électricité (RTE) related to the terms of its calls for tenders for the establishment of the rapid and complementary reserve, considering that this activity was "part of the organization of the public electricity service" (decision No. 11-D-09 of June 8, 2011, regarding practices implemented by EDF and RTE in the electricity sector).  </w:t>
        <w:br/>
        <w:t xml:space="preserve">116. It follows that the administrative judge is solely competent to rule on acts taken by public entities and private organizations entrusted with a public service mission that manifest the exercise of public power prerogatives or that relate to the organization of the public service mission.  </w:t>
        <w:br/>
        <w:t xml:space="preserve">117. Conversely, the Authority is competent to sanction behaviors that do not fall under public power prerogatives or the organization of public service as well as practices that are "detachable from the assessment of the legality of an administrative act" (decision of the Tribunal des conflits of October 18, 1999, Prefect of the Île-de-France region, Prefect of Paris, case "Aéroports de Paris," cited above).  </w:t>
        <w:br/>
        <w:t xml:space="preserve">B. ON THE EXERCISE BY THE CNCM OF PUBLIC POWER PREROGATIVES  </w:t>
        <w:br/>
        <w:t xml:space="preserve">118. The alleged practices fall within the framework of the missions of the CNCM, which constitutes, according to consistent jurisprudence, a private organization entrusted with a public service mission involving the use of public power prerogatives.  </w:t>
        <w:br/>
        <w:t xml:space="preserve">119. Following the jurisprudence of the Tribunal des conflits, "by assigning to the Confédération nationale du crédit mutuel the mission of ensuring the proper functioning of mutual credit and endowing it with the broadest powers of organization and management over the banks it represents, the legislator entrusted this confederation, although it is an association governed by the law of July 1, 1901, with the execution, under the control of the administration, of a public service involving the use of public power prerogatives" (decisions of the Tribunal des conflits of May 2, 1977, Confédération Nationale du Crédit Mutuel, No. 02054, in the collection and of November 6, 1978, Caisse de Crédit Mutuel des agents du Trésor public, No. 02086, in the tables).  </w:t>
        <w:br/>
        <w:t xml:space="preserve">120. The texts governing the missions of the central bodies of French mutual banking networks and the missions specifically assigned to the CNCM have not undergone decisive evolution since these landmark jurisprudences. Moreover, the Conseil d’État recently adopted similar reasoning to declare itself competent to rule on a decision of the Banque Fédérale des Banques Populaires, the central body of the group until 2009, within the meaning of Article L. 511-31 of the CMF. It noted, in particular, that this central body had "the legal responsibility to ensure the proper functioning of the affiliated establishments and to ensure the cohesion of the network and [could], in this context, withdraw the approval of a leader of a regional bank" and that "such a mission being of public service, the administrative judge is competent to hear the challenge of a decision to withdraw approval taken by this board of directors" (decision of the Conseil d’État of June 30, 2010, No. 314841, in the tables).  </w:t>
        <w:br/>
        <w:t xml:space="preserve">121. The Conseil d’État also recognized that the CNCM had regulatory power over mutual credit banks, meaning the power to unilaterally impose general prescriptions on all banks: "It follows from the provisions of Article 5-2 of the Ordinance of October 16, 1958 that, by way of derogation from the laws governing associations or concerning the status of cooperation, the national confederation of mutual credit has been endowed, by the legislator, with the broadest powers over the organizations it represents. In particular, the power attributed to it to take all necessary measures for the proper functioning of mutual credit, as well as the mission, which it is entrusted with, to control both the organization and management of mutual credit banks, necessarily implies that the national confederation is competent to issue prescriptions that are binding on the banks, to ensure their compliance with the applicable provisions, and to impose appropriate sanctions in case of violation of these provisions" (decision of the Conseil d’État of May 2, 1975, Fédération régionale des caisses rurales et urbaines du Crédit Mutuel du Finistère, No. 92417, filed accordingly in the collection).  </w:t>
        <w:br/>
        <w:t xml:space="preserve">122. The fact that mutual credit banks have gradually grouped around two large interfederal entities, potentially in a competitive situation, placed under the aegis of the CNCM, does not alter this analysis.  </w:t>
        <w:br/>
        <w:t xml:space="preserve">123. It follows from the above that, when fulfilling its mission to ensure the proper functioning of Crédit Mutuel, the CNCM exercises public power prerogatives and takes for this purpose acts whose assessment falls solely within the jurisdiction of administrative courts.  </w:t>
        <w:br/>
        <w:t xml:space="preserve">124. Jurisprudence provides several illustrations of acts by the central bodies of mutual banks manifesting the implementation of public power prerogatives for the needs of the public service mission entrusted to them and consequently falling under the competence of the administrative judge.  </w:t>
        <w:br/>
        <w:t xml:space="preserve">125. Thus, the statutes adopted by the CNCM and approved by the minister responsible for the economy constitute administrative acts whose legality can only be assessed by the administrative judge (decision of the Tribunal des conflits of May 2, 1977, Confédération nationale du crédit mutuel, cited above).  </w:t>
        <w:br/>
        <w:t xml:space="preserve">126. This is also the case for the circular of the Centre National des Caisses d’Épargne et de Prévoyance (CNCE) subjecting the appointment of the social representatives of the savings and provident banks by the orientation and supervision board of each of them to approval and providing that the refusal of approval would result in automatic termination of this appointment (decision of the Conseil d’État of July 24, 1987, Groupement national des directeurs de caisse d'épargne et de prévoyance, No. 66978), for the decision by which the central committee of the CNCM refused to approve the Crédit Mutuel bank of the Christian Treasury Union (decision of the Tribunal des conflits of September 17, 1969), for the decision by which the board of directors of the Banque Fédérale des Banques Populaires withdrew the approval of a leader of a regional bank (decision of the Conseil d’État of June 30, 2010, Bousquet, cited above), for the deliberation by which the board of directors of the CNCM imposed the membership of local banks to a new regional federation replacing a previous dissolved federation and for the decision pronouncing the removal of these local banks (decision of the Tribunal des conflits of May 2, 1977, Confédération nationale du crédit mutuel, cited above) and, finally, for the decision of the CNCM refusing the registration of a bank on the list (decision of the Tribunal des conflits of November 6, 1978, Caisse de crédit mutuel des agents du Trésor public, cited above).  </w:t>
        <w:br/>
        <w:t xml:space="preserve">127. In the same vein, the judge of summary proceedings of the Conseil d’État recently recognized its competence to order the CMA to provide the CNCM with data necessary for the exercise of its mission of administrative, technical, and financial control of Crédit Mutuel in terms of prevention and management of banking crises (decision of the Conseil d’État of December 13, 2016, Confédération nationale du crédit mutuel, No. 403418).  </w:t>
        <w:br/>
        <w:t>128. Conversely, the following were not considered to fall under the competence of the administrative judge, as they did not reveal the implementation of a public service mission involving the use of public power prerogatives: the application circular of the decree of July 17, 1984, relating to elections to the advisory councils and the orientation and supervision councils of the savings and provident banks, adopted by the CNCE (decision of the Tribunal des conflits of January 13, 1992, Ray, No. 02674, in the collection), the decisions by which the executive board of the CNCE opposed the designation of a "project manager" in charge of a restructuring operation of certain establishments affiliated with its network (decision of the Tribunal des conflits of April 27, 1994, Koenig, No. 02939) and the refusal by the executive board of the CNCE to submit to the approval of the supervisory board a candidacy for the executive board of a bank (decision of the Tribunal des conflits of November 19, 2007, Renucci, No. 3628).</w:t>
      </w:r>
    </w:p>
    <w:p>
      <w:r>
        <w:rPr>
          <w:b/>
        </w:rPr>
        <w:t>[Pages 25–27]</w:t>
      </w:r>
    </w:p>
    <w:p>
      <w:r>
        <w:t>C. ON THE NATURE OF THE ACTS OF THE CNCM DENOUNCED IN THE REFERRAL</w:t>
      </w:r>
    </w:p>
    <w:p>
      <w:r>
        <w:t>1. ON THE ACTS THAT LIMIT THE GEOGRAPHICAL ACTIVITY OF THE BANKS AND FEDERATIONS</w:t>
      </w:r>
    </w:p>
    <w:p>
      <w:r>
        <w:t>129. The referring party argues that the CNCM makes "an excessive interpretation of the principle of territorial jurisdiction of the banks" which puts it "in a position to organize a territorial allocation agreement."</w:t>
      </w:r>
    </w:p>
    <w:p>
      <w:r>
        <w:t>130. In support of this allegation, it invokes the provisions of Articles 7, 10, and 23 of the general decision No. 2-2005 adopted on December 14, 2005, by the CNCM, which stipulate that a Crédit Mutuel bank must mandatorily adhere to the regional federation of which its head office is a part, that its geographical area cannot exceed that of this federation, and that there can only be one regional federation in a given territorial jurisdiction. It also cites the decision of November 13, 2013, by which the CNCM refused to grant the Brittany federation approval for the creation of a local bank in Paris.</w:t>
      </w:r>
    </w:p>
    <w:p>
      <w:r>
        <w:t>131. However, as previously stated, Article R. 512-20 of the CMF provides that, in order to be registered by the CNCM on the list of Crédit Mutuel banks, the banks must "limit their activity to a defined territorial jurisdiction or to a homogeneous group of members, and establish the responsibility of the members." Furthermore, the statutes of the CNCM approved by the minister responsible for the economy grant its board of directors the power to determine the jurisdiction of the Crédit Mutuel federations and banks.</w:t>
      </w:r>
    </w:p>
    <w:p>
      <w:r>
        <w:t>132. Under applicable jurisprudence, the general or individual acts by which the CNCM determines the territorial organization of the banks and federations or delineates their geographical scope of action constitute the manifestation of the public power prerogatives conferred on the central body for the exercise of its public service mission of overseeing the proper functioning of the banks and federations that make up Crédit Mutuel. It follows that the Authority is not competent to rule on such acts, the legality of which is solely for the administrative judge to assess.</w:t>
      </w:r>
    </w:p>
    <w:p>
      <w:r>
        <w:t>2. ON THE ACTS THAT ORGANIZE THE TRANSMISSION AND CIRCULATION OF DATA BETWEEN CMA AND CM11-CIC</w:t>
      </w:r>
    </w:p>
    <w:p>
      <w:r>
        <w:t>133. The referring party criticizes a number of acts (statutes and general decisions of the CNCM) that organize the transmission and circulation of data between the two entities, CMA, on the one hand, and CM11-CIC, on the other.</w:t>
      </w:r>
    </w:p>
    <w:p>
      <w:r>
        <w:t>a) The statutes of the CNCM</w:t>
      </w:r>
    </w:p>
    <w:p>
      <w:r>
        <w:t>Regarding the transmission of data to the CNCM</w:t>
      </w:r>
    </w:p>
    <w:p>
      <w:r>
        <w:t>134. According to the ACPR in its aforementioned opinion, "in general terms, the fulfillment of the mission entrusted by Article L. 511-31 of the monetary and financial code to the central bodies requires that their board of directors, as the governing and supervisory body, has effective access to all necessary information on each establishment in the network in order to fully exercise the individual controls provided for by this article as well as the internal control and consolidated risk management of the group." The ACPR thus concludes that "all Crédit Mutuel banks are required to respond to requests for the transmission of information from the CNCM that it deems necessary for the fulfillment of its missions."</w:t>
      </w:r>
    </w:p>
    <w:p>
      <w:r>
        <w:t>135. However, the statutes of the CNCM (references No. 2282 to 2292), without specifying the nature of the documents that must be transmitted, broadly provide that "the board of directors carries out the controls and verifications it deems appropriate." Furthermore, regarding the circulation of information, it is specified that "the president or the general director of the Confederation is required to communicate to each director all documents and information necessary for the fulfillment of his mission."</w:t>
      </w:r>
    </w:p>
    <w:p>
      <w:r>
        <w:t>136. Regarding the missions that require the request for data transmission, the statutes provide that the board of directors "establishes the projected operating account" as well as "the annual accounts of the Confederation" and "the national consolidated accounts," "prepares management reports on these accounts," "exercises administrative, technical, and financial control over the organization of each Crédit Mutuel bank (...) as well as their subsidiaries," and "determines the conditions of control to which the various bodies that are members of the Confederation must submit."</w:t>
      </w:r>
    </w:p>
    <w:p>
      <w:r>
        <w:t>137. Specifically concerning risk monitoring (Article 30) and control (Article 31), the statutes state that "the Confederation is responsible for monitoring the solvency and liquidity situation of the federal banks based on their consolidated accounts," relying "on the work of the risk committee," and that "the audit committee [formerly the control and revision commission - CCR, as referred to by the referring party] receives the work of the audit committees of the federal banks and the control and revision commissions of the federations that report their work to it in the form of a summary established according to a standard scheme that has been approved by the board of directors of the Confederation. The audit committee may request access to detailed information."</w:t>
      </w:r>
    </w:p>
    <w:p>
      <w:r>
        <w:t>Regarding the circulation of data between CMA and CM11-CIC</w:t>
      </w:r>
    </w:p>
    <w:p>
      <w:r>
        <w:t>138. As the ACPR recalls in its opinion, "the composition of the board of directors of the CNCM results from its statutes." In this regard, the statutes of the CNCM "provide that the regional federations, which are members of the CNCM and make up its general assembly, designate representatives to the board of directors of the CNCM, who must be directors or employees of federations or federal banks, and at least half of them must be directors" (Article 8-1).</w:t>
      </w:r>
    </w:p>
    <w:p>
      <w:r>
        <w:t>139. Regarding the two statutory committees previously mentioned that assist the board of directors in its control mission (audit committee and risk committee), Article 10 of the Statutes provides that "they are composed of members of the board of directors."</w:t>
      </w:r>
    </w:p>
    <w:p>
      <w:r>
        <w:t>Conclusion</w:t>
      </w:r>
    </w:p>
    <w:p>
      <w:r>
        <w:t>140. It follows from the above that the statutes of the CNCM organize the transmission and circulation of data, in terms of administrative, technical, and financial control, between the various entities that make up Crédit Mutuel. Under the aforementioned jurisprudence, these statutes constitute administrative acts whose legality can only be assessed by the administrative judge. Consequently, the Authority is not competent to rule on them.</w:t>
      </w:r>
    </w:p>
    <w:p>
      <w:r>
        <w:t>b) The general decisions of the CNCM</w:t>
      </w:r>
    </w:p>
    <w:p>
      <w:r>
        <w:t>141. The referring party criticizes the provisions of two general decisions made by the CNCM that organize administrative and financial control.</w:t>
      </w:r>
    </w:p>
    <w:p>
      <w:r>
        <w:t>The general decision No. 1-2009 of February 9, 2005, of the CNCM</w:t>
      </w:r>
    </w:p>
    <w:p>
      <w:r>
        <w:t>142. This decision (references No. 184 to 194) is made pursuant, on the one hand, to Article L. 512-56 of the CMF relating to administrative, technical, and financial control over Crédit Mutuel banks and, on the other hand, to existing banking regulations, notably Regulation CRBF 97-02 relating to internal control of credit institutions and investment firms. This decision establishes the organization of internal control within Crédit Mutuel and determines the powers assigned to the various bodies (particularly the board of directors and the general inspection) for the purpose of exercising control.</w:t>
      </w:r>
    </w:p>
    <w:p>
      <w:r>
        <w:t>143. Regarding the board of directors of the CNCM, the decision provides that it establishes "the guidelines for measuring and monitoring risks as well as the principles and standards of control within the Crédit Mutuel group," ensures "the coherence and effectiveness of the internal control and risk monitoring system," validates and controls "the organization of control adopted by the Groups," approves "the head of the General Inspection of each regional group," receives reports "on the verification and evaluation of internal control carried out in the Groups," establishes "an annual report on internal control and on the measurement and monitoring of risks on a consolidated basis," and takes "appropriate measures when its directives are no longer respected (...)".</w:t>
      </w:r>
    </w:p>
    <w:p>
      <w:r>
        <w:t>144. Regarding the general inspection of the CNCM, its missions include, according to the aforementioned decision, the control of accounts "whose total balance exceeds 4.57 billion euros," the analysis of commitments, the examination of compliance with regulatory standards, the analysis of activity, commercial results and management, the analysis of treasury activity and balance sheet management, and the analysis of the risk management system.</w:t>
      </w:r>
    </w:p>
    <w:p>
      <w:r>
        <w:t>145. Regarding the control and revision commission of the CNCM (- CCR - now referred to as the risk committee), provided for by the statutes to assist the board of directors and statutorily composed of members of the board of directors, its main missions, under the aforementioned general decision, are "to examine the permanent control system in order to assess its coherence, effectiveness, and adequacy to risks; to propose guidelines for periodic control and organization of control; to validate the annual control plan; to be informed of all control work, internal or external, to adopt corrective measures and to follow up on the implementation of its recommendations (...)".</w:t>
      </w:r>
    </w:p>
    <w:p>
      <w:r>
        <w:t>The general decision No. 1-1993 of October 6, 1993, of the CNCM</w:t>
      </w:r>
    </w:p>
    <w:p>
      <w:r>
        <w:t>146. According to the referring party, "the implementation of the 1993 decision is an opportunity for exchanges of strategic information likely to restrict competition between regional groups, particularly within the framework of the CNCM" (references No. 180 to 183).</w:t>
      </w:r>
    </w:p>
    <w:p>
      <w:r>
        <w:t>147. This decision concerns notably "the monitoring of groups" and "the transparency of information." It provides that the groups "periodically communicate the elements necessary to assess their exposure to various risks, and in particular - strategy and development, - credit and finance (on and off balance sheet), - management and administration, - main subsidiary activities. The quantitative elements, alert indicators, periodic results, and forecast elements are supplemented by qualitative data."</w:t>
      </w:r>
    </w:p>
    <w:p>
      <w:r>
        <w:t>148. Regarding the "conditions of investigation," it is stated in this decision that "when the available alert elements show that clarifications need to be obtained, the concerned Group provides or makes accessible the additional assessment elements necessary. These additional pieces of information may result from a document-based study on the</w:t>
      </w:r>
    </w:p>
    <w:p>
      <w:r>
        <w:rPr>
          <w:b/>
        </w:rPr>
        <w:t>[Pages 28–30]</w:t>
      </w:r>
    </w:p>
    <w:p>
      <w:r>
        <w:t>base of the documents provided during an exchange with the Group concerned or an on-site study conducted notably by the confederal inspection."</w:t>
      </w:r>
    </w:p>
    <w:p>
      <w:r>
        <w:t>149. It follows that the two aforementioned general decisions organize the administrative, technical, and financial control of the CNCM – and thus the transmission and use of data within the central body – and set the rules that apply in this regard to the banks and federations. These general decisions relate to the exercise of public power prerogatives held by the CNCM and therefore fall within the jurisdiction of the administrative judge. The Authority is therefore not competent to rule on them.</w:t>
      </w:r>
    </w:p>
    <w:p>
      <w:r>
        <w:t>3. ON THE ABSENCE OF PRACTICES DETACHABLE FROM THE ACTS THAT ORGANIZE THE TRANSMISSION AND CIRCULATION OF DATA</w:t>
      </w:r>
    </w:p>
    <w:p>
      <w:r>
        <w:t>a) On the required data</w:t>
      </w:r>
    </w:p>
    <w:p>
      <w:r>
        <w:t>150. The referral does not highlight the existence of behaviors on the part of the CNCM or CM11-CIC relating to requests for sensitive and strategic information that would be detachable from the implementation of the public power prerogatives inherent to the mission of overseeing the proper functioning of Crédit Mutuel.</w:t>
      </w:r>
    </w:p>
    <w:p>
      <w:r>
        <w:t>151. When the referring party mentions the obligations to transmit information to the CNCM provided for by the aforementioned general decisions, it does not indicate that the categories of information required under these texts would not contribute to the administrative, technical, and financial control. It also does not mention requests for information that would exceed this textual framework or, more generally, would be unrelated to the oversight and management missions assigned to the CNCM.</w:t>
      </w:r>
    </w:p>
    <w:p>
      <w:r>
        <w:t>152. Consequently, the referral does not allow for the identification of practices detachable from the public power prerogatives of the CNCM concerning the required information or its use.</w:t>
      </w:r>
    </w:p>
    <w:p>
      <w:r>
        <w:t>b) On the circulation of data</w:t>
      </w:r>
    </w:p>
    <w:p>
      <w:r>
        <w:t>153. The referring party believes that "there is nothing inevitable about the highly confidential and strategic information communicated to the CNCM being communicated by the central body to the competing group CM11-CIC or that the individuals who become aware of it are linked to CM11-CIC."</w:t>
      </w:r>
    </w:p>
    <w:p>
      <w:r>
        <w:t>154. The referring party argues that the alleged information exchange practices "concern practices of the CNCM that are not necessary for the exercise of its responsibilities: it involves the communication to the competing group CM11-CIC of strategic and confidential information collected from CMA by the CNCM in the course of exercising its powers as a central body. It is the existence of this information communication circuit of strategic and confidential information that, according to CMA, constitutes a violation of competition law that must be remedied quickly."</w:t>
      </w:r>
    </w:p>
    <w:p>
      <w:r>
        <w:t>155. According to the referring party, the current situation results from "the takeover of CM11-CIC in the CNCM, which has led to the distortion of the exercise of its mission as a central body: 'inadequate association statutes have allowed CM11-CIC to appropriate power within the CNCM, thereby obtaining valuable information about its competitor (...)'."</w:t>
      </w:r>
    </w:p>
    <w:p>
      <w:r>
        <w:t>156. However, the referring party criticizes – and actually intends to challenge – the organization and functioning of the CNCM as they result from the aforementioned statutes and decisions. The referring party invokes, in this sense, "issues related to the governance mode of the CNCM," judging that "the statutes of the CNCM are problematic because they place the very composition of the CNCM in the hands of CM11-CIC." According to him, the statutes would allow CM11-CIC to "lock the general assemblies of the CNCM" and to "lock the board of directors of the CNCM" and "therefore, to implement the practices denounced above due to the powers of the President of the CNCM and the functioning mode of the CCR."</w:t>
      </w:r>
    </w:p>
    <w:p>
      <w:r>
        <w:t>157. Similarly, according to the referring party, "it appears from the description of these operational rules of Crédit Mutuel that they have the effect, if not the object, of limiting competition between the regional Groups" and that "the participation of entities in various confederal bodies, primarily the Board of Directors of the CNCM, exacerbates a risk of almost systematic collusion during the sharing of information between groups about their competing activities. This is also the case within several committees and other confederal meetings aimed at sharing the respective economic stakes of the entities of Crédit Mutuel."</w:t>
      </w:r>
    </w:p>
    <w:p>
      <w:r>
        <w:t>158. Thus, concerning the position of CM11-CIC within the governing bodies of the CNCM (president and director), it must be noted that the situation denounced by the referring party directly results from the application of the CNCM statutes that set the rules for the composition of the various bodies of the institution and determine the modalities for the appointment of these leaders (in this case, by a majority vote, simple or qualified, of the general assembly).</w:t>
      </w:r>
    </w:p>
    <w:p>
      <w:r>
        <w:t>159. Regarding any non-statutory committees, the referring party does not identify them precisely nor indicate the nature of the acts that establish them. In any case, they are a component of the organization of the CNCM, and it does not appear from the case documents that the documents transmitted to these committees would not fall within the scope of the documents that can be required by the central body as part of its mission of administrative, technical, and financial control.</w:t>
      </w:r>
    </w:p>
    <w:p>
      <w:r>
        <w:t>160. Furthermore, although the referring party indicated, without further precision, that the inspection teams of the CNCM are "under the personnel status of CM11" (reference No. 754), such an allegation does not allow for the characterization of the existence of a practice of exchanging strategic and sensitive information distinct and detachable from the implementation of the statutes and decisions that organize the transmission and circulation of data between the various entities comprising Crédit Mutuel.</w:t>
      </w:r>
    </w:p>
    <w:p>
      <w:r>
        <w:t>161. No practice detachable from the acts manifesting the exercise of public power prerogatives or organizing the public service mission entrusted to the CNCM is therefore established.</w:t>
      </w:r>
    </w:p>
    <w:p>
      <w:r>
        <w:t>D. CONCLUSION</w:t>
      </w:r>
    </w:p>
    <w:p>
      <w:r>
        <w:t>162. In light of all the above, the referral from CMA, which aims to contest the organization and functioning of the CNCM as they result from the statutes and the aforementioned general decisions, does not highlight any practice detachable from the assessment of the legality of the acts manifesting the public power prerogatives of the CNCM or organizing the public service mission entrusted to it.</w:t>
      </w:r>
    </w:p>
    <w:p>
      <w:r>
        <w:t>163. Consequently, the facts invoked do not fall within the jurisdiction of the Authority. It is therefore necessary to apply the first paragraph of Article L. 462-8 of the Commercial Code, which states that "the Autorité de la concurrence may declare, by reasoned decision, the referral inadmissible (...) if it considers that the facts invoked do not fall within the scope of its jurisdiction" and to declare the referral inadmissible for this reason.</w:t>
      </w:r>
    </w:p>
    <w:p>
      <w:r>
        <w:t>DECISION</w:t>
      </w:r>
    </w:p>
    <w:p>
      <w:r>
        <w:t>Sole Article: The referral on the merits from Crédit Mutuel Arkéa is declared inadmissible.</w:t>
      </w:r>
    </w:p>
    <w:p>
      <w:r>
        <w:t>Deliberated on the oral report of Ms. Laure Meyssonnier, rapporteur, and the oral intervention of Ms. Virgine Beaumeunier, general rapporteur, by Ms. Claire Favre, vice-president, chairing the session, Mr. Thierry Dahan, vice-president, and Ms. Pierrette Pinot, member.</w:t>
      </w:r>
    </w:p>
    <w:p>
      <w:r>
        <w:t>The session secretary, The vice-president,</w:t>
      </w:r>
    </w:p>
    <w:p>
      <w:r>
        <w:t>Caroline Chéron Claire Favre</w:t>
      </w:r>
    </w:p>
    <w:p>
      <w: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