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https://www.autoritedelaconcurrence.fr/fr/decision/relative-des-pratiques-mises-en-oeuvre-par-la-francaise-des-jeux-dans-le-secteur-des-jeux</w:t>
      </w:r>
    </w:p>
    <w:p>
      <w:r>
        <w:t>Pages translated : 14</w:t>
      </w:r>
    </w:p>
    <w:p/>
    <w:p>
      <w:r>
        <w:rPr>
          <w:b/>
        </w:rPr>
        <w:t>[Pages 1–3]</w:t>
      </w:r>
    </w:p>
    <w:p>
      <w:r>
        <w:t>FRENCH REPUBLIC</w:t>
        <w:br/>
        <w:t>Decision No. 17-D-17 of September 27, 2017</w:t>
        <w:br/>
        <w:t>regarding practices implemented by La Française des Jeux</w:t>
        <w:br/>
        <w:t>in the scratch games sector</w:t>
        <w:br/>
        <w:t>The Competition Authority (section II),</w:t>
        <w:br/>
        <w:t>Considering the letter, registered on August 10, 2016, under numbers 16/0062 F and 16/0063 M, by which the Syndicat des Casinos Modernes de France, the association of Casinos de France, and the association of Independent Casinos of France referred to the Competition Authority regarding practices implemented by La Française des Jeux in the scratch games sector and also requested the issuance of interim measures;</w:t>
        <w:br/>
        <w:t>Considering the letter registered on November 14, 2016, by which the Syndicat des Casinos Modernes de France, the association of Casinos de France, and the association of Independent Casinos of France submitted a supplementary referral against La Française des Jeux;</w:t>
        <w:br/>
        <w:t>Considering Book IV of the amended Commercial Code;</w:t>
        <w:br/>
        <w:t>Considering the observations presented by the Syndicat des Casinos Modernes de France, the association of Casinos de France, the association of Independent Casinos of France, and the Government Commissioner;</w:t>
        <w:br/>
        <w:t>Considering the other documents in the file;</w:t>
        <w:br/>
        <w:t>The reporting member, the deputy general reporter, the Government Commissioner, representatives of the Syndicat des Casinos Modernes de France, the association of Casinos de France, and the association of Independent Casinos of France, heard during the session of the Competition Authority on July 6, 2017.</w:t>
        <w:br/>
        <w:t>Adopts the following decision:</w:t>
      </w:r>
    </w:p>
    <w:p>
      <w:r>
        <w:t>Summary1:</w:t>
        <w:br/>
        <w:t>Three associations representing French casinos, the Syndicat des Casinos Modernes de France, the association of Casinos de France, and the association of Independent Casinos of France, referred to the Competition Authority regarding abusive practices that would have been implemented by La Française des Jeux ("FDJ") in the scratch games sector.</w:t>
        <w:br/>
        <w:t>They accused the FDJ of marketing scratch tickets borrowing from the graphic universe of machines, leading to confusion in the minds of players between the games it markets and those offered by casinos. They argued that the power held by the CEO of this company to create scratch games "outside of any legal control" constituted an automatic abuse of dominant position. Finally, they claimed that the FDJ marketed these scratch games under conditions violating public order, the protection of minors, and the fight against money laundering and the financing of terrorism.</w:t>
        <w:br/>
        <w:t>In the terms of the decision below, the Authority declares itself incompetent to rule on violations of public order, the protection of minors, and the fight against money laundering and the financing of terrorism, as well as to rule on the power granted to the CEO of the FDJ to create scratch games.</w:t>
        <w:br/>
        <w:t xml:space="preserve">Regarding the multiplication by the FDJ of scratch tickets borrowing from the graphic universe of slot machines, the Authority rejects the referral for lack of sufficiently probative elements. </w:t>
        <w:br/>
        <w:t>On the one hand, the applicants did not provide any elements that would challenge the market definitions retained by the decision-making practice and jurisprudence that distinguish the relevant market of games organized and marketed by the FDJ from the market of games offered in casinos.</w:t>
        <w:br/>
        <w:t>On the other hand, they did not provide any elements to establish the necessary connection to accuse the FDJ of implementing abusive behavior in a market, that of casino games, different from the market it dominates.</w:t>
        <w:br/>
        <w:t>The referral and the request for interim measures are therefore rejected.</w:t>
        <w:br/>
        <w:t>1 This summary is strictly informative. Only the reasons for the decision numbered below are authoritative.</w:t>
      </w:r>
    </w:p>
    <w:p>
      <w:r>
        <w:t>SUMMARY</w:t>
        <w:br/>
        <w:t>I. Findings .................................................................................... 4</w:t>
        <w:br/>
        <w:t>A. THE PROCEDURE ............................................................................................................................. 4</w:t>
        <w:br/>
        <w:t>B. THE SECTOR CONCERNED ............................................................................................................ 4</w:t>
        <w:br/>
        <w:t>1. THE LEGISLATIVE AND REGULATORY CONTEXT ............................................................... 4</w:t>
        <w:br/>
        <w:t>2. ACTIVITIES ORGANIZED BY LA FRANÇAISE DES JEUX ......................................................... 5</w:t>
        <w:br/>
        <w:t>3. ACTIVITIES ORGANIZED BY CASINOS .................................................................................. 5</w:t>
        <w:br/>
        <w:t>C. THE PARTIES CONCERNED ...................................................................................................... 6</w:t>
        <w:br/>
        <w:t>1. THE APPLICANTS .................................................................................................................... 6</w:t>
        <w:br/>
        <w:t>2. LA FRANÇAISE DES JEUX ..................................................................................................... 6</w:t>
        <w:br/>
        <w:t>D. THE CONDEMNED PRACTICES ................................................................................................... 6</w:t>
        <w:br/>
        <w:t>E. THE REQUEST FOR INTERIM MEASURES ............................................................................. 7</w:t>
        <w:br/>
        <w:t>II. Discussion ....................................................................................... 7</w:t>
        <w:br/>
        <w:t>A. ON THE COMPETENCE OF THE AUTHORITY ........................................................................ 8</w:t>
        <w:br/>
        <w:t>B. ON THE RELEVANT MARKETS ................................................................................................. 9</w:t>
        <w:br/>
        <w:t>C. ON THE POSITION OF THE FDJ IN THE RELEVANT MARKETS ........................................ 11</w:t>
        <w:br/>
        <w:t>D. ON THE CONDEMNED PRACTICES FALLING UNDER THE COMPETENCE OF</w:t>
        <w:br/>
        <w:t>THE AUTHORITY ........................................................................................................................................... 11</w:t>
        <w:br/>
        <w:t>III. Conclusion .................................................................................... 13</w:t>
        <w:br/>
        <w:t>DECISION ......................................................................................................................... 14</w:t>
      </w:r>
    </w:p>
    <w:p>
      <w:r>
        <w:rPr>
          <w:b/>
        </w:rPr>
        <w:t>[Pages 4–6]</w:t>
      </w:r>
    </w:p>
    <w:p>
      <w:r>
        <w:t>généralement, à celui des jeux de casino, la FDJ aurait induit en erreur les consommateurs en leur faisant croire qu'ils participaient à des jeux de casino, ce qui constituerait une concurrence déloyale à l'égard des casinos.</w:t>
      </w:r>
    </w:p>
    <w:p>
      <w:r>
        <w:t>27. Les saisissantes affirment que la FDJ a mis en place des stratégies de marketing visant à promouvoir ces jeux de grattage en les présentant comme des alternatives aux jeux de casino, ce qui aurait pour effet de détourner une partie de la clientèle des casinos vers ces produits.</w:t>
      </w:r>
    </w:p>
    <w:p>
      <w:r>
        <w:t>28. Elles soutiennent également que la FDJ, en raison de son statut de monopole, bénéficie d'un avantage concurrentiel injuste, lui permettant de proposer des jeux à des prix inférieurs à ceux des casinos, ce qui nuit à la viabilité économique de ces derniers.</w:t>
      </w:r>
    </w:p>
    <w:p>
      <w:r>
        <w:t>29. En conséquence, les saisissantes demandent à l'Autorité de la concurrence de constater ces pratiques anticoncurrentielles et de prendre les mesures nécessaires pour y mettre fin, y compris la mise en place de mesures conservatoires pour protéger les intérêts des casinos pendant la durée de l'instruction.</w:t>
      </w:r>
    </w:p>
    <w:p>
      <w:r>
        <w:t>30. Elles soulignent que la situation actuelle crée une distorsion de la concurrence sur le marché des jeux d'argent, nuisant non seulement aux casinos, mais également aux consommateurs qui pourraient être induits en erreur quant à la nature des jeux auxquels ils participent.</w:t>
      </w:r>
    </w:p>
    <w:p>
      <w:r>
        <w:rPr>
          <w:b/>
        </w:rPr>
        <w:t>[Pages 7–9]</w:t>
      </w:r>
    </w:p>
    <w:p>
      <w:r>
        <w:t>généralement, à celui du casino, la FDJ entretiendrait « sciemment » une confusion dans l’esprit des clients entre ces différents types de jeux (cote 916 et cotes 930 et suivantes). Une telle commercialisation serait constitutive d’une exploitation abusive par la FDJ de son monopole de commercialisation des jeux d’argent, en violation de l’article L. 420-2 du code de commerce.</w:t>
      </w:r>
    </w:p>
    <w:p>
      <w:r>
        <w:t>27. These practices would be aggravated by the "self-regulatory capacity" in the creation of games that the FDJ benefits from (reference 961). Indeed, the ability of its Chief Executive Officer to create games and to establish their regulations, which would be exercised according to the application "outside of any legal control," would constitute an automatic abuse of dominant position "organized by the State as the majority shareholder" of this company (reference 960).</w:t>
      </w:r>
    </w:p>
    <w:p>
      <w:r>
        <w:t>28. Finally, the applicants emphasize that the scratch tickets would be marketed by the FDJ in violation, on the one hand, of the legal imperatives for preserving public order in terms of protecting minors, combating money laundering, and financing terrorism, and, on the other hand, of the obligation to limit the supply of games (law no. 2010-476 of May 12, 2010, Article 3, I, references 916 and 919).</w:t>
      </w:r>
    </w:p>
    <w:p>
      <w:r>
        <w:t>E. REQUEST FOR CONSERVATORY MEASURES</w:t>
        <w:br/>
        <w:t>29. In addition to their main application, the applicants request from the Authority, based on Article L. 464-1 of the Commercial Code, the issuance of the following conservatory measures: “(...) to order the FDJ to immediately suspend the scratch games, their advertising, and the instruments of their marketing; to prohibit the FDJ from expanding its network to new sales points without limit; (...)” (reference 85).</w:t>
      </w:r>
    </w:p>
    <w:p>
      <w:r>
        <w:t>II. Discussion</w:t>
        <w:br/>
        <w:t>30. Article L. 462-8 of the Commercial Code provides that the Authority "may declare, by reasoned decision, the application inadmissible for lack of interest or standing of the applicant, or if the facts are time-barred within the meaning of Article L. 462-7, or if it considers that the facts invoked do not fall within its jurisdiction. It may also reject the application by reasoned decision when the facts invoked are not supported by sufficiently probative elements."</w:t>
      </w:r>
    </w:p>
    <w:p>
      <w:r>
        <w:t>31. Furthermore, Article R. 464-1 of the same code states that "the request for conservatory measures mentioned in Article L. 464-1 can only be made incidentally to a main application to the Competition Authority."</w:t>
      </w:r>
    </w:p>
    <w:p>
      <w:r>
        <w:t>32. The following will be examined successively in the subsequent developments:</w:t>
        <w:br/>
        <w:t>‐ the jurisdiction of the Authority (A),</w:t>
        <w:br/>
        <w:t>‐ the definition of the markets in question (B),</w:t>
        <w:br/>
        <w:t>‐ the position of the FDJ in these markets (C),</w:t>
        <w:br/>
        <w:t>‐ the existence of sufficiently probative elements supporting the alleged practices (D).</w:t>
      </w:r>
    </w:p>
    <w:p>
      <w:r>
        <w:t>A. ON THE JURISDICTION OF THE AUTHORITY</w:t>
        <w:br/>
        <w:t>33. Pursuant to Articles L. 462-1 and following of the Commercial Code, the Authority is competent to sanction anti-competitive practices. When it is seized of requests that do not fall within this jurisdiction, the Authority declares itself incompetent. This is particularly the case for requests for annulment of administrative acts or for the assessment of the legality of an act or administrative decision reflecting the exercise of public power prerogatives, which fall under the jurisdiction of the administrative court.</w:t>
      </w:r>
    </w:p>
    <w:p>
      <w:r>
        <w:t>34. In this case, the applicants argue that the actions of the FDJ constitute violations, some of which do not fall within the jurisdiction of the Authority.</w:t>
      </w:r>
    </w:p>
    <w:p>
      <w:r>
        <w:t>35. This is the case, on the one hand, for the violation of public order in terms of protecting minors, combating money laundering, and financing terrorism, and, on the other hand, for the failure to comply with the obligation to limit the supply of games, which would be elements of the alleged abuse of dominant position in the application.</w:t>
      </w:r>
    </w:p>
    <w:p>
      <w:r>
        <w:t>36. Furthermore, the applicants argue that the legal definition of the notion of lottery, extending the FDJ's monopoly to all gambling games, would allow it to market products whose operation is reserved for casino operators. However, it is not the Authority's responsibility to control the application of a legal provision defining the scope of the monopoly granted to a company.</w:t>
      </w:r>
    </w:p>
    <w:p>
      <w:r>
        <w:t>37. Moreover, the applicants argue that the ability of the Chief Executive Officer of the FDJ to "multiply" the creation of games would constitute an automatic abuse of dominant position. However, this question, which requires assessing the legality of a text governing the operation of the company that, even before its implementation, would generate abuse, falls under the jurisdiction of the administrative court. Indeed, the theory of automatic abuse of dominant position, stemming from European law, allows administrative courts to annul structurally abusive provisions: the annulment of the act implies that the concerned operator holds a dominant position in a market, whether by its own doing or at the initiative of a public authority, and above all, it must be demonstrated that it is the measure itself, and not the behavior of the operator in the market, that leads to the abusive exploitation of a dominant position (“The justification of practices by the existence of regulation,” France, OECD, February 14, 2011, points 44 and following). The Authority cannot rule on the claims of the applicants in this regard.</w:t>
      </w:r>
    </w:p>
    <w:p>
      <w:r>
        <w:t>38. On the other hand, the implementation of this ability, namely the excessive creation of scratch games by the Chief Executive Officer of the FDJ, which does not involve the exercise of public power prerogatives, falls, where applicable, under the jurisdiction of the Authority (Council of State ruling of October 15, 1999, Rolin, nos. 171169, 171170, 172384).</w:t>
      </w:r>
    </w:p>
    <w:p>
      <w:r>
        <w:t>39. It is therefore necessary to examine this behavior, as well as the other practices denounced by the applicants that fall under the jurisdiction of the Authority, after identifying and defining the relevant markets.</w:t>
      </w:r>
    </w:p>
    <w:p>
      <w:r>
        <w:t>B. ON THE RELEVANT MARKETS</w:t>
        <w:br/>
        <w:t>40. The Competition Council ("Council"), now Authority, identified two distinct markets in two decisions made in the gaming sector:</w:t>
        <w:br/>
        <w:t>‐ a market for games organized and marketed by the FDJ (which includes scratch games; decision no. 00-D-50 of March 5, 2001, concerning practices implemented by the FDJ in the sectors of IT maintenance and counter furniture);</w:t>
        <w:br/>
        <w:t>‐ a market for the operation of games in locally sized casinos (which includes slot machines; decision no. 05-D-20 of May 13, 2005, concerning a referral by the company Casino du Lac de la Magdeleine).</w:t>
      </w:r>
    </w:p>
    <w:p>
      <w:r>
        <w:t>41. The Council made this distinction between games marketed by the FDJ and those offered by casinos based on the specific distribution methods of the FDJ and casinos, as well as on demand behavior.</w:t>
      </w:r>
    </w:p>
    <w:p>
      <w:r>
        <w:t>42. Indeed, from the supply perspective, casino games offered only "in limited locations, within the gaming house and upon payment of a stamp duty" are consequently "unavailable in most of the territory." In contrast, FDJ games "being marketed in its 40,000 sales points, their availability throughout the national territory is perfectly assured" (previously mentioned decision no. 00-D-50).</w:t>
      </w:r>
    </w:p>
    <w:p>
      <w:r>
        <w:t>43. From the demand perspective, the sociological profile of players and the average bet amount lead to a distinction between different customer categories. In this regard, the Council noted that "two-thirds of the French population play FDJ games, which leads to a variety of psychological profiles of players that ultimately represent all categories of the population." It also highlighted the significant differences that exist between the average bets made by players depending on the type of game "the average bet for FDJ games being 30 francs, (...) and that for slot machines being 250 francs (...)” (previously mentioned decision no. 00-D-50).</w:t>
      </w:r>
    </w:p>
    <w:p>
      <w:r>
        <w:t>44. The Court of Cassation, confirming this analysis, added that the operators involved in these markets are governed by distinct legislative and regulatory provisions (ruling of June 5, 2013, appeal no. 12-86022).</w:t>
      </w:r>
    </w:p>
    <w:p>
      <w:r>
        <w:t>45. The applicants, on the contrary, argue that the scratch games offered by the FDJ and the slot machine games offered by casinos fall under a single and same market of gambling games of programmed chance with instant results (references 911, 913, 915, and 970).</w:t>
      </w:r>
    </w:p>
    <w:p>
      <w:r>
        <w:t>46. Programmed chance gambling games with instant results are defined, according to the applicants, as games whose winnings are predetermined for a given cycle of games and whose result is instant, as each player can know the winning or losing situation as soon as the bet is placed (reference 913). These games would be offered in the format of scratch games and slot machines.</w:t>
      </w:r>
    </w:p>
    <w:p>
      <w:r>
        <w:t>47. In support of their analysis, the applicants argue the comparable nature of the supply and demand for scratch games and slot machines.</w:t>
      </w:r>
    </w:p>
    <w:p>
      <w:r>
        <w:t>48. Nevertheless, they do not provide arguments capable of challenging the previously retained definition of the markets.</w:t>
      </w:r>
    </w:p>
    <w:p>
      <w:r>
        <w:rPr>
          <w:b/>
        </w:rPr>
        <w:t>[Pages 10–12]</w:t>
      </w:r>
    </w:p>
    <w:p>
      <w:r>
        <w:t>49. Indeed, from the perspective of supply, regarding distribution channels, the applicants claim that "every casino is surrounded by a dense area of FDJ scratch game points of sale" (reference 915).</w:t>
      </w:r>
    </w:p>
    <w:p>
      <w:r>
        <w:t>50. However, on the one hand, the location of casinos differs in many respects from that of FDJ points of sale. Indeed, FDJ points of sale are very numerous (31,100 points of sale available to the FDJ in 2016) and are spread throughout the territory (11,000 municipalities). In more than 6,700 municipalities, the FDJ is the only business in the village, thus presenting itself as the "first local network in France" (Annual Report, FDJ, 2016). In contrast, the distribution of casinos across French territory is heterogeneous. Due to the provisions governing their number and location, the 202 casinos present in France in 2015 are concentrated along the coast, in tourist resorts or spa towns, and are therefore unavailable in most of the national territory.</w:t>
      </w:r>
    </w:p>
    <w:p>
      <w:r>
        <w:t>51. On the other hand, unlike the FDJ's offering, the supply of slot machines is disparate across regions: thus, in 2015, the Atlas of the Gaming Observatory recorded a supply of 103 slot machines per 100,000 inhabitants in Normandy, 5.4 in Île-de-France, while no slot machines were available in the Centre region.</w:t>
      </w:r>
    </w:p>
    <w:p>
      <w:r>
        <w:t>52. As for the mode of distribution, purchasing a scratch ticket is not comparable to purchasing services from slot machines, particularly due to the marketing methods of FDJ tickets and the restrictive access conditions to casino premises (necessity to present an identity card, etc.).</w:t>
      </w:r>
    </w:p>
    <w:p>
      <w:r>
        <w:t>53. From the perspective of demand, regarding gaming practices, the applicants argue that the range of initial bets, the level of return rates, and the sociological profile of slot machine players and scratch ticket players are also comparable.</w:t>
      </w:r>
    </w:p>
    <w:p>
      <w:r>
        <w:t>54. However, concerning first the amount of the unit initial bet, while it represents, according to the applicants, between 1 and 5 euros for both types of games and reaches 40 euros per year for 50% of players, these amounts are used very differently. Indeed, the unit initial bet for slot machines can be repeated many times during a single visit to the casino to reach 40 euros, given that casino attendance is often only occasional. Conversely, scratch ticket players can multiply their opportunities to play over a year and spread the annual amount of their gaming expenses, thus reducing the amount of spending per occasion. This difference in frequency is noted by the Gaming Observatory, which indicates that in 2014, 32.5% of French people aged 15 to 75 played at least once in the last twelve months on a scratch game, while only 5.4% of French people aged 15 to 75 played at least once in the last twelve months on slot machines. The frequency of these two types of games is therefore very different (Notes from the Gaming Observatory no. 6, April 2015).</w:t>
      </w:r>
    </w:p>
    <w:p>
      <w:r>
        <w:t>55. Furthermore, the circumstance highlighted by the applicants that the return rate of slot machines and scratch games would be quite close - the return rate of slot machines cannot be less than 85% according to Article R. 321-17 of the CSI, and that of scratch games oscillating, according to the applicants, between 63 and 73.50% - does not lead to the conclusion, by itself, that they belong to the same market.</w:t>
      </w:r>
    </w:p>
    <w:p>
      <w:r>
        <w:t>56. As a subsidiary point, casino players and scratch game players have different sociological profiles. In this regard, the Gaming Observatory indicated that in 2014 "executives, artisans, and business leaders engage more in casino games (respectively 21.0% and 13.7% of users of these games are executives or artisans/business leaders who represent only 12.9% and 6.3% of all players)" while "[l]owly educated players (below high school diploma) are more likely to be horse bettors and scratch ticket buyers (they represent 69.3% and 59.4% of practitioners of these games vs. 55.4% among all players), they are less concerned with sports betting, poker, slot machines, and casino games (they represent respectively 50.3%, 47.4%, 42.9%, and 36.5% of practitioners of these games)" (Notes from the Gaming Observatory no. 6, April 2015). The Senate's information report on gambling and gaming in France had already noted these sociological distinctions by indicating that the clientele of casinos and the FDJ differ in terms of betting scales, motivations, and the more or less addictive nature of their behavior (Information Report by Mr. François TRUCY, presented on behalf of the Finance Committee no. 223, "Gambling and Gaming in France: The State as Croupier, the Parliament as a Lackey?" p. 179 and annex 5 p. 29, 2001/2002).</w:t>
      </w:r>
    </w:p>
    <w:p>
      <w:r>
        <w:t>57. The applicants therefore provide no evidence that would challenge the market definitions retained by decision-making practice and jurisprudence that distinguish the relevant market of games organized and marketed by the FDJ from the market of games offered in casinos.</w:t>
      </w:r>
    </w:p>
    <w:p>
      <w:r>
        <w:t>C. ON THE POSITION OF THE FDJ IN THE RELEVANT MARKETS</w:t>
        <w:br/>
        <w:t>58. As the Authority recalled, "jurisprudence, both domestic and community, defines a dominant position as the situation in which a company is able to act independently of market conditions and to act fairly freely without taking into account the behavior and reactions of its competitors" (Annual Report of the Competition Authority for the year 2010, page 239, citing as a recent French reference decisions no. 10-D-02 of January 14, 2010, concerning practices implemented in the low molecular weight heparins sector and no. 10-D-39 of December 22, 2010, concerning practices implemented in the vertical road signage sector).</w:t>
      </w:r>
    </w:p>
    <w:p>
      <w:r>
        <w:t>59. In this case, by way of derogation from the general principle prohibiting the organization of lotteries and games of chance, the FDJ has been entrusted with the organization and operation of lottery games, bets on sporting events, and games of chance, among which are scratch games.</w:t>
      </w:r>
    </w:p>
    <w:p>
      <w:r>
        <w:t>60. It follows that the FDJ has a monopoly on the games it markets, which, as demonstrated, constitute a relevant market in themselves.</w:t>
      </w:r>
    </w:p>
    <w:p>
      <w:r>
        <w:t>D. ON THE ALLEGED PRACTICES FALLING UNDER THE AUTHORITY'S JURISDICTION</w:t>
        <w:br/>
        <w:t>61. Before assessing whether, based on the elements presented in the debates, the practices alleged in the main proceedings and referred to in the request for interim measures are supported by sufficient evidence, it is necessary to preliminarily examine the possibility of characterizing an abuse from the monopoly market to a distinct market.</w:t>
      </w:r>
    </w:p>
    <w:p>
      <w:r>
        <w:t>62. Indeed, the FDJ does not operate in the market constituted by activities reserved for casinos, a distinct market on which the alleged practices are implemented.</w:t>
      </w:r>
    </w:p>
    <w:p>
      <w:r>
        <w:t>63. Nevertheless, the Authority considers that "jurisprudence, both community and national, admits that a dominant company in a given market can be reproached for an abuse whose effects affect other markets, provided that its behavior has a causal link with its dominant position and that the market on which it is held and those on which the abuse unfolds its effects are sufficiently connected" (decision no. 17-D-08 of June 1, 2017, concerning practices implemented in the passenger transport sector, para. 107).</w:t>
      </w:r>
    </w:p>
    <w:p>
      <w:r>
        <w:t>64. A connection may notably result from certain common characteristics of the concerned markets, such as the identity of suppliers, the identity of demanders, or the identity of functioning (see notably decision no. 04-D-32 of July 8, 2004, concerning the referral of the company More groupe France against the practices of the Decaux group, confirmed by a ruling of the CA of February 22, 2005; decision no. 03-D-09 of February 14, 2003, concerning the referral of the company Tuxedo against practices observed in the press distribution market in the airport public domain; decision no. 03-D-01 of January 14, 2003, concerning the behavior of companies in the Air Liquide group in the medical gases sector). Furthermore, vertical integration between the two markets or the strategy of the dominant company itself may also establish a connection between the two markets (see notably decision no. 00-D-50 cited above).</w:t>
      </w:r>
    </w:p>
    <w:p>
      <w:r>
        <w:t>65. In this case, it should first be noted that the fact that the concerned markets both belong to the gambling and chance sector does not necessarily make them connected.</w:t>
      </w:r>
    </w:p>
    <w:p>
      <w:r>
        <w:t>66. However, there cannot be an identity of suppliers in the two concerned markets since the FDJ and casinos only operate in the market that has been respectively reserved for them. Moreover, as previously indicated, each of the concerned markets attracts demanders with largely distinct profiles whose behaviors are not comparable. Furthermore, the functioning of these markets, whose distribution is organized in radically different ways, does not allow for the characterization of a connection. Additionally, no vertical integration between the two markets can be noted in this case.</w:t>
      </w:r>
    </w:p>
    <w:p>
      <w:r>
        <w:t>67. Regarding the FDJ's strategy, the applicants allege but do not demonstrate that this company has multiplied its offering in order to absorb slot machine players. In this regard, a report recently dedicated to the gambling and chance sector by the Court of Auditors attributes the decline in attendance and the GGR of casinos to the smoking ban in public places and the development of online gaming (see the Court of Auditors report of October 2016, "the regulation of gambling and chance").</w:t>
      </w:r>
    </w:p>
    <w:p>
      <w:r>
        <w:t>68. Since the applicants provide no sufficiently probative evidence to establish a connection between the concerned markets, it is appropriate, without it being useful to examine the alleged practices, to reject the application.</w:t>
      </w:r>
    </w:p>
    <w:p>
      <w:r>
        <w:rPr>
          <w:b/>
        </w:rPr>
        <w:t>[Pages 13–14]</w:t>
      </w:r>
    </w:p>
    <w:p>
      <w:r>
        <w:t>III. Conclusion</w:t>
        <w:br/>
        <w:t>69. Some of the practices invoked by the applicants do not fall within the jurisdiction of the Authority. The application must therefore be declared inadmissible pursuant to Article L. 462-8, first paragraph of the Commercial Code, insofar as it concerns these practices.</w:t>
        <w:br/>
        <w:t>70. As for the practices denounced that do indeed fall within the jurisdiction of the Authority, they are not supported by sufficiently probative elements to substantiate the existence of practices likely to hinder the free play of competition.</w:t>
        <w:br/>
        <w:t>71. It is therefore appropriate, in the current state of the file, to apply the provisions of Article L. 462-8 of the Commercial Code, declaring the application registered under number 16/0062 F inadmissible, rejecting it on the merits for the remainder, and consequently rejecting the request for interim measures registered under number 16/0063 M.</w:t>
      </w:r>
    </w:p>
    <w:p>
      <w:r>
        <w:t>DECISION</w:t>
        <w:br/>
        <w:t>Article 1: The application of the Syndicat des Casinos Modernes de France, the association of Casinos de France, and the association of Casinos Indépendants de France registered under number 16/0062 F is declared inadmissible regarding the points mentioned in paragraphs 27 - 28 and is rejected for the remainder.</w:t>
        <w:br/>
        <w:t>Article 2: The request for interim measures from the Syndicat des Casinos Modernes de France, the association of Casinos de France, and the association of Casinos Indépendants de France registered under number 16/0063 M is rejected.</w:t>
        <w:br/>
        <w:t>Deliberated on the oral report of Ms. Emilie Baronnat, rapporteur, and the oral intervention of Mr. Nicolas Deffieux, deputy general rapporteur, by Ms. Claire Favre, vice-president, chair of the session, Ms. Séverine Larere and Ms. Chantal Chomel, members.</w:t>
        <w:br/>
        <w:t>The session secretary, The chair of the session,</w:t>
        <w:br/>
        <w:t>Claire Villeval Claire Favre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