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https://www.autoritedelaconcurrence.fr/fr/decision/relative-des-pratiques-mises-en-oeuvre-par-la-regie-municipale-des-pompes-funebres-de</w:t>
      </w:r>
    </w:p>
    <w:p>
      <w:r>
        <w:t>Pages translated : 1</w:t>
      </w:r>
    </w:p>
    <w:p/>
    <w:p>
      <w:r>
        <w:rPr>
          <w:b/>
        </w:rPr>
        <w:t>[Pages 1–1]</w:t>
      </w:r>
    </w:p>
    <w:p>
      <w:r>
        <w:t xml:space="preserve">COMPETITION COUNCIL  </w:t>
        <w:br/>
        <w:t xml:space="preserve">Decision No. 01-D-80 of December 13, 2001  </w:t>
        <w:br/>
        <w:t xml:space="preserve">regarding practices implemented by  </w:t>
        <w:br/>
        <w:t xml:space="preserve">the Municipal Funeral Services of Toulouse  </w:t>
        <w:br/>
        <w:t xml:space="preserve">The Competition Council (Section I),  </w:t>
        <w:br/>
        <w:t xml:space="preserve">Having regard to the letter registered on October 7, 1998, under number F 1087, by which the company Pompes funèbres générales Sud-Ouest, now SA OGF, referred the Competition Council to practices implemented by the Municipal Funeral Services of Toulouse;  </w:t>
        <w:br/>
        <w:t xml:space="preserve">Having regard to Book IV of the Commercial Code and the amended Decree No. 86-1309 of December 29, 1986, setting the conditions for the application of Ordinance No. 86-1243 of December 1, 1986;  </w:t>
        <w:br/>
        <w:t xml:space="preserve">Having regard to the observations presented by the company OGF as well as by the Government Commissioner;  </w:t>
        <w:br/>
        <w:t xml:space="preserve">Having regard to the other documents in the file;  </w:t>
        <w:br/>
        <w:t xml:space="preserve">The rapporteur, the Deputy General Rapporteur, the Government Commissioner, and the representative of the company OGF heard during the session of November 13, 2001;  </w:t>
        <w:br/>
        <w:t xml:space="preserve">Considering that the elements collected, in the state of the file, do not sufficiently clarify the Council on the object and effect of the practices denounced; that in these conditions, it is appropriate to defer ruling in order to proceed with a supplementary investigation;  </w:t>
        <w:br/>
        <w:t xml:space="preserve">Decides  </w:t>
        <w:br/>
        <w:t xml:space="preserve">Single Article - Ruling on referral F 1087 is deferred.  </w:t>
        <w:br/>
        <w:t xml:space="preserve">Deliberated on the report of Mr. Avignon, by Mr. Nasse, Vice-President, presiding over the session, Ms. Mader-Saussaye, Ms. Mouillard, Ms. Perrot, Mr. Bidaud, Mr. Charrière-Bournazel, and Mr. Lasserre, members.  </w:t>
        <w:br/>
        <w:t xml:space="preserve">The Secretary of the Session, The Vice-President,  </w:t>
        <w:br/>
        <w:t xml:space="preserve">Thierry Poncelet Philippe Nasse  </w:t>
        <w:br/>
        <w:t>© Competition Council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