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https://www.autoritedelaconcurrence.fr/fr/decision/relative-des-pratiques-mises-en-oeuvre-par-la-sacd</w:t>
      </w:r>
    </w:p>
    <w:p>
      <w:r>
        <w:t>Pages translated : 10</w:t>
      </w:r>
    </w:p>
    <w:p/>
    <w:p>
      <w:r>
        <w:rPr>
          <w:b/>
        </w:rPr>
        <w:t>[Pages 1–3]</w:t>
      </w:r>
    </w:p>
    <w:p>
      <w:r>
        <w:t>FRENCH REPUBLIC</w:t>
        <w:br/>
        <w:t>Decision No. 17-D-05 of March 10, 2017</w:t>
        <w:br/>
        <w:t>regarding practices implemented by SACD</w:t>
        <w:br/>
        <w:t>The Competition Authority (Vice-President ruling alone),</w:t>
        <w:br/>
        <w:t>Having regard to the letter, registered on February 19, 2016 under number 16/0016 F, by which the Société Civile des Éditeurs de Langue Française (SCELF) referred to the Competition Authority practices deemed anti-competitive implemented by the Société des Auteurs et Compositeurs Dramatiques (SACD);</w:t>
        <w:br/>
        <w:t>Having regard to Article 102 of the Treaty on the Functioning of the European Union;</w:t>
        <w:br/>
        <w:t>Having regard to Book IV of the Commercial Code;</w:t>
        <w:br/>
        <w:t>Having regard to Decision No. 17-JU-01 of January 19, 2017, by which the President of the Competition Authority designated, based on the last paragraph of Article L. 461-3 of the Commercial Code, Mr. Emmanuel Combe, Vice-President, to adopt alone the decision to be rendered on the above-mentioned referral;</w:t>
        <w:br/>
        <w:t>Having regard to the other documents in the file;</w:t>
        <w:br/>
        <w:t>The rapporteur, the deputy rapporteur general, and the representative of the Société Civile des Éditeurs de Langue Française having been heard during the session of the Competition Authority on February 21, 2017, and the Government Commissioner having been regularly summoned;</w:t>
        <w:br/>
        <w:t>Adopts the following decision:</w:t>
      </w:r>
    </w:p>
    <w:p>
      <w:r>
        <w:t>SUMMARY</w:t>
        <w:br/>
        <w:t>I. Findings…. ................................................................................... 3</w:t>
        <w:br/>
        <w:t>A. THE SECTOR AND THE COMPANIES CONCERNED ..................................................................... 3</w:t>
        <w:br/>
        <w:t>1. THE COLLECTIVE MANAGEMENT OF COPYRIGHTS ....................................................... 3</w:t>
        <w:br/>
        <w:t>2. THE SOCIETIES FOR THE COLLECTION AND DISTRIBUTION OF RIGHTS ................................. 3</w:t>
        <w:br/>
        <w:t>3. THE MECHANISMS FOR THE DISTRIBUTION OF COPYRIGHTS FOR ADAPTATION WORKS DERIVED FROM PRE-EXISTING WORKS .......................................................... 4</w:t>
        <w:br/>
        <w:t>B. THE PRACTICES REPORTED .......................................................................................................... 5</w:t>
        <w:br/>
        <w:t>II. Discussion…………………………………………………………...6</w:t>
        <w:br/>
        <w:t>A. DEFINITION OF THE RELEVANT MARKET AND SACD'S POSITION IN THIS MARKET ... 7</w:t>
        <w:br/>
        <w:t>B. ON THE ANALYSIS OF THE PRACTICES REPORTED BY SCELF............................................ 7</w:t>
        <w:br/>
        <w:t>a) On the practice of disparagement .............................................................................. 7</w:t>
        <w:br/>
        <w:t>The applicable principles ........................................................................................... 7</w:t>
        <w:br/>
        <w:t>Application to the case at hand ................................................................................... 8</w:t>
        <w:br/>
        <w:t>b) On the pressures exerted by SACD on France Télévisions ....................... 10</w:t>
        <w:br/>
        <w:t>C. CONCLUSION ...................................................................................................................................... 10</w:t>
      </w:r>
    </w:p>
    <w:p>
      <w:r>
        <w:t>I. Findings</w:t>
        <w:br/>
        <w:t>1. The practices reported by the referring party, the Société Civile des Éditeurs de Langue Française, relate to the collective management of copyright for literary works.</w:t>
        <w:br/>
        <w:t>A. THE SECTOR AND THE COMPANIES CONCERNED</w:t>
        <w:br/>
        <w:t>1. THE COLLECTIVE MANAGEMENT OF COPYRIGHTS</w:t>
        <w:br/>
        <w:t>2. According to Article L. 111-1 of the Intellectual Property Code, "the author of a work of the mind enjoys, by the mere fact of its creation, an exclusive incorporeal property right that is enforceable against all. This right includes attributes of an intellectual and moral nature as well as attributes of a patrimonial nature (...)". Article L. 121-1 of the same code states that "the author enjoys the right to respect for his name, his quality, and his work. This right is attached to his person. It is perpetual, inalienable, and imprescriptible (...)".</w:t>
        <w:br/>
        <w:t>3. Under the patrimonial rights, Article L. 122-1 of the aforementioned code indicates that the exploitation right belonging to the author includes the right of representation, defined as "a communication of the work to the public by any means" (Article L. 122-2), and the right of reproduction, defined as a "material fixation of the work by any means that allows it to be communicated to the public in an indirect manner" (Article L. 122-3).</w:t>
        <w:br/>
        <w:t>4. These rights may be the subject of an assignment by written contract, some of which are governed by the Intellectual Property Code.</w:t>
        <w:br/>
        <w:t>5. Article L. 132-18 of this code provides a general regime for the right of representation that allows for collective management of copyright as an alternative to individual management.</w:t>
        <w:br/>
        <w:t>6. In this regard, a report submitted to the President of the National Center for Cinema and the Animated Image specified that "collective management can be defined as an organizational system in which authors entrust civil societies to which they belong the responsibility of collecting from users of their works royalties intended to fulfill their patrimonial rights. (...) Collective management is characterized by the uniformity of the base and the rate of royalties and the de facto quasi-monopoly enjoyed by the [societies for the collection and distribution of rights]. It thus departs from the individual management implemented by producers with respect to their authors" (emphasis added) ("The Law of Authors in the Cinematographic Field: Costs, Revenues, and Transparency," report of December 2008 written by René Bonnell).</w:t>
        <w:br/>
        <w:t>2. THE SOCIETIES FOR THE COLLECTION AND DISTRIBUTION OF RIGHTS</w:t>
        <w:br/>
        <w:t>7. The collective management of patrimonial rights can be entrusted to civil societies for the collection and distribution of rights such as the Société Civile des Éditeurs de Langue Française ("SCELF"), the referring society, and the Société des Auteurs et Compositeurs Dramatiques ("SACD"), the society implicated in the present procedure.</w:t>
        <w:br/>
        <w:t>8. SCELF was created by literary publishers in 1960 and is mandated by them to collect the rights generated by the multiple forms of adaptation derived from the works of the authors they represent.</w:t>
      </w:r>
    </w:p>
    <w:p>
      <w:r>
        <w:rPr>
          <w:b/>
        </w:rPr>
        <w:t>[Pages 4–6]</w:t>
      </w:r>
    </w:p>
    <w:p>
      <w:r>
        <w:t>represent. It now brings together nearly 300 publishers. SCELF generates an average turnover of 7 million euros per year and employs 3 staff members.</w:t>
      </w:r>
    </w:p>
    <w:p>
      <w:r>
        <w:t>9. SACD is the oldest authors' society. Its mission is to collect and distribute the rights of its 40,000 members who work in live performance and audiovisual sectors—mainly directors, screenwriters, writers, and playwrights.</w:t>
      </w:r>
    </w:p>
    <w:p>
      <w:r>
        <w:t>3. MECHANISMS FOR DISTRIBUTING COPYRIGHTS OF ADAPTATION WORKS DERIVED FROM PRE-EXISTING WORKS</w:t>
      </w:r>
    </w:p>
    <w:p>
      <w:r>
        <w:t>10. Traditionally, the exploitation rights of literary works are held by publishers, who are the assignees of the copyrights of said works.</w:t>
      </w:r>
    </w:p>
    <w:p>
      <w:r>
        <w:t>11. When producers of a film or an animated series wish to adapt a pre-existing literary work, it is their responsibility to request the assignment of adaptation rights from the publisher of that work. This negotiation occurs prior to the various contracts signed later between the producer and other contributors to the audiovisual work—particularly the screenwriters.</w:t>
      </w:r>
    </w:p>
    <w:p>
      <w:r>
        <w:t>12. Furthermore, the broadcasting of adapted audiovisual works generates broadcasting rights, which are intended to be collected and then redistributed among the co-authors of the work concerned. SCELF has entered into agreements with SACD for several years allowing the latter to represent it in order to collect on its behalf, from various broadcasters, and notably television channels, the share of rights and private copying royalties, both sound and audiovisual, owed to the authors of the literary works adapted in audiovisual form.</w:t>
      </w:r>
    </w:p>
    <w:p>
      <w:r>
        <w:t>13. SCELF indicates that it is "the size of its structure (three employees) and its limited means and resources" that lead it, for this mission, to rely on SACD. The latter, under this mandate, deducts a fee from the amounts it returns to SCELF. Finally, SCELF pays the amount of royalties due for each protected work to the publishers, who ultimately redistribute to the concerned literary authors the share that belongs to them, as shown in the diagram below.</w:t>
      </w:r>
    </w:p>
    <w:p>
      <w:r>
        <w:t>Diagram: current mechanism for the collection and distribution of broadcasting rights derived from an audiovisual work adapted from a pre-existing literary work</w:t>
      </w:r>
    </w:p>
    <w:p>
      <w:r>
        <w:t>14. As for works adapted from pre-existing literary works, SCELF indicates that "the internal scale of SACD (accepted by its members) provides that out of the total envelope of broadcasting rights (100%), the rights are distributed as follows":</w:t>
        <w:br/>
        <w:t>- 10% goes to the author of the "bible" (the original reference document and foundational element of an audiovisual series that provides the essential permanent elements for the development of the series);</w:t>
        <w:br/>
        <w:t>- 90% is divided between, on the one hand, the director and, on the other hand, the screenwriter and the publisher who is the assignee of the rights of the pre-existing literary work.</w:t>
      </w:r>
    </w:p>
    <w:p>
      <w:r>
        <w:t>15. The sharing of amounts between the screenwriter and the author of the pre-existing literary work (or their publisher) does not have a fixed distribution key but results from a negotiation between the parties. Moreover, a new trend is observed in the market, consisting of including the distribution key of rights between the author of the literary work and the screenwriter in the adaptation contract signed prior to the audiovisual creation between the publisher and the producer.</w:t>
      </w:r>
    </w:p>
    <w:p>
      <w:r>
        <w:t>B. THE PRACTICES REPORTED</w:t>
      </w:r>
    </w:p>
    <w:p>
      <w:r>
        <w:t>16. By a letter dated February 19, 2016, SCELF referred to the Authority practices of abuse of dominant position by SACD. It argues that "SACD has violated the provisions of Article L. 420-2 of the Commercial Code by conducting a campaign of disparagement and pressure aimed at discrediting publishers and adaptation works" (reference 16).</w:t>
      </w:r>
    </w:p>
    <w:p>
      <w:r>
        <w:t>17. In July 2014, during the negotiations of the new memorandum of understanding between SACD and SCELF (see paragraph 12 above), the Permanent Observatory of Audiovisual Contracts, an offshoot of SACD, published a study on the animation sector which highlighted the strong performance of the activity but warned against an increase in adaptations.</w:t>
      </w:r>
    </w:p>
    <w:p>
      <w:r>
        <w:t>18. Indeed, the examination of the sector conducted by the Observatory revealed that "out of 18 new animation series declared on historical channels in 2012, 13 are adaptations. Adapted series represent 67% of the airtime of animation works broadcast on historical channels in 2012. And among the historical broadcasters, it is paradoxically the public service, France Télévisions, that favors original creation the least: 81.3% adaptations for France 3 and 75.7% adaptations for France 5 compared to 49.8% for TF1 and 59.3% for M6." Relying on this data, SACD denounced what it then termed the "worrying progression" of adaptations of animated series derived from pre-existing works, to the detriment of original creations, and the "dangerous reliance on adaptations," lamenting that France Télévisions "exaggerates the preference for adaptations," and that "such a policy penalizes the remuneration of authors, since a portion of the copyright belongs to the author of the original work" (reference 10).</w:t>
      </w:r>
    </w:p>
    <w:p>
      <w:r>
        <w:t>19. Furthermore, in a letter addressed in February 2015 to the union of animation film producers ("SPFA"), SACD regretted "the multiplication of audiovisual production contracts in which the SACD distribution keys between the rights holder of a pre-existing work (often literary publishers) and the author of the adaptation are provided." According to it, "[a]t the time of signing contracts, the author is most often in a position of weakness, which makes it very difficult for them to refuse the conditions that are increasingly often imposed on them. This situation is both shocking, illogical, and at least legally questionable. Illogical in that the work does not exist at the time the contract is concluded, it is unclear what criteria could establish ab initio an objective sharing, which hypothetically cannot take into account the actual conditions of creation of the works and the contribution of each co-author." Considering that "[a]ny stipulation of a sharing of rights outside the declaration form—in the absence of keys set in an interprofessional agreement approved by all parties—occurs in disregard of the rules of collective management (...)," SACD called on SPFA to put an end to these practices.</w:t>
      </w:r>
    </w:p>
    <w:p>
      <w:r>
        <w:t>20. According to SCELF, SACD thus conducted a campaign of disparagement in the media and among major players in the sector aimed at reducing the share of audiovisual animation works adapted from pre-existing literary works on television and preserving the remuneration of authors of the audiovisual work (members of SACD), to the detriment of that of the authors of the written work and their publishers (members of SCELF). Moreover, SCELF feared that this campaign served a "more global objective" consisting of "ousting publishers from the market for the collection of broadcasting rights and ensuring that authors desert SCELF to join SACD directly" (reference 10).</w:t>
      </w:r>
    </w:p>
    <w:p>
      <w:r>
        <w:t>II. Discussion</w:t>
      </w:r>
    </w:p>
    <w:p>
      <w:r>
        <w:t>21. Article L. 462-8 of the Commercial Code provides that the Authority may "reject the referral by reasoned decision when the facts invoked are not supported by sufficiently probative elements."</w:t>
      </w:r>
    </w:p>
    <w:p>
      <w:r>
        <w:rPr>
          <w:b/>
        </w:rPr>
        <w:t>[Pages 7–9]</w:t>
      </w:r>
    </w:p>
    <w:p>
      <w:r>
        <w:t xml:space="preserve">A. DEFINITION OF THE RELEVANT MARKET AND THE POSITION OF SACD IN THIS MARKET  </w:t>
        <w:br/>
        <w:t xml:space="preserve">22. The Competition Council, now the Authority, has already ruled on the contours of the relevant markets in the sector of collective management of copyright.  </w:t>
        <w:br/>
        <w:t xml:space="preserve">23. In 2001, the Council identified a "market for the collection and distribution of copyright for dramatic works in television" (decision no. 01-D-22 of May 9, 2001, concerning practices implemented by the Society of Dramatic Authors and Composers).  </w:t>
        <w:br/>
        <w:t xml:space="preserve">24. In a subsequent decision, which also concerned SACD, the Council specified that "in the relationship between a collective management society and the author, the relevant market to consider is not the management of the repertoire in its entirety, but the provision of management services for a category of rights attached to this repertoire" (decision no. 05-D-16 of April 26, 2005, concerning practices implemented by the Society of Dramatic Authors and Composers). Consequently, it distinguished the market for managing rights of theatrical works from that of managing rights of audiovisual works.  </w:t>
        <w:br/>
        <w:t xml:space="preserve">25. Regarding audiovisual broadcasting rights, several collective management societies, including SACD (for audiovisual fictions and animations) and SACEM (for the musical adaptation of certain literary works), and SCAM (for documentaries) participate in a system of collective negotiations with each of the broadcasters. These negotiations result in a general agreement that provides for a global royalty rate for all collective management societies based on the broadcasters' turnover, with the obligation for them to distribute the revenues. Each of these collective management societies then redistributes the share of revenues corresponding to each work based on the airtime that concerns it.  </w:t>
        <w:br/>
        <w:t xml:space="preserve">26. Thus, except for exceptional commercial leverage, an individual author is not able to negotiate directly with broadcasters to obtain a separate payment for their rights, outside of the general agreement. Therefore, to recover their television rights, authors have no real choice but to join SACD, which thus finds itself in a position of de facto monopoly.  </w:t>
        <w:br/>
        <w:t xml:space="preserve">27. In this case, the practices reported would be confined to audiovisual animation works intended for television. However, a more precise definition of the market is not necessary as the Council has repeatedly noted, for reasons that remain valid, that SACD holds a de facto monopoly in the market for managing copyright of audiovisual works.  </w:t>
        <w:br/>
        <w:t xml:space="preserve">B. ON THE ANALYSIS OF THE PRACTICES REPORTED BY SCELF  </w:t>
        <w:br/>
        <w:t xml:space="preserve">28. According to SCELF, SACD would have implemented abusive practices by conducting a smear campaign aimed at discrediting "publishers and adaptation works" (a) and by exerting pressure on certain broadcasters, including France Télévisions (b).  </w:t>
        <w:br/>
        <w:t xml:space="preserve">a) On the practice of disparagement  </w:t>
        <w:br/>
        <w:t xml:space="preserve">The applicable principles  </w:t>
        <w:br/>
        <w:t xml:space="preserve">29. According to case law, disparagement consists of publicly discrediting a person, product, or identified service. It differs from criticism in that it emanates from an economic actor seeking to gain a competitive advantage by penalizing its competitor (see in particular the decision of the Competition Authority no. 13-D-21 of December 18, 2013, concerning practices implemented in the French market for high-dose buprenorphine marketed in the city, paragraph 454, confirmed by the ruling of the Paris Court of Appeal of March 26, 2015, Reckitt Benckiser PLC, no. 2014/03330). Disparagement can be qualified as an abuse of a dominant position if it aims to oust an existing or potential competitor from the market or to prevent them from entering the market. Moreover, there must be a link between the company's dominance and its behavior (ruling of the Paris Court of Appeal of March 23, 2010, Gaz et électricité de Grenoble, no. 2009/09599).  </w:t>
        <w:br/>
        <w:t xml:space="preserve">30. To assess the existence of a disparagement practice, the Authority focuses on whether the commercial discourse of its author is based on objective and verifiable findings or whether it consists of unverified assertions.  </w:t>
        <w:br/>
        <w:t xml:space="preserve">31. The Authority also bases its analysis on commercial case law regarding disparagement (see in particular the decision of the Competition Authority no. 12-D-19 of September 26, 2012, concerning practices in the teeth whitening and lightening sector, paragraph 94 et seq.). Thus, media statements that are moderate in form and constitute a critical assessment of a competitor's commercial policy do not constitute wrongful disparagement practices (ruling of the Paris Court of Appeal of November 24, 2004). In its decision no. 10-D-32 of November 16, 2010, concerning practices implemented in the pay television sector, the Authority considered that a vigorous discourse, reflecting normal rivalry between companies, does not fall under disparagement.  </w:t>
        <w:br/>
        <w:t xml:space="preserve">Application to the case at hand  </w:t>
        <w:br/>
        <w:t xml:space="preserve">32. In this case, SACD holds a de facto monopoly in the market for the collection and distribution of copyright for dramatic works in television since it is the only one able to negotiate effectively with broadcasters to obtain the best agreement on royalties paid to authors of the works broadcast.  </w:t>
        <w:br/>
        <w:t xml:space="preserve">33. SCELF, whose size and resources are more modest, mandates SACD to represent it in this market so that it negotiates with broadcasters and collects the television rights due for adaptations of literary works assigned to the publishers it represents.  </w:t>
        <w:br/>
        <w:t xml:space="preserve">34. The communication policy of SACD is therefore not aimed at ousting SCELF from a market in which the latter is not present and where, according to the elements provided in support of the referral, it has not expressed its willingness to enter to compete with SACD.  </w:t>
        <w:br/>
        <w:t xml:space="preserve">35. Furthermore, the elements provided in support of this referral are insufficient to substantiate SCELF's allegations regarding the existence of an abusive disparagement practice.  </w:t>
        <w:br/>
        <w:t xml:space="preserve">36. Firstly, the Authority notes that the main documents produced by the complainant in support of the alleged disparagement do not explicitly mention either SCELF or the publishers. Indeed, the excerpt from the SACD magazine "Auteurs" from 2015 and the permanent observatory of audiovisual contracts from SACD in 2014 simply state the increasing reliance on adaptation works to the detriment of original creations and lament this. These documents provide an assessment of the policy implemented by broadcasters, including France Télévisions, but do not mention or criticize SCELF or the publishers it represents. Similarly, the press articles provided in support of the referral merely transcribe the reactions that SACD's position has elicited from SCELF. Thus, upon reading the documents attached to the referral, SCELF and the publishers do not appear to be targeted by the denounced statements.  </w:t>
        <w:br/>
        <w:t xml:space="preserve">37. Secondly, the documents provided by SCELF in support of its referral are insufficient to substantiate the lack of objectivity and the disparaging nature of the statements made by SACD.  </w:t>
        <w:br/>
        <w:t xml:space="preserve">38. On the one hand, SCELF's referral reproduces the press release that summarizes the findings of the permanent observatory of audiovisual contracts of SACD from 2014. It notably specifies that "out of 18 new animation series declared on historical channels in 2012, 13 are adaptations. Adapted series represent 67% of the airtime of animation works broadcast on historical channels in 2012. And among the historical broadcasters, it is paradoxically the public service, France Télévisions, that favors original creation the least: 81.3% adaptations for France 3 and 75.7% adaptations for France 5 against 49.8% for TF1 and 59.3% for M6." These statistics highlight the significant proportion that adaptations represent in the animation sector for television in recent years. However, neither the referral nor the statements made by SCELF in the session call into question the objectivity of the figures and information on which SACD bases its positions.  </w:t>
        <w:br/>
        <w:t xml:space="preserve">39. On the other hand, in light of the figures recalled previously and not contested by SCELF, the vocabulary used by SACD to denounce the "drift" that the "dangerous reliance on adaptations" constitutes, operated in a "more pronounced" manner by the channels of the France Télévisions group which justify their choice in view of the "potential success" of adaptations, as it is a "less costly option compared to creating a new project" whose "development [is] less long," does not exceed a critical assessment of the editorial policy adopted by the broadcasters and the expression of a concern that is also shared by public authorities (see reference 71).  </w:t>
        <w:br/>
        <w:t xml:space="preserve">40. Furthermore, it does not seem excessive to specify that the choice of broadcasters is partly dictated by an assumed concern for profitability and risk minimization. Moreover, it should be noted that while SACD denounces the increasing number of animations adapted from pre-existing literary works, it does not make any negative assessment of the intrinsic quality of the adaptations.  </w:t>
        <w:br/>
        <w:t xml:space="preserve">41. Finally, the letter sent by SACD to SPFA in February 2015 indicates that the sharing of remuneration between the author of the adaptation and the original author occurs during the negotiations of adaptation rights with the producer. The letter notes that at this very preliminary stage of creation, the author finds themselves in a position of weakness that does not allow them to refuse the contractual conditions that may be imposed on them. For SACD, the author thus finds themselves in a "shocking, illogical, and at least legally questionable situation." This practice would occur in "disregard of the rules of collective management."  </w:t>
        <w:br/>
        <w:t xml:space="preserve">42. However, these statements, made in a letter whose content has not been disseminated, do not exceed the limits of the normal expression of rivalry that exists between civil societies for the collection and distribution of rights representing different categories of authors whose interests may be antagonistic. Furthermore, it should be emphasized that this letter, which concludes with the following phrases "we therefore wish," "we count on you," does not constitute a threat, but an invitation to continue the ongoing negotiation.  </w:t>
        <w:br/>
        <w:t>43. It emerges from the previous developments that the complaining society has not provided sufficiently probative elements to assess the existence of an abusive disparagement practice.</w:t>
      </w:r>
    </w:p>
    <w:p>
      <w:r>
        <w:rPr>
          <w:b/>
        </w:rPr>
        <w:t>[Pages 10–10]</w:t>
      </w:r>
    </w:p>
    <w:p>
      <w:r>
        <w:t>b) On the pressures exerted by SACD on France Télévisions</w:t>
      </w:r>
    </w:p>
    <w:p>
      <w:r>
        <w:t>44. In its application, SCELF also argues that the actions taken by SACD with respect to France Télévisions, as well as the letter sent to SPFA, constitute acts of pressure that amount to an abuse of dominant position.</w:t>
      </w:r>
    </w:p>
    <w:p>
      <w:r>
        <w:t>45. However, this assertion is not accompanied by any evidence that would allow for an assessment of such actions by SACD and their restrictive nature on competition.</w:t>
      </w:r>
    </w:p>
    <w:p>
      <w:r>
        <w:t>C. CONCLUSION</w:t>
      </w:r>
    </w:p>
    <w:p>
      <w:r>
        <w:t>46. It follows from all of the above that the facts invoked in SCELF's application are not supported by sufficiently probative elements. Consequently, it is necessary to apply the provisions of Article L. 462-8 of the Commercial Code by rejecting the application.</w:t>
      </w:r>
    </w:p>
    <w:p>
      <w:r>
        <w:t>DECISION</w:t>
      </w:r>
    </w:p>
    <w:p>
      <w:r>
        <w:t>Sole Article: The application registered under number 16/0016 F is rejected.</w:t>
      </w:r>
    </w:p>
    <w:p>
      <w:r>
        <w:t>Deliberated on the oral report of Mr. Antonin Agier, rapporteur, and the oral intervention of Mr. Nicolas Deffieux, deputy general rapporteur, by Mr. Emmanuel Combe, vice-president, president of the session.</w:t>
      </w:r>
    </w:p>
    <w:p>
      <w:r>
        <w:t>The session secretary, The vice-president,</w:t>
      </w:r>
    </w:p>
    <w:p>
      <w:r>
        <w:t>Béatrice Déry-Rosot Emmanuel Combe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