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https://www.autoritedelaconcurrence.fr/fr/decision/relative-des-pratiques-mises-en-oeuvre-par-la-societe-cinemat</w:t>
      </w:r>
    </w:p>
    <w:p>
      <w:r>
        <w:t>Pages translated : 7</w:t>
      </w:r>
    </w:p>
    <w:p/>
    <w:p>
      <w:r>
        <w:rPr>
          <w:b/>
        </w:rPr>
        <w:t>[Pages 1–3]</w:t>
      </w:r>
    </w:p>
    <w:p>
      <w:r>
        <w:t xml:space="preserve">RÉPUBLIQUE FRANÇAISE  </w:t>
        <w:br/>
        <w:t xml:space="preserve">Decision No. 05-D-18 of April 29, 2005  </w:t>
        <w:br/>
        <w:t>regarding practices implemented by the company Cinemat</w:t>
      </w:r>
    </w:p>
    <w:p>
      <w:r>
        <w:t xml:space="preserve">The Competition Council,  </w:t>
        <w:br/>
        <w:t xml:space="preserve">Having regard to the letter dated May 23, 2001, registered under No. F 1321, by which the National Union of Operators of Vending Machines for Videograms and DVDs (SNEDAVI) referred to the Competition Council practices implemented by the company Cinemat France, likely to fall within the scope of Articles L. 420-1 and L. 420-2 of Book IV of the Commercial Code;  </w:t>
        <w:br/>
        <w:t xml:space="preserve">Having regard to Book IV of the Commercial Code relating to price freedom and competition and Decree No. 2002-689 of April 30, 2002, setting its conditions of application;  </w:t>
        <w:br/>
        <w:t xml:space="preserve">Having regard to the observations presented by the government commissioner;  </w:t>
        <w:br/>
        <w:t xml:space="preserve">Having regard to the other documents in the file;  </w:t>
        <w:br/>
        <w:t xml:space="preserve">The rapporteur, the deputy general rapporteur, and the government commissioner heard during the session of April 20, 2005, with SNEDAVI having been duly summoned;  </w:t>
        <w:br/>
        <w:t>Adopts the following decision;</w:t>
      </w:r>
    </w:p>
    <w:p>
      <w:r>
        <w:t xml:space="preserve">I. Findings  </w:t>
        <w:br/>
        <w:t xml:space="preserve">A. THE RELEVANT SECTOR  </w:t>
        <w:br/>
        <w:t xml:space="preserve">1. Vending machines for video cassettes are operated either by video clubs, as a complement to their overall offer, or by other merchants, either independently or attached to various businesses.  </w:t>
        <w:br/>
        <w:t xml:space="preserve">2. According to statements by Mr. X..., president of the referring union, the first machines were installed in 1995. They present some specific features compared to the classic offer: confidentiality of choices, availability 24 hours a day, lower prices, minimal space requirements.  </w:t>
        <w:br/>
        <w:t xml:space="preserve">3. The demand is mainly composed of chains of video clubs with brands: Videofutur, Videomat, Videopilot, and Univers Vidéo, but the clientele also includes non-professionals in video (traders, investors, etc.), to whom the providers offer the adoption of a brand without, however, imposing it on them.  </w:t>
        <w:br/>
        <w:t xml:space="preserve">4. The company Cinemat France, established in 1995, whose trade name is Cinebank, is the exclusive representative of the Italian company Videosystem Italia. This company provides a large number of brands including Videofutur, Videopilot, Videobooster, Cinebank.  </w:t>
        <w:br/>
        <w:t xml:space="preserve">5. Other companies also supply the French market: the company Direct Video, established in 1996, the company France Distributeur Automatique, established in 1999, the company Golden Video established in 2000, the company Derby, established in 1997, as well as the company Rush Diffusion, established in 2001.  </w:t>
        <w:br/>
        <w:t xml:space="preserve">6. In its initial referral dated May 23, 2001, SNEDAVI estimated the French fleet of vending machines for videos and DVDs at 2,500 machines, of which 1,300 would have been sold by the company Cinemat. According to SNEDAVI, this figure would have been confirmed by the company Cinemat itself. Then, during its hearing on April 10, 2002, SNEDAVI provided a new estimate of the total fleet, namely 4,000 machines. All the data collected during the administrative investigation allows for the following estimation of vending machine sales in 2001 and their distribution by manufacturer.  </w:t>
        <w:br/>
        <w:t xml:space="preserve">Company Brand Number of vending machines %  </w:t>
        <w:br/>
        <w:t xml:space="preserve">Cinemat France Cinebank, Videofutur, Videobooster 1,750 29.16  </w:t>
        <w:br/>
        <w:t xml:space="preserve">Direct Video Video Minute 1,281 (07/02) 21.35  </w:t>
        <w:br/>
        <w:t xml:space="preserve">FDA Approximately 900 15  </w:t>
        <w:br/>
        <w:t xml:space="preserve">Golden Video Video acces, Automat, Golden Video 980 (11/05) 15.52  </w:t>
        <w:br/>
        <w:t xml:space="preserve">Derby 24 self video Approximately 650 10.83  </w:t>
        <w:br/>
        <w:t xml:space="preserve">Other companies 488 8.14  </w:t>
        <w:br/>
        <w:t xml:space="preserve">Total 6,000 100  </w:t>
        <w:br/>
        <w:t xml:space="preserve">7. The prices of the machines vary depending on the storage capacity of the cassettes and range from 15,000 to 68,600 euros.  </w:t>
        <w:br/>
        <w:t xml:space="preserve">Brand Mechanism Total capacity Cassette capacity DVD capacity Price (€ excl. tax)  </w:t>
        <w:br/>
        <w:t xml:space="preserve">Cinebank Arm Variable depending on support From 197 to 1,083 From 386 to 2,166 From 21,000 to 53,786  </w:t>
        <w:br/>
        <w:t xml:space="preserve">Direct Video Drum From 120 to 960 From 120 to 960 From 120 to 960 From 15,000 to 35,000  </w:t>
        <w:br/>
        <w:t xml:space="preserve">FDA Arm 350 350 350 22,105  </w:t>
        <w:br/>
        <w:t xml:space="preserve">Golden Video Arm From 100 to 926 From 100 to 926 From 100 to 926 From 12,760 to 32,760  </w:t>
        <w:br/>
        <w:t xml:space="preserve">24 self video Arm 804 480 324 24,923  </w:t>
        <w:br/>
        <w:t xml:space="preserve">kiosk  </w:t>
        <w:br/>
        <w:t xml:space="preserve">24 self video Arm 4,000 2,000 2,000 Approximately 68,600  </w:t>
        <w:br/>
        <w:t>store</w:t>
      </w:r>
    </w:p>
    <w:p>
      <w:r>
        <w:t xml:space="preserve">8. The Xerfi study on this market reports, for the year 2001, a market share in value for Cinemat of 30%, compared to 27% for Direct Video.  </w:t>
        <w:br/>
        <w:t xml:space="preserve">9. Finally, Mr. X..., president of SNEDAVI, states: "It seems to me that it is easy to establish oneself as a manufacturer of distributors. The Cinebank machine has a certain lead, a certain quality compared to the competition: the look, the external appearance. There is a more user-friendly reception for the user. On the technical level, however, all machines are equally reliable."  </w:t>
        <w:br/>
        <w:t xml:space="preserve">B. THE FACTS NOTED  </w:t>
        <w:br/>
        <w:t xml:space="preserve">10. In its referral, SNEDAVI accuses the company Cinemat of abusing the dominant position it allegedly holds in the market for the sale of vending machines by forcing its clients to go through it for the services associated with the operation of the machines, namely the manufacturing and encoding of cards allowing the withdrawal of cassettes, the digitization of covers, and the repair of machines.  </w:t>
        <w:br/>
        <w:t xml:space="preserve">1. THE SALE OF ENCRYPTED CARDS BY CINEMAT  </w:t>
        <w:br/>
        <w:t xml:space="preserve">a) The system implemented by Cinemat  </w:t>
        <w:br/>
        <w:t xml:space="preserve">11. The membership card allows for the rental withdrawals of cassettes or DVDs at any time. It serves as an identifier, payment title, and deposit, with the card being returned to the final consumer once the film is returned. All vending machine sellers offer membership cards.  </w:t>
        <w:br/>
        <w:t xml:space="preserve">12. The operation of the membership cards of the company Cinemat is described as follows by Mr. X..., president of the referring union: "The operator buys the card from Cinemat and sells or gives it for free to the consumer... When an operator has purchased several machines and networked them, the membership card is valid on all the operator's machines. Each year, it is necessary to repurchase the membership cards from Cinemat and destroy the old ones (...) The cards are encrypted at Cinemat's premises for that machine and are then sent encrypted to the operator who ordered them (...) We are obliged to source membership cards from Cinemat and we cannot call upon external companies. Cinemat's software is protected and therefore, we cannot intervene to modify it in any way."  </w:t>
        <w:br/>
        <w:t xml:space="preserve">13. Cinemat initially offered a single card valid for 400 days from the date of issue. Cinemat then introduced a second type of card known as "400 days from the last recharge," which has an unlimited usage duration.  </w:t>
        <w:br/>
        <w:t xml:space="preserve">14. Cinemat also specifies that "the machines can be used with both credit cards and proprietary cards."  </w:t>
        <w:br/>
        <w:t>15. Other machines are supplied with a system of membership cards of unlimited duration. Some cards used are barcoded and do not use magnetic strips: they therefore do not require any special coding. In some cases, the bank card can be used directly. Mr. Y..., general director of Direct Vending, specifies: "Our machines operate with proprietary cards and bank cards. Our cards</w:t>
      </w:r>
    </w:p>
    <w:p>
      <w:r>
        <w:rPr>
          <w:b/>
        </w:rPr>
        <w:t>[Pages 4–6]</w:t>
      </w:r>
    </w:p>
    <w:p>
      <w:r>
        <w:t xml:space="preserve">privative cards are barcoded. There is no magnetic strip. In principle, the card is perpetual. The operator configures the card as they wish."  </w:t>
        <w:br/>
        <w:t xml:space="preserve">b) The agreement with Videofutur  </w:t>
        <w:br/>
        <w:t xml:space="preserve">16. Videofutur and Cinemat have entered into a commercial partnership and cooperation agreement which stipulates, in particular, that the machines of this chain are equipped from their installation with a card of unlimited duration. Mr. Z..., CEO of Cinemat specifies: "Under our agreement with GDS [Videofutur brand], all Videofutur chain machines were equipped from their installation with a card valid for 400 days from the last recharge." This software was also offered to operators of machines equipped with a limited duration card system, with this implementation then being billed in addition to the basic contract. This option was never subscribed to by the concerned operators.  </w:t>
        <w:br/>
        <w:t xml:space="preserve">17. The CEO of Cinemat indicated in his hearing: "All services are billed in the same way to Videofutur and to our other clients, except for the jacket contract."  </w:t>
        <w:br/>
        <w:t xml:space="preserve">18. However, the company Cinemat has a general rate and a differentiated rate for Videofutur brands. According to the agreement initially concluded between Cinemat and Videofutur, dated May 5, 1997, the rates for membership cards were decreasing based on the number of machines acquired by the operators of the Videofutur network, with a minimum target of 5 machines per month. The contract was then adapted starting in 1999, with the rate being decreasing based on the number of cards consumed per year.  </w:t>
        <w:br/>
        <w:t xml:space="preserve">19. Cinemat charges for the card encryption service to the operators of the Videofutur network, but the network itself handles the manufacturing of the cards. Cinemat has not offered to other clients to charge separately for encryption, using a software program owned by Cinemat, and the magnetic printing of the card.  </w:t>
        <w:br/>
        <w:t xml:space="preserve">20. Mr. Philippe A..., CFO of the GDS group (Videofutur brand), states: "At the beginning, we purchased the cards from Cinebank. In fact, clients had two cards: one card for the store counter and one Cinebank card for the machine. The Cinebank cards had a magnetic strip. The Videofutur cards did not have a magnetic card. We were able to make our cards compatible with the computer system by adding a magnetic strip. Now, we only have one card with a magnetic strip, which works for both the machine and the store counter, and we manufacture the magnetic cards ourselves. The magnetic card is a very standardized product. As long as we have the technical specifications, it is very easy to have cards manufactured. We obtained these technical specifications from Cinebank without any difficulty."  </w:t>
        <w:br/>
        <w:t xml:space="preserve">21. Mr. Z..., CEO of Cinemat France, stated: "GDS handles the billing of the cards to its clients. This agreement was accepted by Cinemat always in exchange for specific services that GDS provided to Cinemat, notably the recommendation of Cinebank machines to the GDS chain and always the possibility for Cinemat to benefit from the commercial advantages brought by this collaboration with potential clients (...) Regarding the magnetic card encryption service, Cinemat did not propose and was not solicited by other operators than Videofutur because the distributor network owned by a client must be sufficiently substantial to make the manufacturing of its own cards profitable. Cinemat provided this service to GDS because it saw its economic interest in it (it no longer had to bill each client individually but only GDS, once a month, with the additional guarantee of being paid on time)."  </w:t>
        <w:br/>
        <w:t xml:space="preserve">22. During his hearing, Mr. Y..., CEO of Direct Vending, a competitor of Cinemat, specified: "The Videofutur chain recommends the purchase of Cinebank machines, but we still supplied 50 machines to the Videofutur chain."  </w:t>
        <w:br/>
        <w:t xml:space="preserve">2. THE DIGITIZATION OF COVERS  </w:t>
        <w:br/>
        <w:t xml:space="preserve">23. The covers allow for the identification of the film by its title, a photograph, and the summary indicated on the back. The covers presented in a machine are digitized to be identified by the machine.  </w:t>
        <w:br/>
        <w:t xml:space="preserve">24. Cinebank operators must go through Cineservices, a 100% subsidiary of Cinemat, to carry out this operation. Cineservices was created to sell videos to Cinebank operators and digitize the covers. It sources from GDS, the purchasing center of Videofutur at 60%. However, no link is made between the purchase of machines and the purchase of videos. The obligation to contract with Cineservices only exists for the printing of digitized covers.  </w:t>
        <w:br/>
        <w:t xml:space="preserve">25. Other distributors do not impose the digitization of covers with the machine. They give clients the option to scan their covers themselves and insert them into the machine. For example, Mr. Y..., Direct Vending, indicates: "For digitized covers, it is enough for the operator to have a scanner at home," or the manager of Golden Video states (annex 10): "We give our clients the possibility to scan the covers themselves. The program on our machines offers this possibility to our clientele."  </w:t>
        <w:br/>
        <w:t xml:space="preserve">3. THE MAINTENANCE AND REPAIR OF MACHINES  </w:t>
        <w:br/>
        <w:t xml:space="preserve">26. Cinemat offers technical assistance contracts to its clients. Mr. Z... indicated: "For interventions on the software, operators must go through us, except for anything standard (e.g., changing a hard drive). For anything physical repair, the client can source spare parts from us for anything specific and wherever they wish for the rest. The Cinebank distributor remains a specific and artisanal product, whose parts are found only with the manufacturer, namely Videosystem in Italy or with its distributor importer in each country."  </w:t>
        <w:br/>
        <w:t xml:space="preserve">27. The software, owned by Cinemat, is encrypted and protected by copyright. The technical assistance contract specifies, in its Article 5, that the client agrees not to use parts or supplies not approved by Cinemat France and to prohibit any intervention by personnel not authorized by Cinemat France.  </w:t>
        <w:br/>
        <w:t xml:space="preserve">C. PROPOSAL FOR DISMISSAL  </w:t>
        <w:br/>
        <w:t xml:space="preserve">28. Based on the preceding findings, the reporter proposed to the Council to pronounce a dismissal of the proceedings.  </w:t>
        <w:br/>
        <w:t xml:space="preserve">II. Discussion  </w:t>
        <w:br/>
        <w:t xml:space="preserve">29. Article L. 464-6 of the Commercial Code states that "when no practice likely to harm competition in the market is established, the Competition Council may decide, after the author of the referral and the government commissioner have been given the opportunity to consult the file and make their observations, that there is no need to pursue the proceedings."  </w:t>
        <w:br/>
        <w:t xml:space="preserve">On a possible qualification of the practices alleged under Article L. 420-2 of the Commercial Code  </w:t>
        <w:br/>
        <w:t xml:space="preserve">30. The relevant market in which the company Cinemat operates includes, at least, vending machines for renting video cassettes and DVDs. Cinemat's sales in this market are estimated at about 30% in 2001. Four other manufacturers with market shares above 10% have been identified. Furthermore, Cinebank, the brand under which Cinemat markets its distributors, is not essential. Therefore, Cinemat cannot be considered to occupy a dominant position in this market, which would allow it to eliminate its competitors or close access to a market, whether it be the market for vending machines, or related markets such as maintenance and repair of these devices, or the manufacturing of withdrawal magnetic cards. The alleged practices do not fall within the provisions of Article L. 420-2 of the Commercial Code which prohibits abuses of dominant position.  </w:t>
        <w:br/>
        <w:t xml:space="preserve">On a possible qualification of the practices denounced under Article L. 420-1 of the Commercial Code  </w:t>
        <w:br/>
        <w:t xml:space="preserve">31. Within the framework of a vertical agreement between the company Cinemat and certain of its clients, discriminatory sales conditions favoring one of the vending machine operators, or likely to close access for competing or potential suppliers to one of the markets concerned by the goods or services marketed by Cinemat, could distort competition in these markets, within the meaning of Article L. 420-1 of the Commercial Code.  </w:t>
        <w:br/>
        <w:t xml:space="preserve">32. The sales conditions granted to the Videofutur network allow it to separate the purchase of cards and their encryption by Cinemat. The company Cinemat justifies these conditions by objective and real economic counterbalances such as the larger volume of machines purchased by Videofutur, a reduction in transaction costs due to the establishment of a single billing by the network, and the fact that the Videofutur network promotes the Cinebank brand to operators. Furthermore, the company Cinemat assures that no other operator has requested to benefit from the same conditions. No element in the file allows to challenge this assertion. It therefore does not appear that the conditions granted to Videofutur regarding the encryption of withdrawal cards are discriminatory.  </w:t>
        <w:br/>
        <w:t xml:space="preserve">33. Regarding the other sales conditions, they do not present, by themselves, any discriminatory character and no element in the file indicates that the company Cinemat applies them differently according to its clients.  </w:t>
        <w:br/>
        <w:t>34. Finally, the sales conditions of the company Cinemat do not contain any restrictions likely to limit access for competing suppliers to the market for vending machines or to a related market such as the manufacturing of magnetic cards or the maintenance and repair of devices. The restriction concerning the limitation of the warranty of devices in the event that they are repaired by...</w:t>
      </w:r>
    </w:p>
    <w:p>
      <w:r>
        <w:rPr>
          <w:b/>
        </w:rPr>
        <w:t>[Pages 7–7]</w:t>
      </w:r>
    </w:p>
    <w:p>
      <w:r>
        <w:t xml:space="preserve">the market for vending machines or a related market such as the manufacturing of magnetic cards or that of the maintenance and repair of devices. The restriction concerning the limitation of the warranty of devices in the event that they are repaired by unauthorized repairers or with non-original parts is justified by the necessity to ensure the quality of maintenance and repair operations, the proper functioning of the devices, and their lifespan. Such a restriction is, moreover, exempted under Community law by virtue of the European Commission Regulation (EC) No. 2790/1999, concerning the application of Article 81, paragraph 3, of the Treaty of Rome to categories of vertical agreements, dated December 22, 1999, if the manufacturer holds less than 30% market share. As the Council has considered on several occasions (see in particular decisions No. 03-D-60 of December 17, 2003, and No. 02-D-01 of January 22, 2002), these provisions can constitute a useful analytical guide for the implementation of national law, even in cases where intra-Community trade is not affected or for practices prior to their adoption. In this case, they confirm that the provisions concerning the maintenance and repair of equipment provided for in the sales conditions of the company Cinemat, whose market share is estimated at approximately 30%, cannot have significant effects on competition in a market.  </w:t>
        <w:br/>
        <w:t xml:space="preserve">35. It follows from the above that it is necessary to apply the provisions of Article L. 464-6 of the Commercial Code and to declare a discontinuance of the proceedings.  </w:t>
        <w:br/>
        <w:t xml:space="preserve">DECIDES  </w:t>
        <w:br/>
        <w:t xml:space="preserve">Sole Article: There is no need to continue the proceedings.  </w:t>
        <w:br/>
        <w:t xml:space="preserve">Deliberated on the oral report of Ms. Toulemont-Dakoure by Mr. Lasserre, president, Ms. Aubert and Ms. Perrot, vice-presidents, and Mr. Nasse, vice-president.  </w:t>
        <w:br/>
        <w:t xml:space="preserve">The session secretary, The President,  </w:t>
        <w:br/>
        <w:t xml:space="preserve">Catherine Duparcq Bruno Lasserre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