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https://www.autoritedelaconcurrence.fr/fr/decision/relative-des-pratiques-mises-en-oeuvre-par-la-societe-convergence-concernant-le</w:t>
      </w:r>
    </w:p>
    <w:p>
      <w:r>
        <w:t>Pages translated : 7</w:t>
      </w:r>
    </w:p>
    <w:p/>
    <w:p>
      <w:r>
        <w:rPr>
          <w:b/>
        </w:rPr>
        <w:t>[Pages 1–3]</w:t>
      </w:r>
    </w:p>
    <w:p>
      <w:r>
        <w:t xml:space="preserve">FRENCH REPUBLIC  </w:t>
        <w:br/>
        <w:t xml:space="preserve">Decision No. 04-D-69 of December 14, 2004  </w:t>
        <w:br/>
        <w:t xml:space="preserve">regarding practices implemented by the company Convergence  </w:t>
        <w:br/>
        <w:t xml:space="preserve">concerning debt collection  </w:t>
        <w:br/>
        <w:t xml:space="preserve">The Competition Council (permanent commission),  </w:t>
        <w:br/>
        <w:t xml:space="preserve">Having regard to the letter registered on May 13, 2004, under number 04/0029 F, by which Messrs. X…, Y… and Z…, bailiffs, referred to the Competition Council regarding practices implemented by the company Convergence;  </w:t>
        <w:br/>
        <w:t xml:space="preserve">Having regard to Book IV of the Commercial Code relating to price freedom and competition and Decree No. 2002-689 of April 30, 2002, setting the conditions for its application;  </w:t>
        <w:br/>
        <w:t xml:space="preserve">Having regard to the other documents in the file;  </w:t>
        <w:br/>
        <w:t xml:space="preserve">The rapporteur, the deputy general rapporteur, the Government commissioner, and the representative of Messrs. X…, Y… and Z…, heard during the session of November 23, 2004;  </w:t>
        <w:br/>
        <w:t xml:space="preserve">Adopts the following decision:  </w:t>
        <w:br/>
        <w:t xml:space="preserve">I. Findings  </w:t>
        <w:br/>
        <w:t xml:space="preserve">1. The complainants allege that the establishment of the company Convergence would serve as a support for anti-competitive practices in the debt collection sector.  </w:t>
        <w:br/>
        <w:t xml:space="preserve">A. THE DEBT COLLECTION SECTOR  </w:t>
        <w:br/>
        <w:t xml:space="preserve">2. The amicable debt collection activity, which operates within the framework of the mandate of Articles 1984 to 2010 of the Civil Code, is carried out by two regulated professions, lawyers and bailiffs, and by companies specialized in debt collection. Some companies also have their own collection services.  </w:t>
        <w:br/>
        <w:t xml:space="preserve">3. Bailiffs have activities that fall under their legal monopoly and others that are outside the monopoly. The activities falling under the monopoly are listed in paragraph 1 of Article 1 of the ordinance of November 2, 1945, which states: "Bailiffs are the ministerial officers who alone are qualified to serve documents and writs, make notifications prescribed by laws and regulations when the mode of notification has not been specified, and enforce court decisions, as well as enforceable acts or titles." They are the only ones authorized to proceed with direct payment requests for alimony and are also responsible for ensuring court hearing services.  </w:t>
        <w:br/>
        <w:t xml:space="preserve">4. Non-monopoly activities are listed in paragraph 2 of Article 1 of the same ordinance, which states: "Bailiffs may also proceed with the amicable or judicial recovery of all debts and, in places where there are no auctioneers, with the appraisals and public sales of movable property and effects. They may be appointed by the court to carry out purely material observations, exclusive of any opinion on the factual or legal consequences that may result; they may also proceed with similar observations at the request of individuals."  </w:t>
        <w:br/>
        <w:t xml:space="preserve">5. While amicable debt collection is not part of the activities under monopoly, acts such as summonses, notifications, and those taken for the execution of judgments fall under the monopoly of bailiffs.  </w:t>
        <w:br/>
        <w:t xml:space="preserve">6. Under Article 5 of the decree of February 29, 1956, implementing the ordinance of November 2, 1945, for the acts provided for in paragraphs 1 and 2 of Article 1 of the ordinance of November 2, 1945, bailiffs have territorial jurisdiction limited to the jurisdiction of the local court of their residence. Extensions of jurisdiction are provided to avoid a situation where an office is in a position of absolute monopoly over a territorial jurisdiction. The territorial restriction applicable to the establishment of acts does not seem to be opposable to the exercise of amicable collection, as long as bailiffs do not draw up acts.  </w:t>
        <w:br/>
        <w:t xml:space="preserve">7. In Opinion No. 95-A-02 of January 31, 1995, the Competition Council, seized on the basis of the second paragraph of Article L. 410-2 of the Commercial Code (former paragraph 2 of Article 1 of the ordinance of December 1, 1986), regarding a draft decree modifying the fees of bailiffs, recalled that "no regulation limits the conditions for exercising the activity of amicable debt collection and that no legal monopoly situation has been established by law in this matter, in favor of bailiffs." It noted that while creditors can only address a single office in a situation of geographical monopoly, they can also turn to other types of providers (lawyers or collection companies) and that consequently, "there is no limitation on price competition in the exercise of amicable debt collection." The Council concluded that there was no need to regulate the fees of bailiffs in this sector.  </w:t>
        <w:br/>
        <w:t xml:space="preserve">8. This position has been confirmed by the Council in its Opinions No. 96-A-07 of June 11, 1996, and No. 00-A-23 of October 24, 2000, issued, as previously, on the occasion of the modification of the fees of bailiffs.  </w:t>
        <w:br/>
        <w:t xml:space="preserve">9. Currently, despite these opinions, the activity of debt collection remains remunerated under the conditions provided for in Articles 8 and 10 of Decree No. 96-1080 of December 12, 1996. Under Article 8, the decreasing proportional fee, the brackets and ceilings of which are set by the decree, is charged to the debtor when the sum is due under a court decision, an act, or an enforceable title. Under Article 10, "When bailiffs collect or receive payments, after having received a mandate or authority for this purpose in accordance with Articles 507 of the New Code of Civil Procedure and 18 of the decree of February 29, 1956, implementing Ordinance No. 45-2592 of November 2, 1945, concerning the status of bailiffs, sums owed by a debtor, they are granted, in addition to the fee referred to in Article 8, a decreasing proportional fee charged to the creditor. This fee, which cannot be less than 10 base rates nor more than 1000 base rates and is exclusive of any free fee collection, is calculated on the sums collected or recovered for the principal claim or the amount of the judgment, excluding costs." Article 507 of the New Code of Civil Procedure states that "The delivery of the judgment or the document to the bailiff constitutes authority for any execution for which no special authority is required," while Article 18 of the decree of February 29, 1956 states: "In matters of amicable or judicial collection, the delivery of documents to the bailiff constitutes a mandate to collect." Article 10 of the decree thus addresses both amicable and judicial collection and establishes a decreasing proportional fee charged to the creditor that may potentially be cumulative with the fee charged to the debtor, but these fees are, in any case, exclusive of any free fee collection.  </w:t>
        <w:br/>
        <w:t xml:space="preserve">B. ON THE PRACTICES  </w:t>
        <w:br/>
        <w:t xml:space="preserve">10. The public limited company Convergence was established on January 28, 2001. It is registered in the Trade and Companies Register under number 435-198-627 and its registered office is located at 26, rue Vaneau, Paris 7th. The corporate purpose, mentioned in the K bis extract of the company, is as follows: "the establishment and management of professional and interprofessional networks."  </w:t>
        <w:br/>
        <w:t xml:space="preserve">11. The statutes state that "The company aims, in France and abroad, to design, develop, and market specialized services and software intended for businesses, professionals, public authorities, and individuals, in order to ensure:  </w:t>
        <w:br/>
        <w:t xml:space="preserve">• The management of a PKI (Public Key Infrastructure) offering a complete solution for the protection of computer data and user authentication;  </w:t>
        <w:br/>
        <w:t xml:space="preserve">• The establishment and management of professional and interprofessional networks;  </w:t>
        <w:br/>
        <w:t xml:space="preserve">• The management of financial and legal administrative processes;  </w:t>
        <w:br/>
        <w:t xml:space="preserve">• The archiving and storage of data;  </w:t>
        <w:br/>
        <w:t xml:space="preserve">• The issuance and revocation of quality certificates;  </w:t>
        <w:br/>
        <w:t xml:space="preserve">• And, more generally, to carry out all operations, of whatever nature, legal, economic and financial, civil or commercial, industrial, movable or immovable, that may be directly or indirectly related to, or useful for, the corporate purpose or likely to promote the development or extension of the corporate business."  </w:t>
        <w:br/>
        <w:t xml:space="preserve">12. It presents itself as the first platform for secure services related to the various missions of legal and accounting professionals.  </w:t>
        <w:br/>
        <w:t>13. For debt collection, the details of the operation of SA Convergence are provided by reading the standard mission contract entered into between the company Convergence and the affiliated bailiff's office. The company Convergence grants a sub-mandate to the affiliated office to ensure the collection of debts from the clients with whom the...</w:t>
      </w:r>
    </w:p>
    <w:p>
      <w:r>
        <w:rPr>
          <w:b/>
        </w:rPr>
        <w:t>[Pages 4–6]</w:t>
      </w:r>
    </w:p>
    <w:p>
      <w:r>
        <w:t>The company negotiates service contracts involving a collection mandate. Simultaneously, and with the aim of simplifying and reducing collection costs, the affiliated firm may entrust the company with the task of finding service providers capable of executing certain material tasks (updating and standardizing addresses, printing, folding, and stamping demand letters).</w:t>
      </w:r>
    </w:p>
    <w:p>
      <w:r>
        <w:t>14. Within the framework of each service contract it negotiates with a client, the company prepares a specifications document that defines the terms of exercising the collection mandate entrusted to the affiliated firm. The latter undertakes to prioritize, as far as possible, amicable collection methods and to initiate contentious collection if necessary. The company has the initiative to allocate cases among the affiliated firms. It does so based on the objective criteria indicated in the Membership Charter of the Network to ensure total transparency in the designation procedures and to avoid any system of preference that would not be justified by the rationalization of collections and the interests of the clients. The affiliated firm undertakes to open, within a period of fifteen days from the signing of the agreement, an account in the books of the partner bank, dedicated exclusively to fund transfers and undertakes to deposit all collected funds therein. In the event of judicial proceedings, the firm deducts the costs of actions taken for collection. The rules for calculating and settling the fees owed to the affiliated firm are defined by each specifications document. In its relationship with the territorially competent firms, the affiliated firm operates a fee-sharing arrangement while respecting the rules of ethics.</w:t>
      </w:r>
    </w:p>
    <w:p>
      <w:r>
        <w:t>15. The Membership Charter of the Convergence judicial network indicates that this judicial network is constituted by the network of affiliated bailiff firms and is intended to facilitate the processing of legal acts in the interest of the company's clients. It is also specified that the company, being of a commercial nature, does not engage in any activities specific to the profession of bailiffs. For the total or partial execution of its contractual obligations towards its clients, materialized in framework contracts or contracts related to a specific mission, the company calls upon the affiliated firms. These firms intervene in strict compliance with the ethical provisions and the texts governing the profession of bailiff. Article 18 of the Charter states that the contracting parties undertake to respect the fees of bailiffs, as provided by decree No. 96-1080 of December 12, 1996.</w:t>
      </w:r>
    </w:p>
    <w:p>
      <w:r>
        <w:t>16. In February 2003, 350 bailiff firms and 120 law firms were affiliated with the Convergence network nationwide. The company Convergence emphasizes that it is not a collection agency, that it does not take any action against the debtor, and is unknown to them. Regarding pricing, the information contained on the company's website indicates that it strictly applies the fees of bailiffs both for cases in judicial phase and for cases in amicable phase, either a percentage of fees on the amounts collected or a flat rate per volume of information passing through the platform.</w:t>
      </w:r>
    </w:p>
    <w:p>
      <w:r>
        <w:t>17. Three bailiffs are shareholders of this company: Mr. Eric A…, Mr. Claude B…, and Mr. Jean-Bernard C…. Mr. Eric A… also practices within the professional civil company SCP Piquet-Molitor. This SCP has merged with SCP Gatimel to create SCM Vaneau-Monceau, which was awarded, on August 21, 2003, by the General Finance Department of Paris, a contract aimed at entrusting it with certain forced execution procedures for the collection of fines, with a total estimated value of at least 50,167.22 euros and a maximum of 200,668.90 euros.</w:t>
      </w:r>
    </w:p>
    <w:p>
      <w:r>
        <w:t>II. Discussion</w:t>
      </w:r>
    </w:p>
    <w:p>
      <w:r>
        <w:t>18. Article L. 462-8 states in its paragraphs 1 and 2 that "the Competition Council may declare, by reasoned decision, the referral inadmissible for lack of interest or standing to act of the author thereof,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19. Messrs. X…, Y…, and Z… primarily accuse the company Convergence of engaging in unfair competition in the debt collection sector. They argue that the three bailiffs holding shares circumvent the ethical rules applicable to the profession through the company Convergence, as they behave like merchants by soliciting clients and advertising for this company of which they would be the de facto managers. They invoke the violation of Article 16 of the internal regulations of the Paris Chamber of Bailiffs, which states that "bailiffs owe each other mutual advice, services, and support. Consequently and in particular: … They must respect the clientele of their colleagues and make no solicitation, exert no influence, engage in no solicitation, exert no pressure, either directly or indirectly, in order to procure business or divert those for which a colleague would be or should be responsible," and its Article 22, which states: "It is prohibited for bailiffs to make any advertising in their capacity or to allow any advertising to be made under their name and capacity, outside of legal advertisements." Furthermore, there would be no oversight on the bank account of the company where the collected funds transit, and, more generally, the company would pose a risk to the clients by not allowing them to benefit from the collective guarantee of the bailiff profession. Finally, the transmission of client files by electronic means would also not comply with the texts prescribing the protection of individual data. A complaint has been filed in this regard with the Public Prosecutor of Paris. The practices would also not comply with the provisions of Law No. 78-17 of January 6, 1978, relating to data processing, files, and freedoms, and the texts governing collection agencies.</w:t>
      </w:r>
    </w:p>
    <w:p>
      <w:r>
        <w:t>20. The complainants denounce practices that they believe are contrary to ethical rules, corporate law, or data protection law, some of which could potentially be classified as unfair competition practices falling under the jurisdiction of common law, under the conditions defined by the Court of Cassation (Commercial Chamber, May 16, 1984, Bull. civ 4, No. 167 and Commercial Chamber, April 29, 1997, Bull. civ, 4, No. 111). However, they do not demonstrate that these practices fall within the scope of Articles L. 420-1, L. 420-2, or L. 420-5 of the Commercial Code.</w:t>
      </w:r>
    </w:p>
    <w:p>
      <w:r>
        <w:t>21. Messrs. X…, Y…, and Z… accuse the three bailiff shareholders of SA Convergence of calling upon a commercial company "in the form of an agreement" to secure an increased client volume. They believe that there is an agreement between the bailiffs and the company Convergence to limit access to the usual clientele and the free exercise of competition, materialized by written or oral agreements, whether public or confidential. These practices of jointly marketing services would hinder the free setting of prices, aim to allocate market shares exclusively, and seek information and statistics on the clientele. They argue that by behaving this way, SA Convergence would effectively take a dominant position in the downstream market.</w:t>
      </w:r>
    </w:p>
    <w:p>
      <w:r>
        <w:t>22. The file provided by the authors of the referral does not contain any elements relating to the reference market and the position of the company Convergence in this market. According to the Xerfi study (sector 700) on legal professions from August 2003, there were, in 2000, 3,139 "companies" (firms) for a total of 12,280 bailiffs. With 350 affiliated bailiff firms nationwide, or about 10% of the total number, the company Convergence does not appear to be in a dominant position in the amicable and judicial debt collection market.</w:t>
      </w:r>
    </w:p>
    <w:p>
      <w:r>
        <w:t>23. It emerges from the jurisprudence of the Competition Council that the association of independent businesses within a company created to improve the operating conditions of the partners does not, in itself, constitute an agreement prohibited by the provisions of Article L. 420-1 of the Commercial Code (former Article 7 of the ordinance of December 1, 1986). However, the prohibition of this article applies when it is established that the use of such a structure has been employed to implement concerted practices aimed at or capable of limiting the free exercise of competition. Regarding professional associations, the Council penalizes discriminatory membership conditions to these associations when membership proves essential for the exercise of the profession (Competition Council, decisions No. 96-D-53 of September 17, 1996, regarding practices observed in the taxi operation sector in Cannes and No. 00-D-78 of March 21, 2001, regarding practices observed in the taxi operation sector in Besançon).</w:t>
      </w:r>
    </w:p>
    <w:p>
      <w:r>
        <w:t>24. The complainants do not allege that they requested to be affiliated with the company Convergence, nor that they were refused. Furthermore, the conditions for joining the Convergence network do not appear to be discriminatory.</w:t>
      </w:r>
    </w:p>
    <w:p>
      <w:r>
        <w:t>25. Regarding the alleged limitation of client access to traditional offices, it is argued that the commercial practices of SA Convergence are likely to divert the largest clients, namely institutional clients, from traditional offices. However, during their hearing on October 6, 2004, by the rapporteur, Masters Chesterkine, Louvion, and Samain indicated that they had not suffered any loss of clientele or turnover since the company Convergence began its solicitation activities in earnest towards the end of 2002. No probative elements are provided that characterize a limitation of access to the debt collection market.</w:t>
      </w:r>
    </w:p>
    <w:p>
      <w:r>
        <w:t>26. Regarding the impact on the free setting of prices, the debt collection activity carried out by bailiffs does not adhere to a regime of price freedom. SA Convergence applies the bailiff fees for collection in the judicial phase in accordance with Article 8 of the decree of December 12, 1996, and concerning amicable collection, its website indicates that it charges a percentage of fees on the amounts collected or a flat rate per volume of information. No elements have been provided that would suggest that the pricing mechanism adopted would be anti-competitive, or that the Convergence association would serve as a support for an anti-competitive pricing agreement.</w:t>
      </w:r>
    </w:p>
    <w:p>
      <w:r>
        <w:t>27. Regarding the allocation of markets, it is argued that the company Convergence segments the market by focusing its efforts on large institutional clients and neglecting individuals. However, no elements submitted in the file support this allegation, which, in any case, would not be sufficient to substantiate the complainants' assertion that such behavior would be contrary to the provisions of Article L. 420-1 of the Commercial Code.</w:t>
      </w:r>
    </w:p>
    <w:p>
      <w:r>
        <w:rPr>
          <w:b/>
        </w:rPr>
        <w:t>[Pages 7–7]</w:t>
      </w:r>
    </w:p>
    <w:p>
      <w:r>
        <w:t xml:space="preserve">28. It follows from the above that the application must be rejected, due to insufficient evidence, on the basis of Article L. 462-8 of the Commercial Code.  </w:t>
        <w:br/>
        <w:t xml:space="preserve">DECISION  </w:t>
        <w:br/>
        <w:t xml:space="preserve">Sole Article: Application No. 04/0029 F is rejected.  </w:t>
        <w:br/>
        <w:t xml:space="preserve">Deliberated on the oral report of Ms. Seulin, by Mr. Lasserre, president, Ms. Aubert and Ms. Perrot, Mr. Nasse, vice-presidents.  </w:t>
        <w:br/>
        <w:t xml:space="preserve">The session secretary, The president,  </w:t>
        <w:br/>
        <w:t xml:space="preserve">Marie-Pierre Binard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