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https://www.autoritedelaconcurrence.fr/fr/decision/relative-des-pratiques-mises-en-oeuvre-par-la-societe-des-auteurs-et-compositeurs-0</w:t>
      </w:r>
    </w:p>
    <w:p>
      <w:r>
        <w:t>Pages translated : 19</w:t>
      </w:r>
    </w:p>
    <w:p/>
    <w:p>
      <w:r>
        <w:rPr>
          <w:b/>
        </w:rPr>
        <w:t>[Pages 1–3]</w:t>
      </w:r>
    </w:p>
    <w:p>
      <w:r>
        <w:t xml:space="preserve">FRENCH REPUBLIC  </w:t>
        <w:br/>
        <w:t xml:space="preserve">Decision No. 05-D-16 of April 26, 2005  </w:t>
        <w:br/>
        <w:t xml:space="preserve">regarding practices implemented by the Society of Authors and Dramatic Composers (SACD)  </w:t>
        <w:br/>
        <w:t xml:space="preserve">The Competition Council (Permanent Commission),  </w:t>
        <w:br/>
        <w:t xml:space="preserve">Having regard to the ex officio referral of the Council dated January 27, 2004, registered under number 04/0005 F regarding the competition issues raised by certain clauses of the SACD's statutes;  </w:t>
        <w:br/>
        <w:t xml:space="preserve">Having regard to the letter, registered on November 8, 2004 under number 04/0085 F, by which the company JFPM Representation referred to the Council regarding practices implemented by the Society of Authors and Dramatic Composers (SACD).  </w:t>
        <w:br/>
        <w:t xml:space="preserve">Having regard to the decision of March 21, 2005 joining cases 04/0085 F and 04/0005 F;  </w:t>
        <w:br/>
        <w:t xml:space="preserve">Having regard to Articles 81 and 82 of the Treaty establishing the European Community;  </w:t>
        <w:br/>
        <w:t xml:space="preserve">Having regard to Book IV of the Commercial Code relating to price freedom and competition and Decree 2002-689 of April 30, 2002 setting the conditions for its application;  </w:t>
        <w:br/>
        <w:t xml:space="preserve">Having regard to the commitments proposed by the SACD on February 8, 2005 and the supplements it provided during the session of April 12, 2005;  </w:t>
        <w:br/>
        <w:t xml:space="preserve">Having regard to the observations presented by the companies JFPM Representation, Editions Théâtrales, L’Arche, the Civil Society of French Language Publishers, the Trade Union of Musical Publishing, and the Government Commissioner;  </w:t>
        <w:br/>
        <w:t xml:space="preserve">Having regard to the other documents in the file;  </w:t>
        <w:br/>
        <w:t xml:space="preserve">The reporting member, the general reporter, the Government Commissioner, and the representatives of the company JFPM Representation and the SACD heard during the session of April 12, 2005;  </w:t>
        <w:br/>
        <w:t>Adopts the following decision:</w:t>
      </w:r>
    </w:p>
    <w:p>
      <w:r>
        <w:t xml:space="preserve">I Findings  </w:t>
        <w:br/>
        <w:t xml:space="preserve">A. THE REFERRALS:  </w:t>
        <w:br/>
        <w:t xml:space="preserve">1. By letter registered on February 12, 1998 under number F 1006, the Competition Council was referred to by a dramatic author who is a member of the Society of Authors and Dramatic Composers (SACD) regarding practices implemented by this civil society for the collection and distribution of copyright, whose purpose is the collective management of copyright for dramatic and audiovisual works.  </w:t>
        <w:br/>
        <w:t xml:space="preserve">2. Following an initial decision to suspend proceedings by the Competition Council in May 2001, this referral was subject to a notification of grievances on June 10, 2002, and then a report on June 30, 2003.  </w:t>
        <w:br/>
        <w:t xml:space="preserve">3. Following the withdrawal of the referrer in November 2003, the Council took up the matter ex officio, by decision of January 27, 2004 registered under number 04/005 F, regarding the competition issues raised by certain clauses of the SACD's statutes.  </w:t>
        <w:br/>
        <w:t xml:space="preserve">4. On November 8, 2004, a referral from the company JFPM, registered under number 04/0085 F, also denounced the restrictions contained in the SACD's statutes. It was joined to referral 04/005 F on March 21, 2005.  </w:t>
        <w:br/>
        <w:t xml:space="preserve">B. THE SECTOR  </w:t>
        <w:br/>
        <w:t xml:space="preserve">5. Article L.111-1 of the Intellectual Property Code establishes the rule that "the author of a work of the mind enjoys, by the mere fact of its creation, an exclusive and enforceable property right over this work against all. This right includes attributes of an intellectual and moral nature as well as patrimonial attributes (...)". Article L.121-1 of the same code states: "The author enjoys the right to respect for his name, his quality, and his work; it is perpetual, inalienable, and imprescriptible (...)".  </w:t>
        <w:br/>
        <w:t xml:space="preserve">6. The exploitation right "belonging to the author includes the right of representation and the right of reproduction" (Article L. 122-1).  </w:t>
        <w:br/>
        <w:t xml:space="preserve">7. The right of representation, defined as "a communication of the work to the public by any means" (Article L. 122-2) and the right of reproduction defined as a "material fixation of the work by all means that allow it to be communicated to the public in an indirect manner" (Article L. 122-3), may be subject to an assignment, for consideration or free of charge, independently of each other, provided that it is limited in terms of duration, geographical scope, and the purpose of each exploitation.  </w:t>
        <w:br/>
        <w:t xml:space="preserve">8. Patrimonial rights are assigned by written contract, some governed by the Intellectual Property Code. Thus, there exists a general regime for the right of representation, defined in Article L.132-18 of this code: "the author of a work of the mind and his successors in title authorize a natural or legal person to represent said work under conditions they determine. The general representation contract is the contract by which a professional authors' organization grants a performance entrepreneur the ability to represent, during the term of the contract, the current or future works constituting the repertoire of said organization under the conditions determined by the author or their successors in title."  </w:t>
        <w:br/>
        <w:t xml:space="preserve">9. The general contract regime allows for the collective management of copyright as an alternative to the individual management of this right. Collective management within the meaning of the Intellectual Property Code refers to a certain type of rights holders' associations that are headquartered in France and are formed to ensure the legal and financial management of their patrimonial rights. These are civil societies for the collection and distribution of rights governed by the provisions of Articles L. 321-1 to L.321-13 of the same code. Article L.321-3 provides that the draft statutes and general regulations of the societies for the collection and distribution of rights are sent to the minister. A collection and distribution society may ensure collective management decided by the rights holders and/or collective management made mandatory by law.  </w:t>
        <w:br/>
        <w:t xml:space="preserve">10. The SACD is the oldest authors' society and has approximately 30,000 members. It is composed of authors of dramatic and audiovisual works, these works forming its repertoire. The social purpose of the SACD, defined in Article 3 of its statutes, is the defense of the rights of its members against all users and, more generally, the defense of the moral and material interests of the members of the society and of the profession of author, the exercise and administration in all countries of all rights relating to the representation or reproduction of the works of its members, the collection and distribution of remuneration resulting from the exercise of these rights, the implementation of means to enhance the society's repertoire and promote it to the public, and actions of foresight and solidarity in favor of the different categories of members, their families, and their relatives.  </w:t>
        <w:br/>
        <w:t xml:space="preserve">C. THE PRACTICES DENOUNCED:  </w:t>
        <w:br/>
        <w:t xml:space="preserve">11. The practice retained both in the ex officio referral and in the referral from the company JFPM concerns the provisions of Article 1 of the SACD's statutes according to which any author admitted to join the SACD makes "an assignment, by the mere fact of this membership, in all countries and for the duration of the society:  </w:t>
        <w:br/>
        <w:t xml:space="preserve">• - of the management of his right of adaptation and dramatic representation;  </w:t>
        <w:br/>
        <w:t xml:space="preserve">• - of the right to authorize or prohibit communication to the public by any means other than dramatic representation, as well as reproduction by all means, and the use for advertising or commercial purposes of his works."  </w:t>
        <w:br/>
        <w:t xml:space="preserve">12. Thus, the condition imposed by the SACD's statutes requiring any author of dramatic or audiovisual works to assign upon joining, globally and without possible fragmentation, on the one hand, the management of adaptation and dramatic representation rights and, on the other hand, the management of audiovisual rights, would constitute an abuse of a dominant position, prohibited by Articles L.420-2 of the Commercial Code and 82 of the EC Treaty.  </w:t>
        <w:br/>
        <w:t>13. In its referral, the company JFPM points out that the SACD's statutes provide for the global assignment of all categories of rights attached to the audiovisual work, without providing for the possibility of fragmented assignments by type of distribution media. The SACD would have...</w:t>
      </w:r>
    </w:p>
    <w:p>
      <w:r>
        <w:rPr>
          <w:b/>
        </w:rPr>
        <w:t>[Pages 4–6]</w:t>
      </w:r>
    </w:p>
    <w:p>
      <w:r>
        <w:t>demands that the SACD be required to modify its statutes to allow for the splitting of contributions by categories of rights, following the model of the GEMA decision of the European Commission dated June 2, 1971, which defined, in the musical field, seven categories of rights: the general right of performance, the right of broadcasting, including the right of transmission, the right of cinematic representation, the right of mechanical reproduction and distribution, including the right of transmission, the right of cinematic production, the right to produce, reproduce, distribute, and transmit media for video recorders, and the right of exploitation resulting from technical development or changes in legislation in the future.</w:t>
      </w:r>
    </w:p>
    <w:p>
      <w:r>
        <w:t>D. EVALUATION OF COMPETITION ISSUES:</w:t>
      </w:r>
    </w:p>
    <w:p>
      <w:r>
        <w:t>1. EUROPEAN CASE LAW</w:t>
      </w:r>
    </w:p>
    <w:p>
      <w:r>
        <w:t>16. The practices referred to in the two joint applications concerning the statutes of collective management societies have already been examined by the European Commission (GEMA I decision of June 2, 1971, No. 71/224/EEC) and by the Court of Justice, which was seized of a preliminary question, No. 127-73 of March 21, 1974, based on the abuse of dominant position (SABAM judgment).</w:t>
      </w:r>
    </w:p>
    <w:p>
      <w:r>
        <w:t>17. In its SABAM judgment of March 21, 1974, the CJEU establishes the general framework for the reasoning to be followed in examining restrictions imposed on authors. It first notes that it must be considered abusive "the act of imposing directly or indirectly unfair transaction conditions" (point 6), and then judges that "this assessment requires that all interests involved be taken into account in the balance to be maintained between the maximum freedom for authors... and the effective management of their rights by a company to which they can hardly avoid adhering" (point 8). Among these balancing elements, it considers the power of the broadcasters that an authors' society faces and the fact that "the safeguarding of its rights and interests assumes that the association enjoys a position based on the assignment in its favor, by the associated authors, of their rights, to the extent necessary to give its action the scope and importance required" (point 10).</w:t>
      </w:r>
    </w:p>
    <w:p>
      <w:r>
        <w:t>18. At the end of its reasoning, the Court refers to the national judge the task of assessing the excessive nature of certain membership clauses based on their object but also on their effects (points 13 and 14) and concludes that "the fact that a company responsible for the exploitation of copyright, occupying a dominant position, imposes on its members commitments that are not essential to the realization of its social purpose and that would thus unfairly hinder a member's freedom in the exercise of their copyright, may constitute an abusive exploitation" (point 15).</w:t>
      </w:r>
    </w:p>
    <w:p>
      <w:r>
        <w:t>19. In its GEMA I decision of June 2, 1971, the Commission also considered that "the abuse also lies in the fact that GEMA binds its members by obligations that are not objectively justified, and which, in particular, unfairly complicate the transition of members to another society; (...) that it is, in principle, abusive for GEMA to require an assignment of copyright for all categories and for the whole world... that GEMA is precisely reproached for wanting to make its dominant position an absolute monopoly, through certain provisions of the assignment contracts."</w:t>
      </w:r>
    </w:p>
    <w:p>
      <w:r>
        <w:t>20. Thus, for a collective management society, imposing on its members commitments that excessively and unfairly hinder their freedom in the exercise of their copyright, without objective compensation, can be qualified as abusive exploitation. When this obligation is not objectively justified, it abusively restricts competition in that it effectively prevents authors from managing their rights themselves, their agents, or another collective management society.</w:t>
      </w:r>
    </w:p>
    <w:p>
      <w:r>
        <w:t>21. However, the SABAM case law leads competition authorities to assess on a case-by-case basis and in light of the concrete market situations, whether a statutory restriction can be qualified as anti-competitive or, on the contrary, whether it is merely the necessary counterpart to effective collective management in the interest of authors.</w:t>
      </w:r>
    </w:p>
    <w:p>
      <w:r>
        <w:t>2. SPLITTING BY CATEGORY OF WORKS</w:t>
      </w:r>
    </w:p>
    <w:p>
      <w:r>
        <w:t>22. By stipulating that every author of dramatic and audiovisual works must contribute, globally and without possible splitting, on the one hand, the management of adaptation and dramatic representation rights and, on the other hand, the management of audiovisual rights, the SACD imposes a clause of linked services on its members.</w:t>
      </w:r>
    </w:p>
    <w:p>
      <w:r>
        <w:t>23. In the relationship between a collective management society and the author, the relevant market to consider is not the management of the repertoire in its entirety, but the provision of management services for a category of rights attached to this repertoire.</w:t>
      </w:r>
    </w:p>
    <w:p>
      <w:r>
        <w:t>24. Consequently, at this stage of the analysis, at least two relevant markets can be identified: the market for the management of rights of theatrical works and that of audiovisual works.</w:t>
      </w:r>
    </w:p>
    <w:p>
      <w:r>
        <w:t>25. This distinction arises from the differences between the demand of theater authors and that of audiovisual authors, even if they express themselves within the same society and some authors are present in both fields. It is noted in particular that the practical possibilities of individual rights management and thus the interest in collective management for the applicants are very different for these two categories, given the organization of the supply.</w:t>
      </w:r>
    </w:p>
    <w:p>
      <w:r>
        <w:t>26. The distinction between the two categories exists, above all, from the perspective of supply. The means that the SACD will have to implement to provide its services in terms of negotiation, collection, and management of public performance rights and audiovisual representation rights are not substitutable. It is also observed that the services are differentiated in the very statutes of the SACD: the contributions and their legal regimes are distinct, the users, theaters, and audiovisual broadcasters, as well as the negotiation modalities, are not identical. The basis and calculation of rights are also different: proportional participation in revenues from exploitation for theater, flat fee based on the turnover of broadcasters for audiovisual rights.</w:t>
      </w:r>
    </w:p>
    <w:p>
      <w:r>
        <w:t>27. Indeed, regarding audiovisual rights, all collective management societies, including the SACD, have organized a system of collective negotiation with each of the broadcasting companies, resulting in a global royalty rate for all authors' societies based on the turnover of the broadcasters, with each society responsible for distributing the revenues among themselves. The SACD then redistributes a portion of the revenues to each author based on the timing of the broadcast.</w:t>
      </w:r>
    </w:p>
    <w:p>
      <w:r>
        <w:t>28. As a result, authors, in order to recover their television rights, have no real choice but to adhere to the SACD, which finds itself in a de facto monopoly position. No author, except in the case of exceptional commercial leverage, is able to negotiate directly with broadcasters to obtain separate payment for these rights, in derogation of the general agreement.</w:t>
      </w:r>
    </w:p>
    <w:p>
      <w:r>
        <w:t>29. These differences have consequences on the mode of rights management: the management of theater rights could, for some authors, be subject to individual management under reasonable economic conditions, while the collective management of audiovisual rights is currently unavoidable.</w:t>
      </w:r>
    </w:p>
    <w:p>
      <w:r>
        <w:t>30. Thus, authors, captive for audiovisual rights, are forced to also contribute the management of their theatrical representation rights to the SACD when they would have the possibility of having them managed through another service provider or another collective management society.</w:t>
      </w:r>
    </w:p>
    <w:p>
      <w:r>
        <w:t>31. As a result, the SACD makes it extremely difficult for competing service offers to emerge in the market for the management of live performance rights, at the risk of excessively and unfairly restricting authors' freedom without objective compensation. This bundling of all rights constitutes, in the sense of SABAM case law, a restriction that could be qualified as an abuse of dominant position.</w:t>
      </w:r>
    </w:p>
    <w:p>
      <w:r>
        <w:t>3. SPLITTING BY CATEGORY OF RIGHTS</w:t>
      </w:r>
    </w:p>
    <w:p>
      <w:r>
        <w:t>32. The JFPM company specifies in the complaint: "... due to its statutes, only the SACD is authorized to handle the author contracts of its members and to ensure their management. However, this is not the case in practice, as the SACD essentially, but not exclusively, limits itself to managing television representation rights, leaving authors and their agents to deal directly with producers for other modes of exploitation... If the involvement of artistic agents is not, in fact, challenged by the SACD, it could be at any time given the statutory provisions."</w:t>
      </w:r>
    </w:p>
    <w:p>
      <w:r>
        <w:t>33. Thus, the alleged abuse would only be potential since the SACD, according to the applicant itself, does not take advantage of the grouped assignment of rights to disrupt the market to the detriment of individual management operators.</w:t>
      </w:r>
    </w:p>
    <w:p>
      <w:r>
        <w:t>34. But the applicant considers that the potential for SACD intervention on rights other than those of television creates legal uncertainty that may hinder the activity of agents in the market for rights assigned to producers. In order to eliminate this uncertainty, it...</w:t>
      </w:r>
    </w:p>
    <w:p>
      <w:r>
        <w:rPr>
          <w:b/>
        </w:rPr>
        <w:t>[Pages 7–9]</w:t>
      </w:r>
    </w:p>
    <w:p>
      <w:r>
        <w:t>SACD que sur la question de savoir si cette présomption est applicable aux droits d’auteur des œuvres audiovisuelles. En effet, la doctrine s’interroge sur la compatibilité de cette présomption avec le droit d’auteur, notamment en ce qui concerne la protection des intérêts des auteurs face à la position dominante des producteurs.</w:t>
      </w:r>
    </w:p>
    <w:p>
      <w:r>
        <w:t>54. En conclusion, il apparaît que la clause d'apport joint des droits audiovisuels, bien qu'elle puisse sembler restrictive, est en réalité une nécessité pour assurer la viabilité économique de la production audiovisuelle. Elle permet de garantir que les producteurs puissent amortir leurs investissements et ainsi continuer à créer des œuvres de qualité. Toutefois, cette clause doit être analysée dans le contexte spécifique du marché audiovisuel, qui présente des caractéristiques distinctes de celles du marché musical.</w:t>
      </w:r>
    </w:p>
    <w:p>
      <w:r>
        <w:t>55. Il est donc essentiel de mener une analyse approfondie des effets de cette clause sur la concurrence et sur les droits des auteurs, afin de s'assurer qu'elle ne crée pas de déséquilibre préjudiciable à la diversité et à la richesse de la création audiovisuelle.</w:t>
      </w:r>
    </w:p>
    <w:p>
      <w:r>
        <w:rPr>
          <w:b/>
        </w:rPr>
        <w:t>[Pages 10–12]</w:t>
      </w:r>
    </w:p>
    <w:p>
      <w:r>
        <w:t>SACD, than on the opposite concern raised by the complainant, who argues that a monopoly of SACD over audiovisual rights could deprive the producer of the legal benefit of a presumption of regular assignment of the rights contributed by the authors (cf. Parisot, op. cit. p.77, points 11 to 16).</w:t>
      </w:r>
    </w:p>
    <w:p>
      <w:r>
        <w:t>54. It is not for the Council but for the civil judge to rule on the patrimonial consequences of the coexistence of two successive assignments of the same right, one to an audiovisual producer for the realization of the work and its commercial exploitation, the other to a civil society for the collection by the author of the broadcasting rights. Similarly, it is not for it to request the modification of a contractual or statutory clause solely on the grounds that its holder does not make full use of it, with SACD merely collecting the broadcasting rights.</w:t>
      </w:r>
    </w:p>
    <w:p>
      <w:r>
        <w:t>55. Finally, it does not appear illegitimate for authors' societies to seek to provide their members with legal guarantees for the effective recovery of rights, as they must take into account the legal situation created by the implementation of Article L.132.24 which entails "assignment to the benefit of the producer of the exclusive exploitation rights of the audiovisual work."</w:t>
      </w:r>
    </w:p>
    <w:p>
      <w:r>
        <w:t>56. For its part, SACD considers that it needs to have a presumption of obtaining audiovisual rights to negotiate representation contracts with broadcasters. Indeed, authors' societies have organized a system of collective negotiation with each of the broadcasting companies, resulting in a global royalty rate based on the turnover of the broadcasters for all authors' societies, with the responsibility for them to distribute these revenues among themselves. The distribution key giving SACD its flat share is linked to the valuation of the minute value calculated ex post once a year, based on the broadcasting timing.</w:t>
      </w:r>
    </w:p>
    <w:p>
      <w:r>
        <w:t>57. SACD argues that this presumption of general ownership of rights for the collection of royalties due to its members has proven particularly useful during a dispute with Canal Plus, which resulted in a judgment from the Paris High Court dated January 28, 1987. In this case, the television company intended to assert that, in the film sector, the assignment of authors' rights to producers enabled the latter to negotiate the terms of film broadcasting in exchange for a transfer price that necessarily included the authors' rights for this broadcasting. According to Canal Plus, it was therefore up to the producer to deduct from its own commercial revenues the share due to the authors, and the broadcaster should not pay any royalties to SACD.</w:t>
      </w:r>
    </w:p>
    <w:p>
      <w:r>
        <w:t>58. The court held that the representation contract signed with SACD gave broadcasters the ability to use the repertoire of this collective management society and that the consideration, consisting of the payment of a global and flat-rate royalty, was legitimate. This arrangement allows television channels to broadcast works without having to verify the regularity of the assigned rights and without fearing a refusal of representation. This provision does not prevent them from entering into specific agreements with producers.</w:t>
      </w:r>
    </w:p>
    <w:p>
      <w:r>
        <w:t>59. This case law has established, contrary to what the complainant claims, the compatibility between the clause of collective assignment of audiovisual rights provided for in the statutes of SACD and the provisions of Article L 132-24 of the Intellectual Property Code which gives producers the capacity to conclude with broadcasters all useful commercial agreements for the exploitation of audiovisual works. It cannot therefore be argued that this clause would create legal uncertainty regarding contracts and would have, through potential destabilization of competitors, an anti-competitive object.</w:t>
      </w:r>
    </w:p>
    <w:p>
      <w:r>
        <w:t>60. No element of the complaint therefore allows for the presumption that the statutory clause of collective assignment of audiovisual rights had any other purpose than establishing favorable conditions for the collective defense of authors, in accordance with the social purpose of SACD.</w:t>
      </w:r>
    </w:p>
    <w:p>
      <w:r>
        <w:t>Regarding the effects of the joint assignment clause of audiovisual rights.</w:t>
      </w:r>
    </w:p>
    <w:p>
      <w:r>
        <w:t>61. The markets primarily concerned by the global assignment clause of audiovisual rights are those of the management of these rights on which, in addition to SACD, artistic agents operate under individual management and, potentially, other competing collective management societies of SACD since it holds a de facto but not a de jure monopoly. The related markets are those of the production and exploitation of audiovisual works.</w:t>
      </w:r>
    </w:p>
    <w:p>
      <w:r>
        <w:t>62. It is not contested that the clause has, to date, had no effect on the activity of artistic agents who operate under individual management and are competitors of SACD in the market for the management of copyright. These agents are not only not prevented from exercising their intermediary activity between authors and producers but would hold, according to the complainant itself, more than 95% of the market shares in this segment.</w:t>
      </w:r>
    </w:p>
    <w:p>
      <w:r>
        <w:t>63. There are also no elements in the file suggesting an allocation of the related market of audiovisual production, theatrical exploitation, or television broadcasting. It is also not contested that SACD only intervenes for the collection of broadcasting rights on radio or television and is not present in the market segment for negotiating production and commercial exploitation rights.</w:t>
      </w:r>
    </w:p>
    <w:p>
      <w:r>
        <w:t>64. It should be noted on these points that no agent or producer submitted observations to the Competition Council in the month following the publication of the commitments proposed by SACD. No denunciation of any potential abusive behavior by SACD in the market for the management of audiovisual rights has been transmitted to the Council in support of the complaint from JPFM. Thus, it is not established that the contradiction between the legal assignment of all rights to SACD and the legal privilege of the producer, a contradiction more apparent than real given that SACD does not significantly intervene in any market other than that of radio and television broadcasting rights, would be an obstacle to the development of competition in the markets where agents operate.</w:t>
      </w:r>
    </w:p>
    <w:p>
      <w:r>
        <w:t>65. Thus, no element in the file allows for the establishment that the statutes relating to the assignment of audiovisual rights have the purpose or may have the effect of restricting competition in the market or, possibly, the markets for audiovisual management.</w:t>
      </w:r>
    </w:p>
    <w:p>
      <w:r>
        <w:t>66. Consequently, the Council cannot, at this stage, express any competition concerns related to the lack of possibility to split the assignment of audiovisual rights in the statutes of SACD.</w:t>
      </w:r>
    </w:p>
    <w:p>
      <w:r>
        <w:t>E. THE COMMITMENTS PROPOSED BY SACD:</w:t>
      </w:r>
    </w:p>
    <w:p>
      <w:r>
        <w:t>67. In its letter dated February 8, 2005, SACD informs the Competition Council that it is aware of the competition issues that have been identified during the investigation of the referral F 1006, in the following terms: "By a notification of grievances dated June 10, 2002, and by a report dated June 30, 2003, which were transmitted to it as part of the investigation of referral F 1006, SACD became aware of the competition issues raised by certain restrictions in its statutes that could be qualified as anti-competitive in light of the provisions of Articles 82 of the EC Treaty and L. 420-2 of the Commercial Code prohibiting abuses of dominant position.</w:t>
      </w:r>
    </w:p>
    <w:p>
      <w:r>
        <w:t>To address the competition concerns that have been thus exposed, SACD wishes to present commitments to the Competition Council in order to benefit from the new provisions of Article L. 464-2 of the amended Commercial Code by the ordinance of November 4, 2004, which provides that: "The Council may also accept commitments proposed by companies or organizations that are likely to put an end to anti-competitive practices."</w:t>
      </w:r>
    </w:p>
    <w:p>
      <w:r>
        <w:t>68. The initial proposals made by SACD, which were the subject of the procedural press release of February 11, 2005 published on the website of the Competition Council, have been supplemented and adjusted during the session of April 12, 2005 to take into account the observations submitted to the file during the consultation. The commitments can be summarized as follows.</w:t>
      </w:r>
    </w:p>
    <w:p>
      <w:r>
        <w:t>The splitting of contributions by category of works:</w:t>
      </w:r>
    </w:p>
    <w:p>
      <w:r>
        <w:t>69. Currently, any author admitted to join SACD necessarily contributes the management of their adaptation and dramatic representation rights and the right to authorize or prohibit communication to the public by any means other than dramatic representation, as well as the reproduction by any means of their works.</w:t>
      </w:r>
    </w:p>
    <w:p>
      <w:r>
        <w:t>70. The proposed reform consists, first of all, in allowing authors to split their contributions by categories of works, distinguishing three categories: dramatic works, audiovisual works, and images.</w:t>
      </w:r>
    </w:p>
    <w:p>
      <w:r>
        <w:t>Art. 9: "As of January 1, 2006, any author has the option to contribute their rights in accordance with the provisions of Article 1.II or to limit their contribution to one or more of the categories of works listed in Article 1.I, namely:</w:t>
        <w:br/>
        <w:t>- dramatic works;</w:t>
        <w:br/>
        <w:t>- audiovisual works;</w:t>
        <w:br/>
        <w:t>- images.</w:t>
        <w:br/>
        <w:t>This option may be exercised freely upon joining, or under the conditions provided in Article 40 during the course of social life."</w:t>
      </w:r>
    </w:p>
    <w:p>
      <w:r>
        <w:t>71. This option for splitting by category of works would take effect on January 1, 2006 for all authors, whether they are already members or new entrants. It would be framed by certain restrictions deemed necessary for the balance of the system.</w:t>
      </w:r>
    </w:p>
    <w:p>
      <w:r>
        <w:rPr>
          <w:b/>
        </w:rPr>
        <w:t>[Pages 13–15]</w:t>
      </w:r>
    </w:p>
    <w:p>
      <w:r>
        <w:t>72. The withdrawal of certain categories of works could occur, during the life of the society, not at any time but at the expiration of each two-year period calculated from the date of the author's membership or modification of their contributions.</w:t>
      </w:r>
    </w:p>
    <w:p>
      <w:r>
        <w:t>73. Furthermore, the partial withdrawal of a category of works could not occur more than three times during an author's life in the society. An author who has withdrawn their rights three times could be prohibited from a fourth entry into the society. This limitation on the number of withdrawals during the life of the society would not include any that may have been exercised at the time of membership.</w:t>
      </w:r>
    </w:p>
    <w:p>
      <w:r>
        <w:t>74. Finally, the Board of Directors of the SAD will be required to rule on requests for additional membership that may be submitted by authors wishing to entrust the society with the management of categories of works that they had previously withdrawn, by analogy with the current Article 1 of the general regulations of the SACD, which provides that the Board of Directors rules sovereignly on membership requests presented to it.</w:t>
      </w:r>
    </w:p>
    <w:p>
      <w:r>
        <w:t>75. The partial withdrawal occurs as a matter of right only on the condition that the management is entrusted to another management society. In the case of individual management, it must be subject to a request addressed to the Board of Directors of the SACD for acceptance. This approach will allow for control over the number of withdrawals to verify compliance with the statutes. It will also allow for verification of the financial situation between the SACD and the author in the event of a dispute or imbalance. Only objective, transparent, and non-discriminatory justifications may serve as the basis for a possible refusal by the Board of Directors, which must justify its decision by presenting these justifications. Consequently, it is proposed to amend Article 40 of the statutes in the following terms:</w:t>
      </w:r>
    </w:p>
    <w:p>
      <w:r>
        <w:t>RESIGNATION – WITHDRAWAL OF CONTRIBUTION</w:t>
        <w:br/>
        <w:t>Art. 40:</w:t>
        <w:br/>
        <w:t>"Subject to mandatory local legal provisions, any member of the Society may, at the expiration of each two-year period calculated from their membership,</w:t>
        <w:br/>
        <w:t>- either resign</w:t>
        <w:br/>
        <w:t>- or limit their contribution in accordance with the provisions of Articles 8 and 9 of the statutes.</w:t>
        <w:br/>
        <w:t>The resignation or partial withdrawal of contribution made in favor of another authors' society must be notified by registered letter with acknowledgment of receipt addressed to the President of the Society. They take effect on December 31 of the current year, provided that the notification occurs no later than September 30.</w:t>
        <w:br/>
        <w:t>When the partial withdrawal is made for the purpose of individually managing the categories of works or territories withdrawn, the exercise of this right is subject to a prior request from the interested party addressed, in the same forms and deadlines as those mentioned in the previous paragraph, to the Board of Directors. Any refusal by the latter must be based on objective, transparent, and non-discriminatory justifications.</w:t>
        <w:br/>
        <w:t>The right of partial withdrawal may be exercised three times.</w:t>
        <w:br/>
        <w:t>Resignation, as well as partial withdrawal of contribution, does not hinder the execution of contracts previously concluded between the Society and third parties, when these contracts were made in specific consideration of the contribution previously made by the member.</w:t>
        <w:br/>
        <w:t>The member who resigns from the Society is reimbursed their share at its nominal amount."</w:t>
      </w:r>
    </w:p>
    <w:p>
      <w:r>
        <w:t>and Article 1 of the general regulations as follows:</w:t>
        <w:br/>
        <w:t>Article 1 of the general regulations: "Authors and composers of dramatic and audiovisual works of all disciplines may join the Society, under the conditions provided by the statutes.</w:t>
        <w:br/>
        <w:t>Assignees of dramatic or audiovisual works may be admitted to join the Society under the conditions set out in Article 2 below. Any person wishing to become a member must complete an admission file including, in particular, a membership act to the statutes and any document justifying their identity and status. The member who has limited their contribution, in accordance with the provisions of Articles 8 and 9 of the statutes, either at the time of their membership or during the life of the society in application of Article 40 of the statutes, must also complete a supplementary membership act if they wish to entrust the Society with the management of categories of works or territories previously withdrawn or not contributed. The Board of Directors rules sovereignly on membership and supplementary membership requests presented to it. Its rejection decisions are justified. Any request for supplementary membership presented by a member who has previously exercised their right of partial withdrawal of one or more categories of works three times in accordance with Article 40 of the statutes may be subject to a decision of outright and definitive rejection by the Board of Directors. The admitted authors and composers become members with the status of adherents.</w:t>
      </w:r>
    </w:p>
    <w:p>
      <w:r>
        <w:t>The arrangement of contributions by territory</w:t>
        <w:br/>
        <w:t>76. From the perspective of the geographical scope concerned, the current text of the statutes of the SACD provides that contributions are made for the whole world, with, however, a possibility for the author to limit, regarding the management of adaptation and dramatic representation rights, the territorial scope to only those countries with direct collection and to countries where there is an authors' society linked to the SACD by a reciprocity treaty. (current Article 2.II).</w:t>
      </w:r>
    </w:p>
    <w:p>
      <w:r>
        <w:t>77. The proposed reform consists of refining this territorial limitation to allow dramatic authors to also limit their contribution to only those countries with direct collection, a prerogative currently available to foreign authors under Article 9. Thus, any dramatic author will have the option to limit their contribution in management in the field of live performance, either to only those countries with direct collection or to countries with direct collection as well as to countries where there is an authors' society linked to the SACD by a reciprocity treaty.</w:t>
      </w:r>
    </w:p>
    <w:p>
      <w:r>
        <w:t>78. In contrast, regarding contributions of audiovisual rights, the limitation option offered to the author would concern countries with direct collection and countries where there is an authors' society linked to the SACD by a reciprocity treaty.</w:t>
      </w:r>
    </w:p>
    <w:p>
      <w:r>
        <w:t>79. This option for territorial limitation and splitting by category of works, at the time of membership, will come into effect immediately upon the statutory reform that will be submitted to the deliberative bodies of the SACD in June 2005.</w:t>
      </w:r>
    </w:p>
    <w:p>
      <w:r>
        <w:t>"SPECIFIC LIMITATIONS ON CERTAIN CONTRIBUTIONS OF RIGHTS</w:t>
        <w:br/>
        <w:t>Art. 8</w:t>
        <w:br/>
        <w:t>Every author has the option to limit territorially their contribution to the following countries:</w:t>
        <w:br/>
        <w:t>1) Regarding the management of adaptation and dramatic representation rights:</w:t>
        <w:br/>
        <w:t>- either to only those countries with direct collection, namely France, Belgium, Canada, the Grand Duchy of Luxembourg, and the Principality of Monaco;</w:t>
        <w:br/>
        <w:t>- or to countries with direct collection as well as to countries where there is a representation rights society with which the Society has entered into a reciprocity representation contract."</w:t>
        <w:br/>
        <w:t>Authors who are not nationals of a Member State of the European Union (or the European Economic Area) also have the option to limit territorially their contribution to France.</w:t>
      </w:r>
    </w:p>
    <w:p>
      <w:r>
        <w:t>2) Regarding the right to authorize or prohibit communication to the public by any means other than dramatic representation, as well as reproduction by all means, the use for advertising or commercial purposes of their works, to countries with direct collection as well as to countries where there is a representation rights society with which the Society has entered into a reciprocity representation contract.</w:t>
        <w:br/>
        <w:t>This option may be exercised freely at the time of membership or under the conditions provided in Article 40 during the life of the society.</w:t>
      </w:r>
    </w:p>
    <w:p>
      <w:r>
        <w:t>F. OBSERVATIONS FROM INTERESTED THIRD PARTIES</w:t>
        <w:br/>
        <w:t>80. The procedural announcement of February 11, 2005, mentioning the commitments proposed by the SACD to address the identified competition concerns, received observations only from publishers of theatrical works.</w:t>
      </w:r>
    </w:p>
    <w:p>
      <w:r>
        <w:t>81. The Editions Théâtrales indicate that the commitments of the SACD are moving in the right direction but do not resolve the difficulties related to territorial limitations. The Editions Théâtrales also question the links between public service radios and the SACD. Radios, like televisions, have signed a general agreement with the SACD to grant it a global fee based on their turnover. According to the Editions Théâtrales, authors or their publishers consequently face refusals from broadcasters, particularly Radio France, to directly remunerate authors outside of this agreement. The works of authors who are not members of the SACD would therefore be deprogrammed or broadcast for free.</w:t>
      </w:r>
    </w:p>
    <w:p>
      <w:r>
        <w:t>82. L’Arche, a publishing house specialized in theater, argues that the proposed commitments are likely to resolve the competition problem that concerns it but wishes to express reservations about their implementation modalities: the number of withdrawals proposed by the SACD, namely three during the life of the society, is too restrictive, and the proposal to submit withdrawal requests to the power of the Board of Directors carries a risk of discretionary assessment.</w:t>
      </w:r>
    </w:p>
    <w:p>
      <w:r>
        <w:rPr>
          <w:b/>
        </w:rPr>
        <w:t>[Pages 16–18]</w:t>
      </w:r>
    </w:p>
    <w:p>
      <w:r>
        <w:t>83. The civil society of French-language publishers "confirms to the Council its support for the observations presented to it by two publishers it represents, l'Arche and the Editions théâtrales." It regrets that "the Control Commission of the Societies for the Collection and Distribution of Rights (SPRD), whose presidency and secretariat are ensured by the Court of Auditors, limits itself to a minimum service of global financial audit, of which its reports submitted to the Parliament demonstrate a total lack of understanding of the economic stakes" and observes that "the entire system of collective management, in the absence of any legislative framework of reference, should be assessed in light of competition rules."</w:t>
      </w:r>
    </w:p>
    <w:p>
      <w:r>
        <w:t>84. The Union Chamber of Musical Publishing and Music Publishers also responded to the procedural statement, without, however, providing elements to assess the relevance of the commitments presented by the SACD.</w:t>
      </w:r>
    </w:p>
    <w:p>
      <w:r>
        <w:t>II Discussion:</w:t>
        <w:br/>
        <w:t>Regarding the contributions of rights by territory</w:t>
      </w:r>
    </w:p>
    <w:p>
      <w:r>
        <w:t>85. In its observations on the SACD's proposed commitments, the JFPM company notes that it has provided for a fractional contribution of audiovisual rights, which until now were contributed for the entire world, by allowing the assignment to be limited to countries with direct collection by the SACD and to countries linked to the SACD by a reciprocity treaty, these two groups of countries being inseparable. It questions why audiovisual rights do not benefit, in the proposed reform, from the possibility offered to authors for the rights attached to the dramatic repertoire to distinguish between the group of countries with direct collection and that of countries linked to the SACD by a reciprocity treaty.</w:t>
      </w:r>
    </w:p>
    <w:p>
      <w:r>
        <w:t>86. The Council notes that, at this stage of the investigation and within the framework of the commitment procedure, no competition concerns regarding contributions by territory have been expressed, nor has there been a complaint. The SACD has, in fact, spontaneously proposed a modification of its statutes regarding the fractional contributions by territory without prior evaluation by the Council.</w:t>
      </w:r>
    </w:p>
    <w:p>
      <w:r>
        <w:t>87. Within the framework of a commitment procedure intended to address competition issues previously brought to the attention of the party concerned, it is not for the Council to rule on a statutory reform that goes beyond the necessary remedies to resolve the previously identified competition issues.</w:t>
      </w:r>
    </w:p>
    <w:p>
      <w:r>
        <w:t>88. Consequently, there is no need to rule on any potential competition restrictions resulting from the new rules for the contribution of audiovisual rights by territory, this point remaining open for the future.</w:t>
      </w:r>
    </w:p>
    <w:p>
      <w:r>
        <w:t>Regarding the increase in the statutory withholding</w:t>
      </w:r>
    </w:p>
    <w:p>
      <w:r>
        <w:t>89. The SACD's commitments specify that "to avoid moving towards a management at actual cost which, in many cases, could prove detrimental to the dissemination of works, the SACD plans to increase the amount of the statutory withholding related to the rights actually managed when the author has limited their contribution."</w:t>
      </w:r>
    </w:p>
    <w:p>
      <w:r>
        <w:t>90. The Council, having no information on this increase, nor on the terms of its application, is unable to assess its effects. It considers that the proposed statutory modification merely opens a possibility without constituting a formal commitment. Consequently, the Council acknowledges that the SACD does not rule out modulating the rates of statutory withholding based on the option chosen by the authors but does not express an opinion on this proposal.</w:t>
      </w:r>
    </w:p>
    <w:p>
      <w:r>
        <w:t>Regarding the restrictions on entries and exits:</w:t>
      </w:r>
    </w:p>
    <w:p>
      <w:r>
        <w:t>91. Given the particularities of the SACD in relation to all collective management models that have led to European case law – the SACD being the only society in Europe to operate on a financial balance derived from resources generated by two completely independent repertoires – the right of withdrawal during the social life must be framed to limit the destabilizing effects that could arise from the massive withdrawal of dramatic works from authors who have a predominant economic weight at the SACD. Furthermore, too frequent back-and-forths would increase management costs and complicate the legal follow-up of contracts and rights.</w:t>
      </w:r>
    </w:p>
    <w:p>
      <w:r>
        <w:t>92. Collective management, like any system of cost mutualization and pooling of amounts collected proportionally to the income of members, allows for the establishment of solidarity among beneficiaries. Less well-known authors or those who are performed more in the provinces than in Paris benefit from the negotiating power of the SACD with theaters. Similarly, the evolution of authors' incomes and the costs of collecting and distributing copyright lead authors to predominantly be in a position of net beneficiaries of mutualization at the beginning of their careers and net contributors as their notoriety and incomes increase. Finally, mutualization allows for a certain control over the rates of statutory withholding in relation to the cost of collecting low amounts of rights.</w:t>
      </w:r>
    </w:p>
    <w:p>
      <w:r>
        <w:t>93. The system is therefore favorable to the consumer in that it promotes the diversity of the offer and a wide dissemination of works by making it possible to collect rights even in cases where commercial revenues are limited.</w:t>
      </w:r>
    </w:p>
    <w:p>
      <w:r>
        <w:t>94. Authors thus participating in the costs and expenses of the SACD in proportion to their commercial success and income, there could be a strong temptation for an author to choose collective management only when they are in a position of weakness and to leave it as soon as commercial conditions make individual management of their rights more advantageous. Similarly, it could be tempting to practice "cream skimming," which consists of entrusting the society of authors only with the management of rights that are difficult and costly to collect while retaining the rights to automatic collection in individual management.</w:t>
      </w:r>
    </w:p>
    <w:p>
      <w:r>
        <w:t>95. However, the SACD cannot transform into a personalized counter, with conditions modulated according to the requests of each author based on their commercial success, thus encouraging behaviors that could jeopardize its balance. The system of solidarity, a characteristic specific to collective management and which distinguishes it from individual management, could not survive permanent back-and-forths motivated solely by the maximization of each author's personal profit. It is therefore not illegitimate to require, at a certain point, authors who refuse the constraints of collective management to clearly choose individual management.</w:t>
      </w:r>
    </w:p>
    <w:p>
      <w:r>
        <w:t>96. Thus, the restriction imposed on the freedom of authors proposed by the SACD in its commitments, as long as it remains proportionate in accordance with the concerns of the SABAM case law, seems justified from both an economic and an accounting or financial perspective.</w:t>
      </w:r>
    </w:p>
    <w:p>
      <w:r>
        <w:t>97. Unlike other collective management societies in Europe, the SACD does not operate on a fixed-term membership basis, periodically renewed, but on the basis of indefinite membership with the possibility of exit at any time subject to notice. The SACD therefore proposes, to take into account the current form of the 30,000 contracts, not to set fixed membership durations, but to restrict the possibilities of back-and-forths in number and frequency.</w:t>
      </w:r>
    </w:p>
    <w:p>
      <w:r>
        <w:t>98. The number of three back-and-forths seems to be a proportionate compromise between the freedom of authors, for whom it does not appear abusive to show a minimum of consistency in their choices and their assessment of the advantages of collective management, and the possibility for the SACD to impose necessary restrictions on the exercise of its mission. Moreover, the frequency of modifications is mitigated by imposing a minimum duration of two years for resignation or the fractional withdrawal of all or part of the contributions, which seems to be a reasonable duration to ensure the stability of contracts and the collection of revenues whose cycle is at least annual.</w:t>
      </w:r>
    </w:p>
    <w:p>
      <w:r>
        <w:t>Regarding the intervention of the SACD's board of directors</w:t>
      </w:r>
    </w:p>
    <w:p>
      <w:r>
        <w:t>99. The new Article 40 of the statutes specifies the procedure to be followed for authors already members of the SACD in the event of withdrawal: "When partial withdrawal is made for the purpose of individually managing the categories of works or territories withdrawn, the exercise of this right is subject to a prior request from the interested party addressed, in the same forms and deadlines as those mentioned in the previous paragraph, to the Board of Directors. Any refusal by the latter must be based on objective, transparent, and non-discriminatory justifications."</w:t>
      </w:r>
    </w:p>
    <w:p>
      <w:r>
        <w:t>100. The SACD's proposal, in the newly drafted Article 40, is thus to subject the resumption of individual management of rights to authorization from the board of directors, whose power is, however, framed. But the parties have questioned, in their writings and in session, the discretion left to the SACD's board of directors in the exercise of this power.</w:t>
      </w:r>
    </w:p>
    <w:p>
      <w:r>
        <w:t>101. The drafting of the article was inspired by the wording of the statutes of SACEM, redefined following the European Commission's Daft Punk decision of August 12, 2002 (Comp/C2/37.219). After the procedure resulting from this complaint, the statutes of SACEM provided for a passage to the board of directors for the back-and-forths made by authors during fractional withdrawals of rights.</w:t>
      </w:r>
    </w:p>
    <w:p>
      <w:r>
        <w:t>102. The Commission considers that this clause does not appear to constitute an infringement as such, especially since the board of directors must justify its refusal, if applicable. It indicates that one cannot assume that SACEM will apply it in bad faith, as abuse cannot be presumed.</w:t>
      </w:r>
    </w:p>
    <w:p>
      <w:r>
        <w:t>103. The Competition Council also considers that the clause for reviewing requests by the board of directors, which is essentially intended to verify that the request for partial withdrawal complies with the statutes and to ensure that authors wishing to leave the society are not net debtors due to the allocation of a withholding of their rights, is not in itself constitutive of an abuse. The obligation for the Board of Directors to resort to, in a possible decision of refusal that must be justified,</w:t>
      </w:r>
    </w:p>
    <w:p>
      <w:r>
        <w:rPr>
          <w:b/>
        </w:rPr>
        <w:t>[Pages 19–19]</w:t>
      </w:r>
    </w:p>
    <w:p>
      <w:r>
        <w:t>that authors wishing to leave the society are not net debtors due to the allocation of a withholding of their rights, is not in itself constitutive of an abuse. The obligation for the Board of Directors to rely, in any potential refusal decision that must be justified,</w:t>
      </w:r>
    </w:p>
    <w:p>
      <w:r>
        <w:t>to objective, transparent, and non-discriminatory justifications, provides a real guarantee from this point of view.</w:t>
      </w:r>
    </w:p>
    <w:p>
      <w:r>
        <w:t>104. Furthermore, in the event of an abusive application of this clause by the SACD, avenues for recourse exist before the civil judge. A potential referral to the Competition Council may also be considered.</w:t>
      </w:r>
    </w:p>
    <w:p>
      <w:r>
        <w:t>Regarding the deadlines for implementing the reform</w:t>
      </w:r>
    </w:p>
    <w:p>
      <w:r>
        <w:t>105. The vote of the general assembly of the SACD to endorse the amendment of the statutes will take place at the end of June 2005, and the amendment of the statutes will take effect on January 1, 2006.</w:t>
      </w:r>
    </w:p>
    <w:p>
      <w:r>
        <w:t>106. The SACD explained in the meeting that the theatrical representation contracts for the season from September 2005 to June 2006 are already mostly negotiated and co-signed by the SACD. Consequently, the statutory amendment on January 1, 2006, should not disrupt the normal functioning of the ongoing theatrical season and will occur early enough to allow for free negotiation of the following theatrical season within the new framework.</w:t>
      </w:r>
    </w:p>
    <w:p>
      <w:r>
        <w:t>107. The Council considers that, in light of these elements, the date of January 1, 2006, appears to be a reasonable deadline for the implementation of the reform.</w:t>
      </w:r>
    </w:p>
    <w:p>
      <w:r>
        <w:t>DECISION</w:t>
      </w:r>
    </w:p>
    <w:p>
      <w:r>
        <w:t>Article 1: The Council accepts the commitments presented by the SACD consisting of the amendment of Articles 9 and 40 of the statutes and Article 1 of the general regulations. These commitments, made mandatory by this decision upon its notification, are an integral part of this decision.</w:t>
      </w:r>
    </w:p>
    <w:p>
      <w:r>
        <w:t>Article 2: The Council takes note of:</w:t>
        <w:br/>
        <w:t>• the proposals for statutory reform referred to in Article 8 on the splitting by territory;</w:t>
        <w:br/>
        <w:t>• the fact that the SACD does not exclude a pricing modulation based on the options chosen by the authors.</w:t>
      </w:r>
    </w:p>
    <w:p>
      <w:r>
        <w:t>Article 3: The procedures recorded under numbers 04/0085 F and 04/0005 F are terminated.</w:t>
      </w:r>
    </w:p>
    <w:p>
      <w:r>
        <w:t>Deliberated on the oral report of Ms. Toulemont-Dakouré, by Mr. Lasserre, president, Mr. Nasse, and Ms. Aubert and Perrot, vice-presidents.</w:t>
      </w:r>
    </w:p>
    <w:p>
      <w:r>
        <w:t>The session secretary, The President,</w:t>
        <w:br/>
        <w:t>Catherine Duparcq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