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https://www.autoritedelaconcurrence.fr/fr/decision/relative-des-pratiques-mises-en-oeuvre-par-la-societe-engie-dans-le-secteur-de-lenergie</w:t>
      </w:r>
    </w:p>
    <w:p>
      <w:r>
        <w:t>Pages translated : 31</w:t>
      </w:r>
    </w:p>
    <w:p/>
    <w:p>
      <w:r>
        <w:rPr>
          <w:b/>
        </w:rPr>
        <w:t>[Pages 1–3]</w:t>
      </w:r>
    </w:p>
    <w:p>
      <w:r>
        <w:t xml:space="preserve">FRENCH REPUBLIC  </w:t>
        <w:br/>
        <w:t xml:space="preserve">Decision No. 17-D-16 of September 7, 2017  </w:t>
        <w:br/>
        <w:t xml:space="preserve">regarding practices implemented by the company Engie  </w:t>
        <w:br/>
        <w:t xml:space="preserve">in the energy sector  </w:t>
        <w:br/>
        <w:t xml:space="preserve">The Competition Authority (section IA),  </w:t>
        <w:br/>
        <w:t xml:space="preserve">Having regard to the request registered on October 13, 2015 under number 15/0095 F by which the company Direct Energie referred to the Competition Authority practices implemented by the company Engie in the energy sector;  </w:t>
        <w:br/>
        <w:t xml:space="preserve">Having regard to Article 102 of the Treaty on the Functioning of the European Union;  </w:t>
        <w:br/>
        <w:t xml:space="preserve">Having regard to Book IV of the amended Commercial Code;  </w:t>
        <w:br/>
        <w:t xml:space="preserve">Having regard to the Energy Code;  </w:t>
        <w:br/>
        <w:t xml:space="preserve">Having regard to decision No. 16-MC-01 of May 2, 2016 regarding a request for interim measures submitted by the company Direct Energie in the energy sector;  </w:t>
        <w:br/>
        <w:t xml:space="preserve">Having regard to the preliminary assessment transmitted to the parties on March 13, 2017;  </w:t>
        <w:br/>
        <w:t xml:space="preserve">Having regard to the proposal of commitments from Engie dated March 17, 2017, published online on March 22, 2017 on the website of the Competition Authority, and the modifications proposed on June 29 and July 13, 2017;  </w:t>
        <w:br/>
        <w:t xml:space="preserve">Having regard to the business secrecy decision No. 15-DSA-343 of October 20, 2015;  </w:t>
        <w:br/>
        <w:t xml:space="preserve">Having regard to the observations presented by the company Direct Energie, the company ENI, the independent French association of electricity and gas (AFIEG), the national association of energy retailers (ANODE), and the Government Commissioner;  </w:t>
        <w:br/>
        <w:t xml:space="preserve">Having regard to the opinion of the Energy Regulatory Commission dated April 20, 2017;  </w:t>
        <w:br/>
        <w:t xml:space="preserve">Having regard to the other documents in the file;  </w:t>
        <w:br/>
        <w:t xml:space="preserve">The rapporteur, the deputy general rapporteur, the Government Commissioner, the Energy Regulatory Commission, and the representatives of the companies Engie and Direct Energie, heard during the session of the Competition Authority on July 5, 2017;  </w:t>
        <w:br/>
        <w:t>Adopts the following decision:</w:t>
      </w:r>
    </w:p>
    <w:p>
      <w:r>
        <w:t xml:space="preserve">Summary1  </w:t>
        <w:br/>
        <w:t xml:space="preserve">In the following decision, the Competition Authority accepts the commitments of Engie and closes the substantive procedure opened in October 2015 by Direct Energie, which denounced practices implemented by Engie in the energy sector.  </w:t>
        <w:br/>
        <w:t xml:space="preserve">In their preliminary assessment, the investigation services identified several competition concerns regarding Engie's behavior. Firstly, the prices of its individualized offers aimed at non-residential customers were likely to be classified as exclusionary prices or predatory prices and thus constitute a practice contrary to Articles L. 420-2 of the Commercial Code and 102 of the TFEU. The same applied to the prices of its so-called "catalog" offers, aimed at both residential and non-residential customers.  </w:t>
        <w:br/>
        <w:t xml:space="preserve">The investigation services also noted that the contracts for individual metering services and gas supply concluded with condominiums contained clauses that could have an anti-competitive aspect. These included clauses with excessively long contract durations, or prohibiting the use of other energy sources than gas for heating and hot water.  </w:t>
        <w:br/>
        <w:t xml:space="preserve">Following this preliminary assessment, Engie presented a series of commitments on March 17, 2017. These commitments were subject to a market test, leading to a new proposal of commitments presented on June 29, 2017. They were then discussed during a session before the Authority, at the end of which Engie proposed a final version of these commitments on July 13, 2017.  </w:t>
        <w:br/>
        <w:t xml:space="preserve">Regarding the pricing aspects of its market offers, Engie commits to:  </w:t>
        <w:br/>
        <w:t xml:space="preserve">- implement, for both its individualized and "catalog" offers, ex ante and ex post profitability analyses identifying the average avoidable cost and the average incremental cost;  </w:t>
        <w:br/>
        <w:t xml:space="preserve">- set its prices at a level above the average avoidable cost as identified in its ex ante profitability analyses;  </w:t>
        <w:br/>
        <w:t xml:space="preserve">- establish an internal price control process; this will include, in particular, validation by an authorized management person in cases of prices below the average incremental cost, and consideration in future ex ante analyses of the lessons learned from ex post analyses;  </w:t>
        <w:br/>
        <w:t xml:space="preserve">- enhance the awareness of Engie's staff regarding the pricing aspects of competition rules.  </w:t>
        <w:br/>
        <w:t xml:space="preserve">Regarding the clauses of the contracts for individual metering services and gas supply concluded with condominiums, Engie commits in particular to:  </w:t>
        <w:br/>
        <w:t xml:space="preserve">- inform its customers about the possibility of terminating their contract without charge at the end of 5 years;  </w:t>
        <w:br/>
        <w:t xml:space="preserve">- not offer a contract combining metering services and natural gas supply where the natural gas supply would have a duration exceeding 5 years;  </w:t>
        <w:br/>
        <w:t xml:space="preserve">1 This summary is strictly informative. Only the reasons for the decision numbered below are authoritative.  </w:t>
        <w:br/>
        <w:t xml:space="preserve">2  </w:t>
        <w:br/>
        <w:t xml:space="preserve">- remove clauses requiring condominiums to commit to using only natural gas as an energy source for collective heating and, where applicable, hot water for the entire condominium.  </w:t>
        <w:br/>
        <w:t xml:space="preserve">These commitments are supplemented by measures allowing for the monitoring of their execution, including the appointment of a dedicated representative. They are concluded for a duration of five years, concerning the pricing commitments related to residential customers, and three years, concerning the pricing commitments related to non-residential customers and those concerning contracts with condominiums.  </w:t>
        <w:br/>
        <w:t>3</w:t>
      </w:r>
    </w:p>
    <w:p>
      <w:r>
        <w:rPr>
          <w:b/>
        </w:rPr>
        <w:t>[Pages 4–6]</w:t>
      </w:r>
    </w:p>
    <w:p>
      <w:r>
        <w:t xml:space="preserve">SUMMARY  </w:t>
        <w:br/>
        <w:t xml:space="preserve">I. FINDINGS ................................................................................................................ 7  </w:t>
        <w:br/>
        <w:t xml:space="preserve">A. THE REFERRAL ....................................................................................................... 7  </w:t>
        <w:br/>
        <w:t xml:space="preserve">B. THE COMPANIES CONCERNED ................................................................................ 7  </w:t>
        <w:br/>
        <w:t xml:space="preserve">1. The company Direct Energie ................................................................................ 7  </w:t>
        <w:br/>
        <w:t xml:space="preserve">2. The company Engie ............................................................................................... 7  </w:t>
        <w:br/>
        <w:t xml:space="preserve">C. THE SECTOR CONCERNED .................................................................................... 8  </w:t>
        <w:br/>
        <w:t xml:space="preserve">1. The retail supply of gas ........................................................................................ 8  </w:t>
        <w:br/>
        <w:t xml:space="preserve">2. The provision of individual gas consumption metering services ......................... 9  </w:t>
        <w:br/>
        <w:t xml:space="preserve">D. THE PRACTICES ALLEGED .................................................................................... 9  </w:t>
        <w:br/>
        <w:t xml:space="preserve">E. THE REQUEST FOR CONSERVATORY MEASURES AND AUTHORITY DECISION NO. 16-MC-01 ................................................................................................................. 10  </w:t>
        <w:br/>
        <w:t xml:space="preserve">II. THE IMPLEMENTATION OF THE COMMITMENTS PROCEDURE .................. 10  </w:t>
        <w:br/>
        <w:t xml:space="preserve">A. THE PRELIMINARY ASSESSMENT .......................................................................... 10  </w:t>
        <w:br/>
        <w:t xml:space="preserve">1. The applicability of European Union law ............................................................ 10  </w:t>
        <w:br/>
        <w:t xml:space="preserve">2. The definition of relevant markets and Engie's position ...................................... 11  </w:t>
        <w:br/>
        <w:t xml:space="preserve">a) The relevant markets .......................................................................................... 11  </w:t>
        <w:br/>
        <w:t xml:space="preserve">The markets for the retail supply of gas ............................................................... 11  </w:t>
        <w:br/>
        <w:t xml:space="preserve">The market for the provision of individual consumption metering services downstream of a natural gas distribution network connection point .................. 12  </w:t>
        <w:br/>
        <w:t xml:space="preserve">b) Engie's dominant position in the identified natural gas supply markets ............ 12  </w:t>
        <w:br/>
        <w:t xml:space="preserve">Applicable principles ............................................................................................ 12  </w:t>
        <w:br/>
        <w:t xml:space="preserve">Application to the case at hand ............................................................................ 13  </w:t>
        <w:br/>
        <w:t xml:space="preserve">3. Competition concerns .......................................................................................... 15  </w:t>
        <w:br/>
        <w:t xml:space="preserve">a) On pricing practices ........................................................................................... 15  </w:t>
        <w:br/>
        <w:t xml:space="preserve">Reminder of decision-making practice and case law .......................................... 15  </w:t>
        <w:br/>
        <w:t xml:space="preserve">Application to the case at hand ............................................................................ 16  </w:t>
        <w:br/>
        <w:t xml:space="preserve">b) On the duration, exit conditions, and exclusivities of individual metering and gas supply service contracts concluded with co-ownerships .......................... 17  </w:t>
        <w:br/>
        <w:t xml:space="preserve">B. THE COMMITMENTS PROPOSED ........................................................................... 18  </w:t>
        <w:br/>
        <w:t xml:space="preserve">1. The commitments proposed by Engie on March 17, 2017 ................................. 18  </w:t>
        <w:br/>
        <w:t xml:space="preserve">2. The observations collected during the market test .............................................. 19  </w:t>
        <w:br/>
        <w:t xml:space="preserve">a) On the regularity of the instruction .................................................................... 19  </w:t>
        <w:br/>
        <w:t xml:space="preserve">b) On the possibility of resorting to the commitments procedure in view of the nature of the practices .......................................................................................... 20  </w:t>
        <w:br/>
        <w:t xml:space="preserve">c) On the content of the preliminary assessment .................................................... 20  </w:t>
        <w:br/>
        <w:t xml:space="preserve">d) On the pricing aspects of market offers ............................................................... 20  </w:t>
        <w:br/>
        <w:t xml:space="preserve">On the scope of the offers concerned .................................................................. 20  </w:t>
        <w:br/>
        <w:t xml:space="preserve">On the determination of costs .............................................................................. 20  </w:t>
        <w:br/>
        <w:t xml:space="preserve">On the relevant time horizon for avoidability ...................................................... 21  </w:t>
        <w:br/>
        <w:t xml:space="preserve">On the use of regulatory accounting for valuation ............................................... 21  </w:t>
        <w:br/>
        <w:t xml:space="preserve">On the determination of volumes and revenues from an ex ante perspective .... 21  </w:t>
        <w:br/>
        <w:t xml:space="preserve">On the pricing positioning of Engie's offers .......................................................... 21  </w:t>
        <w:br/>
        <w:t xml:space="preserve">On the monitoring of pricing policy ..................................................................... 21  </w:t>
        <w:br/>
        <w:t xml:space="preserve">On the duration of commitments regarding pricing .............................................. 21  </w:t>
        <w:br/>
        <w:t xml:space="preserve">e) On the clauses of contracts related to co-ownerships ......................................... 22  </w:t>
        <w:br/>
        <w:t xml:space="preserve">f) On the canvassing of customers at regulated tariffs ........................................... 22  </w:t>
        <w:br/>
        <w:t xml:space="preserve">g) On the monitoring of commitments .................................................................... 22  </w:t>
        <w:br/>
        <w:t xml:space="preserve">C. THE COMMITMENTS PROPOSED BY ENGIE ON JUNE 29, 2017 AND JULY 13, 2017 .......................................................................................................................... 22  </w:t>
        <w:br/>
        <w:t xml:space="preserve">III. DISCUSSION ......................................................................................................... 22  </w:t>
        <w:br/>
        <w:t xml:space="preserve">A. ON THE REGULARITY OF THE INSTRUCTION .................................................... 22  </w:t>
        <w:br/>
        <w:t xml:space="preserve">B. ON THE NATURE AND EFFECTS OF THE BEHAVIORS GIVING RISE TO COMPETITION CONCERNS .......................................................................................... 23  </w:t>
        <w:br/>
        <w:t xml:space="preserve">C. ON THE CONTENT OF THE PRELIMINARY ASSESSMENT .................................. 24  </w:t>
        <w:br/>
        <w:t xml:space="preserve">D. ON THE PRICING ASPECTS OF THE COMMITMENTS .......................................... 25  </w:t>
        <w:br/>
        <w:t xml:space="preserve">1. On the scope of the offers concerned .................................................................. 25  </w:t>
        <w:br/>
        <w:t xml:space="preserve">a) On "catalogue" offers .......................................................................................... 25  </w:t>
        <w:br/>
        <w:t xml:space="preserve">b) On individualized offers ..................................................................................... 25  </w:t>
        <w:br/>
        <w:t xml:space="preserve">2. On the determination of costs .............................................................................. 26  </w:t>
        <w:br/>
        <w:t xml:space="preserve">a) On the degree of precision of the commitments .................................................. 26  </w:t>
        <w:br/>
        <w:t xml:space="preserve">b) On the use of regulatory accounting for valuation .............................................. 26  </w:t>
        <w:br/>
        <w:t xml:space="preserve">c) On the relevant time horizon for avoidability .................................................... 26  </w:t>
        <w:br/>
        <w:t xml:space="preserve">3. On the determination of volumes and revenues from an ex ante perspective ... 27  </w:t>
        <w:br/>
        <w:t xml:space="preserve">4. On the pricing positioning of Engie's offers .......................................................... 27  </w:t>
        <w:br/>
        <w:t xml:space="preserve">5. On the monitoring of pricing policy ...................................................................... 28  </w:t>
        <w:br/>
        <w:t xml:space="preserve">6. On the duration of commitments regarding pricing ............................................... 28  </w:t>
        <w:br/>
        <w:t xml:space="preserve">7. Conclusion on commitments regarding pricing .................................................... 29  </w:t>
        <w:br/>
        <w:t xml:space="preserve">E. ON THE CLAUSES OF CONTRACTS CONCLUDED WITH CO-OWNERSHIPS ........ 29  </w:t>
        <w:br/>
        <w:t xml:space="preserve">F. ON THE CANVASSING OF CUSTOMERS AT REGULATED TARIFFS .................... 29  </w:t>
        <w:br/>
        <w:t xml:space="preserve">G. ON THE MONITORING OF COMMITMENTS ............................................................ 30  </w:t>
        <w:br/>
        <w:t xml:space="preserve">H. CONCLUSION ......................................................................................................... 30  </w:t>
        <w:br/>
        <w:t>DECISION .................................................................................................................... 31</w:t>
      </w:r>
    </w:p>
    <w:p>
      <w:r>
        <w:rPr>
          <w:b/>
        </w:rPr>
        <w:t>[Pages 7–9]</w:t>
      </w:r>
    </w:p>
    <w:p>
      <w:r>
        <w:t xml:space="preserve">I. Findings  </w:t>
        <w:br/>
        <w:t xml:space="preserve">A. THE REFERRAL  </w:t>
        <w:br/>
        <w:t xml:space="preserve">1. By registered letter dated October 13, 2015, under number 15/0095 F, the Competition Authority was seized of a complaint from the company Direct Energie directed against practices implemented by the company Engie in the energy sector.  </w:t>
        <w:br/>
        <w:t xml:space="preserve">2. In its referral, Direct Energie denounced several types of practices implemented by the company Engie, which it considered contrary to competition rules. The reported behaviors concerned the company's pricing policy, as well as illicit canvassing practices.  </w:t>
        <w:br/>
        <w:t xml:space="preserve">3. In addition to the main referral, by registered letter dated October 13, 2015, under number 15/0096 M, Direct Energie requested, based on Article L. 464-1 of the Commercial Code, the issuance of interim measures.  </w:t>
        <w:br/>
        <w:t xml:space="preserve">4. By decision no. 16-MC-01 of May 2, 2016, the Authority issued interim measures against Engie and also decided that the investigation should continue on the merits for all the reported practices (§ 223, 252, 271, and 286 of the decision).  </w:t>
        <w:br/>
        <w:t xml:space="preserve">B. THE COMPANIES CONCERNED  </w:t>
        <w:br/>
        <w:t xml:space="preserve">1. THE COMPANY DIRECT ENERGIE  </w:t>
        <w:br/>
        <w:t xml:space="preserve">5. Direct Energie is a public limited company specialized in the energy sector. It claims to be the 1st alternative energy supplier in the retail market in France and the "third French player in electricity and gas." As an integrated energy player in France, Direct Energie is involved in the production and supply of electricity, the supply of gas, and the provision of energy services. It has been a retail gas supplier since 2009.  </w:t>
        <w:br/>
        <w:t xml:space="preserve">2. THE COMPANY ENGIE  </w:t>
        <w:br/>
        <w:t xml:space="preserve">6. The company Engie originated from Gaz de France, established in 1946 as a public industrial and commercial establishment (EPIC), before being transformed into a public limited company by law no. 2004-803 of August 9, 2004, relating to the public service of electricity, gas, and electric and gas companies. On July 7, 2005, Gaz de France opened its capital through an initial public offering.  </w:t>
        <w:br/>
        <w:t xml:space="preserve">7. On July 22, 2008, Gaz de France absorbed Suez, an international group also active in electricity, gas, and energy services, and became GDF Suez.  </w:t>
        <w:br/>
        <w:t xml:space="preserve">8. On July 27, 2015, GDF Suez became Engie.  </w:t>
        <w:br/>
        <w:t xml:space="preserve">9. Engie's main activity is the retail supply of natural gas in France. It is also responsible for marketing services related to thermal energy metering that allow for the individualization of collective natural gas consumption (file 15/0096 M, reference 4343).  </w:t>
        <w:br/>
        <w:t xml:space="preserve">C. THE RELEVANT SECTOR  </w:t>
        <w:br/>
        <w:t xml:space="preserve">10. This case concerns two types of activities within the energy sector. Firstly, it involves the retail supply of gas (1) and, secondly, the provision of thermal energy metering services (2).  </w:t>
        <w:br/>
        <w:t xml:space="preserve">1. THE RETAIL SUPPLY OF GAS  </w:t>
        <w:br/>
        <w:t xml:space="preserve">11. The natural gas sector in France is organized around six major poles: production/importation, transport, LNG terminals, storage, distribution, and marketing. Among the marketing activities, the activity of marketing gas to the final consumer is the only one concerned here.  </w:t>
        <w:br/>
        <w:t xml:space="preserve">12. The opening to competition of the retail gas supply activity began in 1998, with the adoption of Directive 98/30/EC of the European Parliament and Council of June 22, 1998, concerning common rules for the internal market in natural gas. The latest directive governing the retail gas supply activity is Directive 2009/73/EC of the European Parliament and Council of July 13, 2009, concerning common rules for the internal market in natural gas.  </w:t>
        <w:br/>
        <w:t xml:space="preserve">13. The gradual transposition of these various directives resulted in a phased opening of the retail gas supply activity to competition from authorized operators (see in particular Article L. 443-1 of the Energy Code). This opening was effective for all customers, residential and non-residential, as of July 1, 2007.  </w:t>
        <w:br/>
        <w:t xml:space="preserve">14. The French public authorities have, in parallel with this opening to competition, maintained the existence of regulated retail sales tariffs (hereinafter "TRV"). Articles L. 445-1 and following of the Energy Code provide that the TRV are set jointly by the ministers responsible for energy and the economy, after consultation with the Energy Regulatory Commission (hereinafter "CRE"). Article L. 445-3 of the Energy Code also specifies that: "The regulated tariffs for the sale of natural gas are defined based on the intrinsic characteristics of the supplies and the costs related to these supplies. They cover all of these costs excluding any subsidies in favor of customers who have exercised their right provided for in Article L. 441-1."  </w:t>
        <w:br/>
        <w:t xml:space="preserve">15. The supply of gas at TRV is the responsibility of so-called "historical" suppliers, that is to say, those present before the opening of the gas markets: Engie, Total Energie Gaz, and local distribution companies (hereinafter "ELD"). Engie is the only supplier marketing TRV in the service area of GrDF (the manager of the gas distribution network serving 95% of French consumers) and GRT Gaz (the gas transport network manager) which supplies gas to a majority of large industrial consumers in France.  </w:t>
        <w:br/>
        <w:t xml:space="preserve">16. Throughout almost the entire French territory (service areas of GrDF and GRT Gaz), consumers eligible for TRV offers currently have the choice between:  </w:t>
        <w:br/>
        <w:t xml:space="preserve">- TRV offers that are exclusively proposed by Engie;  </w:t>
        <w:br/>
        <w:t xml:space="preserve">- so-called "market" offers that are proposed both by Engie and by new natural gas suppliers, referred to as "alternative suppliers."  </w:t>
        <w:br/>
        <w:t xml:space="preserve">17. Regarding the TRV regime, it should be noted that in its opinion no. 13-A-09 of March 25, 2013, the Authority recommended to the government to gradually eliminate the TRV as they have "an unfavorable influence on the functioning of competition without contributing positively to the competitiveness of French companies and the purchasing power of households" (point 55 of the opinion).  </w:t>
        <w:br/>
        <w:t xml:space="preserve">18. In order to put an end to an infringement procedure initiated against France by the European Commission since 2006 due to the existence of TRV for non-residential consumers in the regulations, law no. 2014-344 of March 17, 2014, relating to consumption, introduced in Article L. 445-4 of the Energy Code provisions for the gradual extinction of TRV for non-domestic clients whose consumption exceeds 30 MWh/year. This elimination occurred in three phases, between June 19, 2014, and December 31, 2015.  </w:t>
        <w:br/>
        <w:t xml:space="preserve">2. THE PROVISION OF INDIVIDUAL GAS CONSUMPTION METERING SERVICES FOR COLLECTIVE USE  </w:t>
        <w:br/>
        <w:t xml:space="preserve">19. In recent years, advanced gas consumption metering services have developed, facilitated by a favorable regulatory framework, allowing for better individualization of billing. Directive 2012/27/EU of October 25, 2012, thus imposes that individual meters measuring their actual consumption and allowing for bills based on actual energy consumption be made available to final natural gas consumers, when possible, particularly in the context of replacing an existing meter or a new connection (Article 9 of the directive).  </w:t>
        <w:br/>
        <w:t xml:space="preserve">20. Article R. 131-2 of the Construction and Housing Code thus provides that: "Any collective building primarily used for housing equipped with a common heating system for all or part of the premises occupied privately and providing each of these premises with a quantity of heat adjustable by the occupant must be equipped with devices allowing for the individualization of collective heating costs. These devices must allow for the measurement of the quantity of heat supplied or a representative quantity thereof."  </w:t>
        <w:br/>
        <w:t xml:space="preserve">21. Engie provides this type of metering service, either in isolation (via the Logivalys offer from its subsidiary Ecometering, in particular) or by associating it with natural gas supply services (notably through its Fideloconso and Vertuoz Habitat offers).  </w:t>
        <w:br/>
        <w:t xml:space="preserve">D. THE REPORTED PRACTICES  </w:t>
        <w:br/>
        <w:t xml:space="preserve">22. Direct Energie denounces four types of practices attributed to the company Engie, which would violate competition rules (file no. 15/0096 M, references 511 to 568):  </w:t>
        <w:br/>
        <w:t xml:space="preserve">- exclusionary pricing practices aimed at residential customers;  </w:t>
        <w:br/>
        <w:t xml:space="preserve">- a pricing strategy to preempt the condominium segment, through contracts imposing loyalty discounts, exclusivities, and anti-competitive exit fees;  </w:t>
        <w:br/>
        <w:t xml:space="preserve">- a predatory strategy towards non-residential customers, particularly in the context of tenders;  </w:t>
        <w:br/>
        <w:t xml:space="preserve">- illicit canvassing of customers on TRV, particularly those who opposed the communication of their contact details to alternative suppliers.  </w:t>
        <w:br/>
        <w:t>23. According to Direct Energie, by implementing these practices, the company Engie would have abused its dominant position in the markets for the supply of natural gas to consumers.</w:t>
      </w:r>
    </w:p>
    <w:p>
      <w:r>
        <w:rPr>
          <w:b/>
        </w:rPr>
        <w:t>[Pages 10–12]</w:t>
      </w:r>
    </w:p>
    <w:p>
      <w:r>
        <w:t xml:space="preserve">French, a practice prohibited by the provisions of Articles L. 420-2 of the Commercial Code and 102 of the Treaty on the Functioning of the European Union (hereinafter "TFEU").  </w:t>
        <w:br/>
        <w:t xml:space="preserve">E. THE REQUEST FOR CONSERVATORY MEASURES AND THE AUTHORITY'S DECISION NO. 16-MC-01  </w:t>
        <w:br/>
        <w:t xml:space="preserve">24. In addition to its main application, Direct Energie submitted a request for conservatory measures (file no. 15/0096 M, references 581 to 609). By decision no. 16-MC-01 of May 2, 2016, the Authority decided to impose conservatory measures concerning the individualized offers that Engie proposes to non-residential customers. Engie was thus required to:  </w:t>
        <w:br/>
        <w:t xml:space="preserve">- set the prices of its individualized offers at a level that allows covering the avoidable costs of these offers, including the avoidable costs related to energy savings certificates and commercial costs, taking into account all costs that the Regulatory Commission for Energy has already identified or will identify in the future under regulatory accounting as to be excluded from the costs of offers at regulated tariffs, insofar as they relate to individualized offers;  </w:t>
        <w:br/>
        <w:t xml:space="preserve">- cover, ex ante as well as ex post, its avoidable costs by cohort of individualized offers subscribed each quarter and for each of the ten largest individualized offers in value subscribed each quarter, starting from the third quarter of 2016;  </w:t>
        <w:br/>
        <w:t xml:space="preserve">- make available to the Authority and the CRE, upon request, the detailed elements used for the calculation of avoidable costs, including the precise list of costs taken into account, the evaluation method followed, and the time horizon retained, no later than thirty days after the end of each quarter.  </w:t>
        <w:br/>
        <w:t xml:space="preserve">25. The Authority also considered that the investigation should continue on the merits for all the practices denounced.  </w:t>
        <w:br/>
        <w:t xml:space="preserve">II. The implementation of the commitments procedure  </w:t>
        <w:br/>
        <w:t xml:space="preserve">A. THE PRELIMINARY ASSESSMENT  </w:t>
        <w:br/>
        <w:t xml:space="preserve">26. In accordance with I of Article L. 464-2 and Article R. 464-2 of the Commercial Code, the investigation services expressed competition concerns in a preliminary assessment note. This preliminary assessment was transmitted to Engie, to Direct Energie, and to the Government Commissioner on March 13, 2017.  </w:t>
        <w:br/>
        <w:t xml:space="preserve">1. THE APPLICABILITY OF EU LAW  </w:t>
        <w:br/>
        <w:t xml:space="preserve">27. Article 102 of the TFEU prohibits, insofar as trade between Member States may be affected, the abuse by one or more undertakings of a dominant position within the internal market or in a substantial part of it.  </w:t>
        <w:br/>
        <w:t xml:space="preserve">28. In accordance with the consistent case law of the European courts, and in light of the European Commission's communication regarding the concept of affecting trade as set out in Articles 81 and 82 of the EC Treaty (now Articles 101 and 102 of the TFEU), three elements must be met for practices to be deemed capable of significantly affecting trade between Member States (pages 81 to 96 of the communication): the existence of exchanges, at least potential, between Member States concerning the services in question (i), the existence of practices likely to affect these exchanges (ii), and the sensitive nature of this possible effect (iii).  </w:t>
        <w:br/>
        <w:t xml:space="preserve">29. In this case, the practices implemented by Engie cover the entire French territory and are likely to make it more difficult for competitors from other Member States to penetrate the French gas and metering services markets.  </w:t>
        <w:br/>
        <w:t xml:space="preserve">30. Furthermore, by allowing Engie to secure a significant volume of retail gas supply in the French markets, Engie's practices are a source of externalities likely to also alter the competitive position of Engie and its competitors active in other Member States.  </w:t>
        <w:br/>
        <w:t xml:space="preserve">31. Finally, Engie markets gas offers at regulated tariffs in the service area of GRDF, which covers almost all French gas consumers (95%). Engie's practices are therefore likely to significantly affect trade between Member States.  </w:t>
        <w:br/>
        <w:t xml:space="preserve">32. It follows from the above that Engie's practices are likely to significantly affect trade between Member States and to be classified under Article 102 of the TFEU.  </w:t>
        <w:br/>
        <w:t xml:space="preserve">2. THE DEFINITION OF RELEVANT MARKETS AND ENGIE'S POSITION  </w:t>
        <w:br/>
        <w:t xml:space="preserve">a) The relevant markets  </w:t>
        <w:br/>
        <w:t xml:space="preserve">33. In this case, several markets related to the practices can be defined: on the one hand, the markets for the retail supply of gas and, on the other hand, the market for the provision of individual gas consumption metering services.  </w:t>
        <w:br/>
        <w:t xml:space="preserve">The markets for the retail supply of gas  </w:t>
        <w:br/>
        <w:t xml:space="preserve">34. In its decision no. 16-MC-01 regarding the request for conservatory measures concerning the practices in question (§ 52 to 74), the Authority considered that it was appropriate to retain, on the one hand, a French market for the retail supply of gas to residential customers and, on the other hand, a French market for the retail supply of gas to non-residential customers connected to the distribution network (thus excluding customers connected to the transmission network).  </w:t>
        <w:br/>
        <w:t xml:space="preserve">35. Indeed, the decision-making practice retains a distinction based on whether the customers are residential or non-residential and whether non-residential customers are connected to the transmission network or the distribution network (see Authority decision no. 14-MC-02, §§ 45-48 and 61). Furthermore, the current conditions of the sector lead to maintaining a definition of the relevant markets that includes all residential customers, on the one hand, and non-residential customers, on the other hand, without distinguishing between offers at regulated tariffs and market offers.  </w:t>
        <w:br/>
        <w:t xml:space="preserve">36. No new element has altered the Authority's analysis on this issue since then, and it is therefore appropriate to also adopt these definitions in the context of this decision.  </w:t>
        <w:br/>
        <w:t xml:space="preserve">37. Finally, from a geographical perspective, it is also appropriate to adopt a national dimension for the markets (see decision no. 16-MC-01, §§ 72 to 74).  </w:t>
        <w:br/>
        <w:t xml:space="preserve">The market for the provision of individual consumption metering services downstream of a natural gas distribution network connection point  </w:t>
        <w:br/>
        <w:t xml:space="preserve">38. Advanced gas consumption metering services generally consist of the following services (file no. 15/0096 M, reference 16): the installation, rental, and maintenance of metering equipment, as well as periodic remote reading and communication of readings.  </w:t>
        <w:br/>
        <w:t xml:space="preserve">39. In the gas sector, there are two types of metering services: services allowing advanced consumption metering at a connection point, generally through smart meters intended to replace traditional meters, and metering services allowing the individualization of gas consumption downstream of a connection point. The latter allow for the measurement of the actual consumption of each of the different sites or equipment of a site connected to said connection point and are, in particular, progressively implemented within condominiums supplied with natural gas collectively for heating, hot water, and, more rarely, cooking.  </w:t>
        <w:br/>
        <w:t xml:space="preserve">40. In the aforementioned decision no. 16-MC-01 (§ 75 to 80), the Authority retained a market for the provision of individual consumption metering services downstream of a natural gas distribution network connection point. It is appropriate to retain this definition again in the context of this decision.  </w:t>
        <w:br/>
        <w:t xml:space="preserve">41. Furthermore, from a geographical perspective, the market has a national dimension since (i) the regulation concerning individual meters in collective buildings primarily used for housing is national and (ii) the providers of the services in question operate throughout the national territory.  </w:t>
        <w:br/>
        <w:t xml:space="preserve">42. It follows from the above that the relevant market can be defined as the French market for the provision of individual consumption metering services downstream of a natural gas distribution network connection point.  </w:t>
        <w:br/>
        <w:t xml:space="preserve">b) Engie's dominant position in the identified natural gas supply markets  </w:t>
        <w:br/>
        <w:t xml:space="preserve">Applicable principles  </w:t>
        <w:br/>
        <w:t>43. Article 102 of the TFEU concerns a situation of economic power held by an undertaking that gives it the ability to impede the maintenance of effective competition in the relevant market, providing it with the possibility of independent behavior to a significant extent with respect to its competitors, its customers, and ultimately consumers (Court of Justice, judgment of February 13, 1979, Hoffmann-La Roche &amp; Co. AG/Com., case 85/76, paragraph 38; Court of Justice, judgment of December 6, 2012, AstraZeneca e.a./Com., C-457/10 P, paragraph 175).</w:t>
      </w:r>
    </w:p>
    <w:p>
      <w:r>
        <w:rPr>
          <w:b/>
        </w:rPr>
        <w:t>[Pages 13–15]</w:t>
      </w:r>
    </w:p>
    <w:p>
      <w:r>
        <w:t xml:space="preserve">44. The assessment of a company's dominant position is therefore carried out based on a set of indicators that take into account structural data, such as the market shares of the company and those of its main competitors, but also elements that may provide a competitive advantage to the company in question, such as belonging to a powerful group or holding a technological lead.  </w:t>
        <w:br/>
        <w:t xml:space="preserve">45. With regard specifically to market shares, the Court of Justice considers that a significant market share allows for the presumption of the existence of a dominant position: "As for market shares, the Court has held (judgment of February 13, 1979, Hoffmann La Roche, point 41, 85/76, Rec. p. 461) that extremely large shares constitute, by themselves, and unless exceptional circumstances exist, proof of the existence of a dominant position. This is the case for a market share of 50% as observed in this instance" (Court of Justice, judgment of July 3, 1991, Akzo Chemie BV / Com., C-62/86, paragraph 60).  </w:t>
        <w:br/>
        <w:t xml:space="preserve">46. Finally, a decrease in market shares during the period concerned by the practices does not exclude the existence of a dominant position, as a reduction in still very significant market shares cannot, in itself, constitute proof of the absence of a dominant position (Tribunal, judgment AstraZeneca AB et al. / Com. cited above, paragraph 288). The Authority has also noted that decreasing market shares that remain significant can constitute a relevant element for qualifying a dominant position (decision no. 10-D-32 cited above, §§ 274 and 275).  </w:t>
        <w:br/>
        <w:t xml:space="preserve">Application to the case at hand  </w:t>
        <w:br/>
        <w:t>47. Engie's position in the relevant markets can be assessed, in particular, in light of the number of sites served (see in particular decision no. 16-MC-01, §§ 95 to 97). The two tables below present the market shares of Engie and its main competitors in the market for the supply of natural gas to residential customers, on the one hand, and in the market for the supply of gas to non-residential customers, on the other hand.</w:t>
      </w:r>
    </w:p>
    <w:p>
      <w:r>
        <w:t xml:space="preserve">Table 1 - Market shares of the Engie group in the market for the supply of natural gas to residential customers by number of sites – 2014 - December 2016  </w:t>
        <w:br/>
        <w:t xml:space="preserve">2014 30 June 2015 31 December 2016  </w:t>
        <w:br/>
        <w:t xml:space="preserve">Segment Segment Segment  </w:t>
        <w:br/>
        <w:t xml:space="preserve">Competitive Competitive Competitive  </w:t>
        <w:br/>
        <w:t xml:space="preserve">Market Market Market  </w:t>
        <w:br/>
        <w:t xml:space="preserve">Engie 79.8 48.4 78.8 51.3  </w:t>
        <w:br/>
        <w:t xml:space="preserve">Other 77.0 51.1  </w:t>
        <w:br/>
        <w:t xml:space="preserve">suppliers 3.2 0.1 3.2 0.1  </w:t>
        <w:br/>
        <w:t xml:space="preserve">Historical  </w:t>
        <w:br/>
        <w:t xml:space="preserve">Alternative 7.5 22.8 8.2 22.1  </w:t>
        <w:br/>
        <w:t xml:space="preserve">suppliers 23.0 48.9  </w:t>
        <w:br/>
        <w:t xml:space="preserve">excluding EDF  </w:t>
        <w:br/>
        <w:t xml:space="preserve">EDF 9.5 28.8 9.8 26.6  </w:t>
        <w:br/>
        <w:t>Source: CRE, Electricity and Natural Gas Market Observatory, Retail Markets, 4th quarter 2014, p. 26; Electricity and Natural Gas Market Observatory, Retail Markets, 2nd quarter 2015, p. 26; Electricity and Natural Gas Market Observatory, Retail Markets, 4th quarter 2016, p. 28; and reference 1316.</w:t>
      </w:r>
    </w:p>
    <w:p>
      <w:r>
        <w:t xml:space="preserve">Table 2 - Market shares of the Engie group in the market for the supply of natural gas to non-residential customers by number of sites – 2014 - December 2016  </w:t>
        <w:br/>
        <w:t xml:space="preserve">2014 30 June 2015 31 December 2016  </w:t>
        <w:br/>
        <w:t xml:space="preserve">Segment Segment Segment  </w:t>
        <w:br/>
        <w:t xml:space="preserve">Competitive Competitive Competitive  </w:t>
        <w:br/>
        <w:t xml:space="preserve">Market Market Market  </w:t>
        <w:br/>
        <w:t xml:space="preserve">Engie 65.5 45.4 62.8 52.0  </w:t>
        <w:br/>
        <w:t xml:space="preserve">Other 61 55.7  </w:t>
        <w:br/>
        <w:t xml:space="preserve">suppliers 3.5 5.9 4.2 5.6  </w:t>
        <w:br/>
        <w:t xml:space="preserve">Historical  </w:t>
        <w:br/>
        <w:t xml:space="preserve">Alternative 15.3 25.7 17.5 23.3  </w:t>
        <w:br/>
        <w:t xml:space="preserve">suppliers 39 44.3  </w:t>
        <w:br/>
        <w:t xml:space="preserve">excluding EDF  </w:t>
        <w:br/>
        <w:t xml:space="preserve">EDF 15.7 26.4 15.5 20.7  </w:t>
        <w:br/>
        <w:t>Source: CRE, Electricity and Natural Gas Market Observatory, Retail Markets, 4th quarter 2014, p. 26; Electricity and Natural Gas Market Observatory, Retail Markets, 2nd quarter 2015, p. 26; Electricity and Natural Gas Market Observatory, Retail Markets, 4th quarter 2016, p. 28; and reference 1316.</w:t>
      </w:r>
    </w:p>
    <w:p>
      <w:r>
        <w:t xml:space="preserve">48. Although declining since the opening of the market to competition, Engie's market shares are still very significant in the market for the supply of natural gas to residential customers, as indicated in the table above. Furthermore, Engie's market shares are also still significant in the market for the supply of natural gas to non-residential customers.  </w:t>
        <w:br/>
        <w:t xml:space="preserve">49. Moreover, as indicated in decision no. 16-MC-01 (§ 111 to 115), additional elements attest to the existence of a dominant position for Engie, including:  </w:t>
        <w:br/>
        <w:t xml:space="preserve">- the gap between the market share of the historical operator and those of its competitors, which remains significant;  </w:t>
        <w:br/>
        <w:t xml:space="preserve">- the fact that Engie benefits from significant notoriety linked to its status as a historical operator;  </w:t>
        <w:br/>
        <w:t xml:space="preserve">- the fact that the options for residential customers to switch providers are limited by their very imperfect understanding of how the gas market operates. In particular, in 2016, 46% of gas-consuming households still did not know that they could change their gas supplier (file no. 15/0096 M, reference 3599);  </w:t>
        <w:br/>
        <w:t xml:space="preserve">- the barriers to entry and expansion in these markets, particularly the technical and regulatory constraints that apply to licensed natural gas suppliers.  </w:t>
        <w:br/>
        <w:t xml:space="preserve">50. It follows from all of the above that Engie can be considered to be in a dominant position in the markets for the supply of gas to residential and non-residential customers.  </w:t>
        <w:br/>
        <w:t xml:space="preserve">3. COMPETITION CONCERNS  </w:t>
        <w:br/>
        <w:t xml:space="preserve">51. The substantive investigation shows that both pricing practices (a) and certain clauses in individual metering and gas supply contracts (b) are likely to constitute abuses of a dominant position contrary to Articles L. 420-2 of the Commercial Code and 102 of the TFEU.  </w:t>
        <w:br/>
        <w:t xml:space="preserve">a) On pricing practices  </w:t>
        <w:br/>
        <w:t xml:space="preserve">Reminder of decision-making practice and case law  </w:t>
        <w:br/>
        <w:t xml:space="preserve">52. A low pricing practice implemented by a company in a dominant position can be qualified as a predatory pricing practice when the prices do not allow the dominant company to cover certain costs.  </w:t>
        <w:br/>
        <w:t xml:space="preserve">53. A low pricing practice can also be qualified as an exclusionary pricing practice due to its potential effects on competition. As emphasized by the Paris Court of Appeal in its judgment of November 6, 2014, "the Court of Justice has, in [the judgment Post Danmark A/S against Konkurrencerådet, aff. C-23/14, point 27] considered that this framework is not only relevant for assessing the legality of predatory pricing practices, based on a comparison of the concerned prices and some of the costs incurred by the dominant company as well as on the strategy objectively pursued by it, but also, more broadly, for assessing the legality of any low pricing practice implemented by a company occupying a dominant position in light of the prohibition of abuses of dominant position" (Paris Court of Appeal, judgment of November 6, 2014 cited above, p. 47).  </w:t>
        <w:br/>
        <w:t xml:space="preserve">54. In practice, under both domestic and European law (see in particular Court of Justice, judgment of March 27, 2012, Post Danmark A/S against Konkurrencerådet, aff. C-209/10, points 27 and 28 and judgments of the Paris Court of Appeal of November 6, 2014, page 47, and July 28, 2016, pages 8 and 9), the implementation of the cost test, whether to assess the existence of predatory pricing or a practice having an exclusionary effect, mobilizes a double cost standard and is articulated as follows:  </w:t>
        <w:br/>
        <w:t>- white zone: when the prices charged by the company in a dominant position are above the average total costs (ATC, defined as the average of all costs incurred by a company) in the case of a single-product company, or above the average incremental cost (AIC, defined as the average of all costs that could have been avoided by not producing a specific product at all), in the case of a multi-product company, the practice may be presumed lawful;</w:t>
      </w:r>
    </w:p>
    <w:p>
      <w:r>
        <w:rPr>
          <w:b/>
        </w:rPr>
        <w:t>[Pages 16–18]</w:t>
      </w:r>
    </w:p>
    <w:p>
      <w:r>
        <w:t xml:space="preserve">- black (or red) zone: when the prices charged by the company in a dominant position are below the average avoidable costs (AAC, defined as the average of the costs that could have been avoided if the company had not produced the quantity of product subject to analysis), in principle, the practice may be presumed abusive;  </w:t>
        <w:br/>
        <w:t xml:space="preserve">- gray zone: when prices are below the long-term cost standard (LTC/AAC), but above the short-term cost standard (AAC in principle), the practice must be considered abusive if it can be proven either that the prices are set within a plan aimed at eliminating one or more competitors, or that the prices are likely to cause potential or actual exclusion effects.  </w:t>
        <w:br/>
        <w:t xml:space="preserve">55. Regarding the specific case of companies subject to a form of price regulation by public authorities, the Authority recalled in its decision no. 16-MC-01 that "the cost of a service determined by the regulatory accounting maintained by a dominant company in accordance with sectoral rules cannot, in general, be the benchmark against which the pricing practices of that company must necessarily be assessed in light of competition law" (§ 152 of the decision).  </w:t>
        <w:br/>
        <w:t xml:space="preserve">Application to the case at hand  </w:t>
        <w:br/>
        <w:t xml:space="preserve">Price of individualized offers to non-residential customers  </w:t>
        <w:br/>
        <w:t xml:space="preserve">56. In its decision no. 16-MC-01, the Authority specified that Engie acknowledged in the meeting that it was in the "gray zone" from an ex ante perspective for the individualized offers taken as a whole since July 2014 (§ 205 of the decision).  </w:t>
        <w:br/>
        <w:t xml:space="preserve">57. The Authority also considered that the entire activity of providing individualized offers was likely not to be profitable in the short term (§ 206 to 222 of the decision) insofar as:  </w:t>
        <w:br/>
        <w:t xml:space="preserve">- the gross margin of the entire activity of providing individualized offers was low and did not take into account certain avoidable costs, the reintegration of which would result in a negative gross margin (notably energy savings certificates and at least part of the commercial costs);  </w:t>
        <w:br/>
        <w:t xml:space="preserve">- the analysis of the documents provided on the fifty largest volume tenders won by Engie during the period 2013-2015 (which represent a significant fraction of Engie's activity) shows that the gross margin is calculated in the same way as for the entire activity and that it is, in a large number of cases, negative.  </w:t>
        <w:br/>
        <w:t xml:space="preserve">58. In light of these elements, it should be considered that the prices charged by Engie for its entire activity of providing individualized offers to non-residential customers are likely to fall within the "black zone".  </w:t>
        <w:br/>
        <w:t xml:space="preserve">Price of "catalog" offers to residential and non-residential customers  </w:t>
        <w:br/>
        <w:t xml:space="preserve">♦ The relationship between prices and costs of "catalog" offers  </w:t>
        <w:br/>
        <w:t xml:space="preserve">59. The Authority noted in its decision no. 16-MC-01 that the prices of "catalog" offers, both for residential and non-residential customers, were likely to fall within the "gray zone". In particular, the Authority considered that it was probable that the price of many offers would not cover the company's long-term costs, given that the cost data used partly relied on the application of regulatory accounting, which no longer appropriately reflected Engie's commercial strategy (§ 176 to 187 and 196 to 199 of the decision).  </w:t>
        <w:br/>
        <w:t xml:space="preserve">60. The Authority's analysis is supported by the position adopted by the CRE, subsequent to decision no. 16-MC-01. In its deliberation of May 17, 2016, the CRE indeed approved a new method of cost allocation to Engie's regulated tariff offers. The application of this new allocation key allows, according to the regulator, the reallocation of 90 million euros from the regulated tariff supply activity to the market supply activity of gas and electricity.  </w:t>
        <w:br/>
        <w:t xml:space="preserve">61. The Authority therefore considers that the prices of Engie's "catalog" offers, both for residential and non-residential customers, are likely to fall within the "gray zone".  </w:t>
        <w:br/>
        <w:t xml:space="preserve">♦ Other elements in the file  </w:t>
        <w:br/>
        <w:t xml:space="preserve">62. In its decision no. 16-MC-01, the Authority noted other elements likely to support the existence of exclusion effects for offers whose cost coverage falls within the "gray zone". The decision notably pointed out that Engie does not reliably determine either the ex ante profitability or the ex post profitability of its activity of providing "catalog" offers in the residential and non-residential markets (§ 237 to 251).  </w:t>
        <w:br/>
        <w:t xml:space="preserve">b) On the duration, exit conditions, and exclusivities of individual metering service contracts and gas supply contracts concluded with condominiums  </w:t>
        <w:br/>
        <w:t xml:space="preserve">63. The Authority found (see decision no. 16-MC-01, §§ 260 to 271) that the individual metering service contracts and gas supply contracts concluded with condominiums contain clauses that, when practiced by a dominant operator, may, under certain conditions, have an anti-competitive aspect. The Authority particularly noted the following elements:  </w:t>
        <w:br/>
        <w:t xml:space="preserve">- the obligation imposed on customers to reimburse, in the event of early termination at their initiative, in addition to the costs of removing equipment, the unamortized portion of investments, does not appear justified insofar as Engie can, by definition, reuse the unamortized equipment returned by the customer and thus continue this amortization;  </w:t>
        <w:br/>
        <w:t xml:space="preserve">- the ten-year duration of contracts linking individual metering services and natural gas supply seems excessive, at least regarding the supply of gas, since, for this service, such a duration is not justified by the amortization of specific installations;  </w:t>
        <w:br/>
        <w:t xml:space="preserve">- regarding clauses providing for termination indemnities or exit fees to condominiums and social landlords when the contract is terminated following the disappearance of the regulated tariff, although Engie indicated that it has never required such indemnities, the maintenance of such provisions in contracts remains problematic given their dissuasive role towards condominiums unaware that regulations allow them to terminate their offer at the regulated tariff without fees;  </w:t>
        <w:br/>
        <w:t xml:space="preserve">- the clauses of contracts binding condominiums to commit to using only gas as an energy source for heating and, where applicable, for hot water production, could unjustifiably reinforce barriers to the development of other energy sources.  </w:t>
        <w:br/>
        <w:t xml:space="preserve">64. No new element alters these findings. The aforementioned contractual clauses are therefore likely to raise competition concerns.  </w:t>
        <w:br/>
        <w:t xml:space="preserve">B. THE PROPOSED COMMITMENTS  </w:t>
        <w:br/>
        <w:t xml:space="preserve">1. THE COMMITMENTS PROPOSED BY ENGIE ON MARCH 17, 2017  </w:t>
        <w:br/>
        <w:t xml:space="preserve">65. Following the submission of the preliminary assessment by the investigation services, Engie communicated a commitment offer on March 17, 2017 (file no. 15/0095 F, references 805 to 815).  </w:t>
        <w:br/>
        <w:t xml:space="preserve">66. Regarding the competition concern related to the prices of market offers, Engie proposed several commitments aimed at:  </w:t>
        <w:br/>
        <w:t xml:space="preserve">- strengthening the reliability of profitability analyses, with ex ante and ex post profitability analyses identifying the average avoidable cost and the average incremental cost (commitment no. 1.1);  </w:t>
        <w:br/>
        <w:t xml:space="preserve">- setting its prices above the average avoidable cost as identified in its ex ante profitability analyses (commitment no. 1.2);  </w:t>
        <w:br/>
        <w:t xml:space="preserve">- establishing an internal price control process with, notably, validation by an authorized management person in the case of prices below the average incremental cost and taking into account in future ex ante analyses the lessons learned from ex post analyses (commitment no. 1.3);  </w:t>
        <w:br/>
        <w:t xml:space="preserve">- enhancing awareness of the pricing aspects of competition rules among Engie's staff (training and commitment to comply with competition law) (commitment no. 1.4).  </w:t>
        <w:br/>
        <w:t xml:space="preserve">67. Regarding the clauses of individual metering service contracts and gas supply contracts concluded with condominiums, Engie proposed:  </w:t>
        <w:br/>
        <w:t xml:space="preserve">- to inform its customers about the possibility of terminating without fees and to terminate at the end of 5 years (commitment no. 2);  </w:t>
        <w:br/>
        <w:t xml:space="preserve">- not to include clauses extending the customers' commitment to 10 years or providing for the payment of termination indemnities covering unamortized investments in equipment (commitment no. 2).  </w:t>
        <w:br/>
        <w:t xml:space="preserve">68. Overall, Engie proposed that an independent representative be appointed to ensure compliance with the commitments (commitment no. 3);  </w:t>
        <w:br/>
        <w:t xml:space="preserve">69. Finally, regarding the duration of the commitments, Engie proposed to retain:  </w:t>
        <w:br/>
        <w:t>- a duration of five years from the notification of the Authority's decision making said commitments mandatory or from the date of removal of regulated tariffs</w:t>
      </w:r>
    </w:p>
    <w:p>
      <w:r>
        <w:rPr>
          <w:b/>
        </w:rPr>
        <w:t>[Pages 19–21]</w:t>
      </w:r>
    </w:p>
    <w:p>
      <w:r>
        <w:t xml:space="preserve">years from the notification of the Authority's decision making said commitments mandatory for commitments related to market offers proposed to residential customers;  </w:t>
        <w:br/>
        <w:t xml:space="preserve">- a duration of three years from the notification of the Authority's decision making said commitments mandatory for commitments related to market offers proposed to non-residential customers connected to the distribution network;  </w:t>
        <w:br/>
        <w:t xml:space="preserve">- a duration of three years from the notification of the Authority's decision making said commitments mandatory (noting that the customer information actions referred to in section 2 will be deemed completed as soon as Engie has provided said information to the customers) concerning the commitment related to future contracts proposed to condominiums.  </w:t>
        <w:br/>
        <w:t xml:space="preserve">2. OBSERVATIONS RECEIVED DURING THE MARKET TEST  </w:t>
        <w:br/>
        <w:t xml:space="preserve">70. In accordance with Article R. 464-2 of the Commercial Code, the Authority submitted, as part of a market test, the commitments proposed by Engie to the parties and third parties concerned. The CRE was also seized on April 3, 2017, with a request for an opinion regarding said commitments.  </w:t>
        <w:br/>
        <w:t xml:space="preserve">71. On this occasion, the Authority collected observations from the Government Commissioner, the complainant, as well as from ENI, the French independent electricity and gas association (hereinafter "AFIEG") and the national association of energy retailers (hereinafter "ANODE"). The CRE, seized for opinion, also communicated to the Authority a deliberation containing observations on the commitments.  </w:t>
        <w:br/>
        <w:t xml:space="preserve">72. The Government Commissioner considers that the commitments proposed by Engie are likely to address the competition concerns raised, subject to minor modifications (file no. 15/0095 F, reference 920), while Direct Energie, as well as ANODE, ENI, and AFIEG, consider them insufficient. Direct Energie primarily argues that the use of the commitments procedure is inappropriate in this case and, in a subsidiary manner, criticizes the commitments presented on the grounds that they would not prevent any risk of anti-competitive practices implemented by Engie.  </w:t>
        <w:br/>
        <w:t xml:space="preserve">73. Essentially, the various observations received concern the following points: the regularity of the investigation (a), the possibility of resorting to the commitments procedure in view of the nature of the practices (b), the content of the preliminary assessment (c), the pricing commitments (d), the commitments related to contracts concluded with condominiums (e), the absence of commitments related to the solicitation of customers for offers at regulated tariffs (f), and the monitoring of commitments (g).  </w:t>
        <w:br/>
        <w:t xml:space="preserve">a) On the regularity of the investigation  </w:t>
        <w:br/>
        <w:t xml:space="preserve">74. Primarily, Direct Energie argues in its observations that the investigation services could not resort to a commitments procedure for the following reasons:  </w:t>
        <w:br/>
        <w:t xml:space="preserve">- the Authority being seized in rem, it could not on the same day render a condemnation decision (transaction decision no. 17-D-06) and open a commitments procedure concerning the same markets;  </w:t>
        <w:br/>
        <w:t xml:space="preserve">- Article 4 of decision no. 16-MC-01 and the ruling of the Paris Court of Appeal of July 28, 2016, required the investigation services to continue the substantive investigation and to carry out additional investigative acts;  </w:t>
        <w:br/>
        <w:t xml:space="preserve">- the choice of a transaction in file no. 14/0037 F and the choice of a commitments procedure in file no. 15/0095 F could reflect a "diversion of procedure."  </w:t>
        <w:br/>
        <w:t xml:space="preserve">b) On the possibility of resorting to the commitments procedure in view of the nature of the practices  </w:t>
        <w:br/>
        <w:t xml:space="preserve">75. Regarding pricing aspects, Direct Energie considers that the commitments procedure could not be used in this case, as the behaviors that are the subject of competition concerns are inherently anti-competitive or have effects that are such that they call for the imposition of a sanction a priori. These practices would be of particular seriousness and constitute a "manifest disturbance to public order," excluding by their very nature any recourse to the commitments procedure.  </w:t>
        <w:br/>
        <w:t xml:space="preserve">c) On the content of the preliminary assessment  </w:t>
        <w:br/>
        <w:t xml:space="preserve">76. Direct Energie considers that the investigation services should have noted in their preliminary assessment that the mere fact that Engie renounces profits by selling its market offers to residential customers at prices lower than the regulated tariffs constitutes an exclusionary practice. Direct Energie and ANODE also believe that Engie should commit to not actively marketing market offers to customers at regulated tariffs at prices lower than those tariffs.  </w:t>
        <w:br/>
        <w:t xml:space="preserve">d) On the pricing aspects of market offers  </w:t>
        <w:br/>
        <w:t xml:space="preserve">On the scope of the offers concerned  </w:t>
        <w:br/>
        <w:t xml:space="preserve">77. In its initial proposal, Engie planned to exclude from the obligation to establish PnL the "catalog" offers for residential and non-residential customers "whose share in the stock is less than 1% of the portfolio and whose subscription rate per quarter is less than 10%." Furthermore, Engie indicated that the segmentation between the ranges of 0-6 MWh, 6-30 MWh, and 30-300 MWh would only apply to the extent that the variable share of the offers concerned varies according to the different ranges. Regarding individualized offers, Engie limited the scope of the commitments to the ten largest offers subscribed each quarter.  </w:t>
        <w:br/>
        <w:t xml:space="preserve">78. Direct Energie, ENI, and ANODE believe that the commitments should target all market offers. ENI specifies that profitability analyses should occur offer by offer and especially from an ex ante perspective, as competition occurs offer by offer.  </w:t>
        <w:br/>
        <w:t xml:space="preserve">79. Direct Energie and ANODE also consider that segmentation by consumption range is always necessary.  </w:t>
        <w:br/>
        <w:t xml:space="preserve">On the determination of costs  </w:t>
        <w:br/>
        <w:t xml:space="preserve">80. The observations on this subject concern the degree of precision of the cost components taken into account and their definition, on the one hand, and the determination of avoidable cost and incremental cost, on the other hand.  </w:t>
        <w:br/>
        <w:t xml:space="preserve">81. Regarding the cost components taken into account, ENI, Direct Energie, and ANODE argue in their observations that Engie's commitments would be insufficient to allow for effective monitoring by the Authority, as the content of the various components it intends to add in these analyses is not specified at all.  </w:t>
        <w:br/>
        <w:t xml:space="preserve">82. Furthermore, Direct Energie considers that the proposal for commitments is insufficient as it would not provide any indication regarding the proportion of cost components that should be included in the avoidable cost (CEM) or the incremental cost (CIM).  </w:t>
        <w:br/>
        <w:t xml:space="preserve">On the relevant time horizon for avoidability  </w:t>
        <w:br/>
        <w:t xml:space="preserve">83. In its initial commitments proposal, Engie indicated that it intended to calculate the level of avoidability of each cost component based on the average duration of contracts for each category of offers (catalog offers to residential customers, catalog offers to non-residential customers, individualized offers).  </w:t>
        <w:br/>
        <w:t xml:space="preserve">84. However, AFIEG, Direct Energie, and ANODE believe that only the contractual duration of each offer would reflect reality, as market offers are independent commercial products from one another.  </w:t>
        <w:br/>
        <w:t xml:space="preserve">On the use of regulatory accounting for valuation  </w:t>
        <w:br/>
        <w:t xml:space="preserve">85. ANODE, Direct Energie, and ENI believe that the use of allocation keys derived from regulatory accounting to determine the share of costs allocated to market offers is not adequate, given (i) the failures observed in the past with this type of rules and (ii) that they were not designed to prevent a practice of predatory pricing or exclusionary pricing.  </w:t>
        <w:br/>
        <w:t xml:space="preserve">On the determination of volumes and revenues from an ex ante perspective  </w:t>
        <w:br/>
        <w:t xml:space="preserve">86. Direct Energie considers that Engie's commitments would also be too imprecise regarding both the volumes and the revenues taken into account in profitability analyses.  </w:t>
        <w:br/>
        <w:t xml:space="preserve">On the pricing positioning of Engie's offers  </w:t>
        <w:br/>
        <w:t xml:space="preserve">87. Some respondents consider that the avoidable cost standard would not be appropriate. Thus, according to AFIEG, ANODE, and Direct Energie, Engie should commit to setting its prices at a level above the long-term cost standard and not just cover its avoidable costs in the short term.  </w:t>
        <w:br/>
        <w:t xml:space="preserve">On the monitoring of pricing policy  </w:t>
        <w:br/>
        <w:t xml:space="preserve">88. Direct Energie specifies that it would be necessary for ex post PnL for each group of individualized offers expiring in a given quarter to be established as soon as the commitments are implemented (and thus even if they have not been subject to ex ante analyses).  </w:t>
        <w:br/>
        <w:t xml:space="preserve">On the duration of commitments regarding pricing  </w:t>
        <w:br/>
        <w:t xml:space="preserve">89. The fact that Engie plans to commit to residential customers for a period of five years, unless the regulated tariffs disappear in the meantime, is criticized by the Government Commissioner, the CRE, ANODE, and Direct Energie.  </w:t>
        <w:br/>
        <w:t>90. Direct Energie further considers that the three-year commitment duration for non-residential customers is inadequate and that it should be replaced by a duration of five years.</w:t>
      </w:r>
    </w:p>
    <w:p>
      <w:r>
        <w:rPr>
          <w:b/>
        </w:rPr>
        <w:t>[Pages 22–24]</w:t>
      </w:r>
    </w:p>
    <w:p>
      <w:r>
        <w:t xml:space="preserve">ans. The CRE further believes that Engie's commitments should apply as long as the supplier remains dominant.  </w:t>
        <w:br/>
        <w:t xml:space="preserve">91. Finally, both Direct Energie and ANODE emphasize that the commitments must be applied throughout the entire duration of the contracts as long as these have been signed before the end of the validity period of the commitments.  </w:t>
        <w:br/>
        <w:t xml:space="preserve">e) On the clauses of contracts relating to condominiums  </w:t>
        <w:br/>
        <w:t xml:space="preserve">92. ENI considers, regarding the commitment related to future contracts, that a contract duration of five years would be too long, concerning individual consumers.  </w:t>
        <w:br/>
        <w:t xml:space="preserve">f) On the canvassing of customers at regulated tariffs  </w:t>
        <w:br/>
        <w:t xml:space="preserve">93. ANODE believes that the proposal should include commitments related to the prohibition for Engie to canvass customers at regulated tariffs (reference 925).  </w:t>
        <w:br/>
        <w:t xml:space="preserve">g) On the monitoring of commitments  </w:t>
        <w:br/>
        <w:t xml:space="preserve">94. Direct Energie believes that the powers entrusted to the representative, as well as its missions, are not sufficiently detailed, whereas this is essential for Engie's compliance with its commitments. Direct Energie considers that the commitments should be specified on several points, particularly regarding the scope of the representative's mission and its ability to request modifications from Engie regarding its cost allocation key.  </w:t>
        <w:br/>
        <w:t xml:space="preserve">95. ENI also believes that the representative should present reports to the Authority more frequently than once a year, in order to allow the Authority to quickly address any offer that raises questions.  </w:t>
        <w:br/>
        <w:t xml:space="preserve">C. THE COMMITMENTS PROPOSED BY ENGIE ON JUNE 29, 2017, AND JULY 13, 2017  </w:t>
        <w:br/>
        <w:t xml:space="preserve">96. After becoming aware of the results of the market test, Engie communicated to the instructing services, on June 29, 2017, a new version of its commitments, which was then discussed during the session on July 5, 2017.  </w:t>
        <w:br/>
        <w:t xml:space="preserve">97. A new version of these commitments, modified to take into account the discussions that took place during the session, was then submitted to the Authority on July 13, 2017.  </w:t>
        <w:br/>
        <w:t xml:space="preserve">III. Discussion  </w:t>
        <w:br/>
        <w:t xml:space="preserve">A. ON THE REGULARITY OF THE INSTRUCTION  </w:t>
        <w:br/>
        <w:t xml:space="preserve">98. First, it should be recalled that the Paris Court of Appeal, in its judgment of December 19, 2013, in the case of Cogent Communications France, noted that "the commitments procedure is one of the tools that allows a competition authority to fulfill its mission of ensuring the functioning of competition in the markets, this mission of defending the economic public order empowering said authority to make commitments decisions, not to satisfy the request of a complaining party but to put an end to situations that may be detrimental to competition."  </w:t>
        <w:br/>
        <w:t xml:space="preserve">99. In this context, it should be noted that none of the arguments put forward by Direct Energie are of a nature to call into question the regularity of the instruction and the choices made by the instructing services.  </w:t>
        <w:br/>
        <w:t xml:space="preserve">100. First, the fact that the Authority is seized in rem does not prevent it from instructing and ruling within the framework of distinct seizures on distinct practices of the same company. Indeed, the in rem seizure simply implies that the Authority is seized "of all the facts and practices affecting the functioning of a market and is not bound by the requests and qualifications of the seizing party, [and that it] can, without having to seize ex officio, retain the practices revealed by the investigations it has conducted following its seizure which, although not expressly mentioned therein, have the same object or effect" (Paris Court of Appeal, January 30, 2007, Le Foll, page 8).  </w:t>
        <w:br/>
        <w:t xml:space="preserve">101. Secondly, Article 4 of the interim measures decision no. 16-MC-01 and the judgment of the Paris Court of Appeal of July 28, 2016, which stipulate that the instructing services must continue the substantive instruction, do not impose in any way on them to resort to one procedural avenue or another among those defined by I of Article L. 464-2 of the Commercial Code, and in particular not to resort to a procedure that could lead to the imposition of a sanction rather than a procedure that could result in the acceptance of commitments. Indeed, I of Article L. 464-2 of the Commercial Code allows the Authority to "accept commitments proposed by companies or organizations that are likely to put an end to its competition concerns that may constitute prohibited practices referred to in Articles L. 420-1 to L. 420-2-2 and L. 420-5 or contrary to measures taken under Article L. 410-3." Thus, the commitments procedure is indeed a means of resolving a contentious case before the Authority.  </w:t>
        <w:br/>
        <w:t xml:space="preserve">102. Thirdly, the respective progress of the procedures relating to files no. 14/0037 F and no. 15/0095 F cannot, in itself, constitute an indication of any abuse of power or procedure on the part of the instructing services. The reference by Direct Energie to a "risk of compromise," which is not based on any tangible element, is therefore unfounded.  </w:t>
        <w:br/>
        <w:t xml:space="preserve">103. The arguments of Direct Energie regarding the regularity of the instruction will therefore be rejected.  </w:t>
        <w:br/>
        <w:t xml:space="preserve">B. ON THE NATURE AND EFFECTS OF THE BEHAVIORS GIVING RISE TO COMPETITION CONCERNS  </w:t>
        <w:br/>
        <w:t xml:space="preserve">104. As previously indicated, I of Article L. 464-2 of the Commercial Code allows the Authority to "accept commitments proposed by companies or organizations that are likely to put an end to its competition concerns that may constitute prohibited practices referred to in Articles L. 420-1 to L. 420-2-2 and L. 420-5 or contrary to measures taken under Article L. 410-3," according to the modalities set forth in Article R. 464-2 of the same code. Thus, the Authority can accept commitments as long as they are likely to address the identified competition concerns.  </w:t>
        <w:br/>
        <w:t xml:space="preserve">105. In its press release of March 2, 2009, the Authority specifies that the implementation of the commitments procedure "allows the Authority to accelerate the resolution of cases not concerning practices whose nature or effects are such that they call for the imposition of a sanction a priori" and that "the Authority does not apply the commitments procedure in cases where, in any event, the infringement of the economic public order requires the imposition of financial sanctions, which notably excludes a priori particularly serious collusions such as cartels and certain abuses of dominant position that have already caused significant damage to the economy."  </w:t>
        <w:br/>
        <w:t xml:space="preserve">106. As specified in the aforementioned press release, the Authority thus has broad discretion to determine the most appropriate procedural avenue among those provided for by I of Article L. 464-2 of the Commercial Code, and in particular to choose between the procedure for accepting commitments and the sanction procedure.  </w:t>
        <w:br/>
        <w:t xml:space="preserve">107. In this regard, the Authority has already considered that resorting to a commitments procedure could constitute an adequate solution to ensure the effectiveness of competition in a market undergoing liberalization, while the competition concerns were related to potential price squeeze effects resulting from the pricing practices of the historical electricity supplier (decision no. 07-D-43 of December 10, 2007, concerning practices implemented by the historical electricity operator).  </w:t>
        <w:br/>
        <w:t xml:space="preserve">108. In this context, Engie's behaviors, which constitute recent practices, as they would have been implemented since the middle of 2014, and which were the subject of a decision for interim measures on May 2, 2016, are not, in any event, of a nature that necessarily calls for the imposition of a sanction.  </w:t>
        <w:br/>
        <w:t xml:space="preserve">109. Direct Energie's argument will therefore be rejected.  </w:t>
        <w:br/>
        <w:t xml:space="preserve">C. ON THE CONTENT OF THE PRELIMINARY ASSESSMENT  </w:t>
        <w:br/>
        <w:t xml:space="preserve">110. As indicated above, Direct Energie believes that the instructing services should have noted in their preliminary assessment that the mere fact that Engie forgoes profits by selling its market offers to residential customers at prices lower than the regulated tariffs constitutes an exclusionary practice.  </w:t>
        <w:br/>
        <w:t xml:space="preserve">111. However, decision no. 16-MC-01 has already addressed a similar argument (§ 139 of the decision): "It is not (...) possible to consider that selling offers at a price lower than the price of the regulated tariffs necessarily constitutes a loss of earnings for Engie and a clear indication of anti-competitive intent. Such behavior may be economically justified, for example, if, in the absence of such offers at a price lower than the regulated tariff, a significant fraction of Engie's customers were to switch suppliers to subscribe to a market offer with a competitor."  </w:t>
        <w:br/>
        <w:t>112. Therefore, the mere fact that Engie offers market offers at prices lower than the regulated tariffs cannot, in any event, constitute, in itself, an anti-competitive practice. Direct Energie's argument will therefore be rejected.</w:t>
      </w:r>
    </w:p>
    <w:p>
      <w:r>
        <w:rPr>
          <w:b/>
        </w:rPr>
        <w:t>[Pages 25–27]</w:t>
      </w:r>
    </w:p>
    <w:p>
      <w:r>
        <w:t xml:space="preserve">D. ON THE PRICING ASPECTS OF THE COMMITMENTS  </w:t>
        <w:br/>
        <w:t xml:space="preserve">1. ON THE SCOPE OF THE OFFERS CONCERNED  </w:t>
        <w:br/>
        <w:t xml:space="preserve">a) On the "catalogue" offers  </w:t>
        <w:br/>
        <w:t xml:space="preserve">113. The commitments presented in the latest version provided by Engie specify that the obligation to carry out ex ante and ex post PnLs will concern all "catalogue" offers, except for those offers whose share in the stock is less than 1%, and whose subscription rate for the considered quarter is less than 2%. Furthermore, the PnLs carried out must always represent at least 95% of the contracts subscribed during the considered period. Finally, the profitability analyses must always distinguish between the different consumption brackets (0-6 MWh, 6-30 MWh, and 30-300 MWh).  </w:t>
        <w:br/>
        <w:t xml:space="preserve">114. The scope proposed by Engie in its latest proposal adequately addresses competition concerns, as it allows for a comprehensive and detailed coverage of almost all of the company's "catalogue" offers. The scope of the exception to the establishment of ex ante and ex post PnLs has thus been considerably reduced, addressing the objections raised on this point during the market test. Such a formulation limits the risk of Engie "circumventing" its obligations, since, as soon as a given offer becomes sufficiently attractive to customers, it will fall within the scope of the profitability analysis obligation.  </w:t>
        <w:br/>
        <w:t xml:space="preserve">b) On the individualized offers  </w:t>
        <w:br/>
        <w:t xml:space="preserve">115. In its commitments, as resulting from the latest proposal dated July 13, 2017, Engie indicates that it will establish the following profitability analyses:  </w:t>
        <w:br/>
        <w:t xml:space="preserve">- for all individualized offers subscribed during the concerned quarter (the cohort of individualized offers);  </w:t>
        <w:br/>
        <w:t xml:space="preserve">- for each of the ten most significant individualized offers in volume subscribed during the concerned quarter (these ten offers being integrated into the profitability analysis of the cohort of individualized offers);  </w:t>
        <w:br/>
        <w:t xml:space="preserve">- and finally for all individualized offers, except for the ten most significant offers subject to individual analyses, so that the Authority can assess the profitability of all other offers taken in isolation.  </w:t>
        <w:br/>
        <w:t xml:space="preserve">116. This commitment perpetuates the injunction of Article 2 of decision no. 16-MC-01 which imposed on Engie "to cover, ex ante as well as ex post, its avoidable costs by cohort of individualized offers subscribed each quarter and for each of the ten most significant individualized offers in value subscribed each quarter, starting from the third quarter of 2016."  </w:t>
        <w:br/>
        <w:t>117. On this point, the commitments proposed by Engie also satisfactorily address competition concerns as well as the objections raised during the market test. Indeed, as Engie commits, on the one hand, to verify the profitability of its offers for the most significant customers and, on the other hand, to implement a comprehensive commercial policy regarding individualized offers requiring it to cover its costs, the risk of competitor eviction due to excessively low prices for these individualized offers will be limited.</w:t>
      </w:r>
    </w:p>
    <w:p>
      <w:r>
        <w:t xml:space="preserve">2. ON THE DETERMINATION OF COSTS  </w:t>
        <w:br/>
        <w:t xml:space="preserve">a) On the degree of precision of the commitments  </w:t>
        <w:br/>
        <w:t xml:space="preserve">118. The Authority recalls, as a preliminary point, the limits of its mission when a company presents commitments of a pricing nature. It is not for the Authority to substitute itself for a company, even if it is dominant in its market, in setting its prices. In this context, the role of the commitments procedure is not to freeze for the future what the costs of a company will be, whether concerning the relevant cost components or the proportion in which a particular cost item will be allocated in determining the avoidable cost or the incremental cost (see in particular decision no. 16-MC-01 cited above, § 338).  </w:t>
        <w:br/>
        <w:t xml:space="preserve">119. In its current proposal for commitments, Engie specifies that it "commits to determine its costs reasonably as would an operator placed in an equivalent situation and to make available to the Authority the elements relating to the methodology retained for this purpose." It adds that "Given the developments that may occur in the market during the implementation of the commitments (whether due to choices made by ENGIE or external developments, notably regulatory or legislative), the content of these PnLs and the elements that underpin them may be adapted to take these developments into account. ENGIE commits to inform the Authority of any developments on a quarterly basis."  </w:t>
        <w:br/>
        <w:t xml:space="preserve">120. In this context, it will be up to the Authority to verify, as part of the monitoring of the commitments, that Engie has determined its avoidable and incremental costs in compliance with the principles of competition law. In this regard, the information obligations that will weigh on Engie in the context of monitoring the commitments, as well as the implementation of its powers by the representative, will allow the Authority to effectively and concretely verify the company's compliance with its obligations.  </w:t>
        <w:br/>
        <w:t xml:space="preserve">b) On the use of regulatory accounting for valuation  </w:t>
        <w:br/>
        <w:t xml:space="preserve">121. In its commitments, as resulting from the latest version transmitted, Engie specifies that "to conduct its profitability analyses, Engie may take into account data resulting from the application of validated and audited sectoral rules by the CRE, it being noted that, in accordance with the Authority's decision-making practice, this data cannot bind the Authority in its assessment of Engie's pricing practices."  </w:t>
        <w:br/>
        <w:t xml:space="preserve">122. This formulation appears relevant and sufficient to ensure that Engie will not merely rely on the principles of sectoral accounting rules for establishing its profitability analyses, but will indeed verify at all times that these analyses are consistent with the decision-making practice and case law of competition law regarding pricing practices.  </w:t>
        <w:br/>
        <w:t xml:space="preserve">c) On the relevant time horizon for avoidability  </w:t>
        <w:br/>
        <w:t xml:space="preserve">123. In the latest version of its commitments, Engie commits to calculate the average durations of "catalogue" contracts twice a year based on the contracts subscribed (namely the contracts of new customers and customers renewing their contracts) during the six months preceding the last cohort.  </w:t>
        <w:br/>
        <w:t xml:space="preserve">124. For individualized offers, the level of avoidability of each cost item taken into account will be calculated twice a year based on a time horizon corresponding to the average, weighted by volumes, of the durations of the contracts acquired (namely the contracts of new customers and customers renewing their contracts) during the twelve months preceding the last cohort.  </w:t>
        <w:br/>
        <w:t>125. Engie's proposal constitutes an acceptable and relevant solution. Indeed, the company commits to carry out this exercise of determining the avoidable cost for a significant number of offers each quarter. The solution proposed by Engie, which consists of retaining not the duration of each offer but the average of the durations of the offers subscribed during a given period, is therefore easier to implement and will allow for more effective monitoring by the Authority.</w:t>
      </w:r>
    </w:p>
    <w:p>
      <w:r>
        <w:t xml:space="preserve">3. ON THE DETERMINATION OF VOLUMES AND REVENUES FROM AN EX ANTE PERSPECTIVE  </w:t>
        <w:br/>
        <w:t xml:space="preserve">126. On this point, as indicated above, Engie specifies in its proposal for commitments that in the context of establishing its profitability analyses, it "commits to determine its costs reasonably as would an operator placed in an equivalent situation and to make available to the Authority the elements relating to the methodology retained for this purpose."  </w:t>
        <w:br/>
        <w:t>127. The methodology outlined by Engie, consisting of relying (i) on its latest campaigns and its commercial objectives for the determination of its ex ante volumes and (ii) on the average consumer for the determination of its ex ante revenues, satisfactorily addresses competition concerns. It will be up to the Authority to ensure, as part of the monitoring of the commitments, that Engie acts, in the implementation of the commitments, as a reasonable operator would in an equivalent situation.</w:t>
      </w:r>
    </w:p>
    <w:p>
      <w:r>
        <w:t xml:space="preserve">4. ON THE PRICING POSITIONING OF ENGIE'S OFFERS  </w:t>
        <w:br/>
        <w:t xml:space="preserve">128. In its commitments, Engie proposed "that the price of its market offers covers their CEM as it will result from the ex ante PnLs (...)."  </w:t>
        <w:br/>
        <w:t xml:space="preserve">129. Engie also committed to monitoring its prices in the following terms: "(...) in the event that an ex post PnL reveals revenues below the level of CIMLT (whereas the ex ante PnL placed the forecast revenues above this level) or below the level of CEM (whereas the ex ante PnL placed the forecast revenues above this level), ENGIE commits to be able to justify this evolution at the request of the Authority. To this end, ENGIE will retain the documents or information allowing it to justify the assumptions taken into account in the ex ante PnLs and will retain the documents or information allowing it to justify the reasons why the costs observed ex post deviated from these assumptions. Beyond retaining the elements allowing it to justify the reasons for the discrepancies between the assumptions retained and the observed costs, in the event that the revenues of an ex post PnL are below the level of CEM, ENGIE commits to present in a document the context and reasons justifying the significance of the discrepancy between the assumptions retained and the observed costs. This document will be made available to the Authority."  </w:t>
        <w:br/>
        <w:t>130. The commitment proposed by Engie addresses the competition concerns raised, without requiring Engie to commit to systematically setting the prices of all</w:t>
      </w:r>
    </w:p>
    <w:p>
      <w:r>
        <w:rPr>
          <w:b/>
        </w:rPr>
        <w:t>[Pages 28–30]</w:t>
      </w:r>
    </w:p>
    <w:p>
      <w:r>
        <w:t xml:space="preserve">the prices of all its offers at a level above the incremental cost (and even less at the total cost – or full cost) as determined by its ex ante profitability analyses. Indeed, such an obligation would excessively constrain Engie's pricing and commercial freedom regarding its market offers (see in this regard decision no. 16-MC-01 cited above, paragraph 338).  </w:t>
        <w:br/>
        <w:t xml:space="preserve">131. Furthermore, Engie commits to establishing an internal monitoring system that should enable it to limit situations that could be problematic. It thus commits to “(i) (…) identify the price positioning relative to the relevant marginal cost of long-term supply (CIMLT) and relative to the relevant economic cost of supply (CEM); (ii) (…) determine the margin envisaged relative to these cost levels; (iii) and, if the proposed price were to be below the relevant CIMLT level, (…) obtain validation from a duly authorized management person for this purpose.”  </w:t>
        <w:br/>
        <w:t xml:space="preserve">132. This internal monitoring mechanism ensures that Engie will be able to identify situations in which its pricing behavior could, if it persists, present anti-competitive effects.  </w:t>
        <w:br/>
        <w:t xml:space="preserve">5. ON THE MONITORING OF THE PRICING POLICY  </w:t>
        <w:br/>
        <w:t xml:space="preserve">133. The Authority believes that the modification of commitments deemed necessary by Direct Energie, consisting of imposing that ex post profit and loss statements (PnL) for all groups of individualized offers reaching maturity be established as soon as the commitments are implemented, is not justified in light of the competition concerns outlined above.  </w:t>
        <w:br/>
        <w:t xml:space="preserve">134. Indeed, in the absence of prior ex ante profitability analyses, the ex post analyses that would be established under these conditions would not contribute to addressing the competition concerns retained in this procedure. In light of these, what matters is that Engie correctly determines its ex ante costs based, in particular, on the experience resulting from its ex post analyses and that the company implements monitoring of the profitability of its offers, particularly by analyzing the discrepancies between its ex ante and ex post analyses.  </w:t>
        <w:br/>
        <w:t xml:space="preserve">6. ON THE DURATION OF THE PRICING COMMITMENTS  </w:t>
        <w:br/>
        <w:t xml:space="preserve">135. In general, the duration proposed by Engie for the pricing commitments, both for residential customers (five years) and for non-residential customers (three years), appears adequate and sufficient to ensure that Engie will effectively implement a sustainable and sufficiently broad system for verifying the economic profitability of its market offers. It should be noted in this regard that the commitments related to the establishment of ex post PnL and the monitoring of profitability must apply to all offers that have been subject to ex ante PnL during the duration of the commitments.  </w:t>
        <w:br/>
        <w:t xml:space="preserve">136. Consequently, the commitments as proposed impose on Engie a lasting and effective obligation to determine and verify the profitability of its market offers.  </w:t>
        <w:br/>
        <w:t xml:space="preserve">137. Furthermore, in the latest version of its commitments, Engie has removed the reference to the date of the removal of regulated tariffs as the end date of the commitments, and now indicates that this is, in its view, a reason justifying a possible request for revision of the commitments. Since any potential request for revision of commitments will in any case be subject to thorough examination by the Authority, such a formulation does not call for any particular remark.  </w:t>
        <w:br/>
        <w:t xml:space="preserve">7. CONCLUSION ON THE PRICING COMMITMENTS  </w:t>
        <w:br/>
        <w:t xml:space="preserve">138. It follows from the above that, taken together, the pricing commitments proposed by Engie, in their latest version dated July 13, 2017, are likely to adequately address the concerns expressed by the instructing services and the observations received during the contradictory procedure.  </w:t>
        <w:br/>
        <w:t xml:space="preserve">E. ON THE CLAUSES OF CONTRACTS CONCLUDED WITH CONDOMINIUMS  </w:t>
        <w:br/>
        <w:t xml:space="preserve">139. First, in their preliminary assessment, the instructing services, reiterating the position adopted by the Authority in decision no. 16-MC-01, estimated that “the clauses of contracts binding condominiums to commit to using only gas as an energy source for heating and, where applicable, for hot water production, could be excessive.”  </w:t>
        <w:br/>
        <w:t xml:space="preserve">140. In the new version of its commitments, Engie commits not to include a similar clause in the future. Engie also commits to informing each condominium during the contract that it may use other energy sources than natural gas for collective heating and, where applicable, for the hot water production of the entire condominium, provided that it uses other metering equipment than that used in the execution of the contract.  </w:t>
        <w:br/>
        <w:t xml:space="preserve">141. Secondly, the commitments, in their initial wording, did not precisely determine what the maximum duration Engie could impose for its future contracts with condominiums would be. In its new proposal for commitments, Engie has committed not to propose a contract combining metering service provisions and natural gas supply where the natural gas supply would have a duration of execution exceeding five years.  </w:t>
        <w:br/>
        <w:t xml:space="preserve">142. These two developments contained in Engie's new proposal will significantly strengthen the freedom of choice for condominium managers regarding a potential change of natural gas supplier and the use of other energy sources for heating and hot water.  </w:t>
        <w:br/>
        <w:t xml:space="preserve">F. ON THE SOLICITATION OF CUSTOMERS ON REGULATED TARIFFS  </w:t>
        <w:br/>
        <w:t xml:space="preserve">143. The instructing services did not express any competition concerns regarding the solicitation of customers on regulated tariffs, as the behaviors in question were specifically addressed by the substantive procedure that led to decision no. 17-D-06 of March 21, 2017. Therefore, contrary to what is claimed by ANODE (see above, § 93), it was not necessary for Engie to propose commitments on this point.  </w:t>
        <w:br/>
        <w:t xml:space="preserve">G. ON THE MONITORING OF COMMITMENTS  </w:t>
        <w:br/>
        <w:t xml:space="preserve">144. In its initial proposal for commitments, Engie defined the tasks of the representative as follows: “The representative will be responsible for ensuring the implementation and compliance by ENGIE with these commitments. To this end, the representative will present to the Authority one month after the signing of the mandate contract a first report containing a work plan specifying the methods by which it intends to carry out its mission. A copy of this report will be sent to ENGIE. The representative will then prepare and communicate to the Authority annual reports on the progress of its mission. A non-confidential version of these reports will be communicated to ENGIE.”  </w:t>
        <w:br/>
        <w:t xml:space="preserve">145. In its latest proposal for commitments, Engie added that, in addition to the annual reports, the representative may also communicate to the Authority at any time any information related to its mission that it deems useful.  </w:t>
        <w:br/>
        <w:t xml:space="preserve">146. Given the competition concerns raised by the instructing services, and the nature of the proposed commitments, the representative will have a particularly important role, both in analyzing the cost definition methodology established by Engie and in monitoring the profitability analysis of the company's market offers.  </w:t>
        <w:br/>
        <w:t xml:space="preserve">147. The commitments do not, in this context, need to detail the list of different checks that the representative must carry out to successfully complete its mission. It will be up to the representative to perform all checks it deems necessary and to request the information that will allow it to carry out its mission. In this regard, as indicated by Engie in its proposal for commitments, the mandate contract will be submitted to the Authority.  </w:t>
        <w:br/>
        <w:t xml:space="preserve">148. The CRE will also receive all reports and other elements that the representative communicates to the Authority.  </w:t>
        <w:br/>
        <w:t xml:space="preserve">H. CONCLUSION  </w:t>
        <w:br/>
        <w:t xml:space="preserve">149. Engie's pricing commitments, in their final version of July 13, 2017, are likely to ensure that the company will effectively implement a sustainable and comprehensive internal process to determine and verify the profitability of its market offers, based on a relevant and verifiable cost structure, in compliance with established competition law principles.  </w:t>
        <w:br/>
        <w:t xml:space="preserve">150. Furthermore, the proposed commitments regarding contracts concluded with condominiums will allow customers to effectively leverage competition for their gas supply within reasonable timeframes, and to resort to other energy sources, if they wish, for heating and hot water.  </w:t>
        <w:br/>
        <w:t>151. These commitments address the competition concerns expressed by the instructing services and present a substantial, credible, and verifiable nature. Therefore, they should be accepted, made mandatory, and the procedure should be closed.</w:t>
      </w:r>
    </w:p>
    <w:p>
      <w:r>
        <w:rPr>
          <w:b/>
        </w:rPr>
        <w:t>[Pages 31–31]</w:t>
      </w:r>
    </w:p>
    <w:p>
      <w:r>
        <w:t xml:space="preserve">DECISION  </w:t>
        <w:br/>
        <w:t xml:space="preserve">Article 1: The Competition Authority accepts the commitments made by Engie, which are an integral part of this decision to which they are annexed. These commitments are made mandatory as of October 1, 2017.  </w:t>
        <w:br/>
        <w:t xml:space="preserve">Article 2: The case registered under number 15/0095 F is closed.  </w:t>
        <w:br/>
        <w:t xml:space="preserve">Deliberated on the oral report of Ms. Elise Provost, rapporteur, and the intervention of Mr. Umberto Berkani, deputy general rapporteur, by Ms. Isabelle de Silva, president, and Ms. Laurence Idot and Ms. Carol Xueref, members.  </w:t>
        <w:br/>
        <w:t xml:space="preserve">The session secretary, The session president,  </w:t>
        <w:br/>
        <w:t xml:space="preserve">Caroline Chéron 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