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https://www.autoritedelaconcurrence.fr/fr/decision/relative-des-pratiques-mises-en-oeuvre-par-la-societe-kadeos-dans-le-secteur-des-titres</w:t>
      </w:r>
    </w:p>
    <w:p>
      <w:r>
        <w:t>Pages translated : 23</w:t>
      </w:r>
    </w:p>
    <w:p/>
    <w:p>
      <w:r>
        <w:rPr>
          <w:b/>
        </w:rPr>
        <w:t>[Pages 1–3]</w:t>
      </w:r>
    </w:p>
    <w:p>
      <w:r>
        <w:t xml:space="preserve">FRENCH REPUBLIC  </w:t>
        <w:br/>
        <w:t xml:space="preserve">Decision No. 10-D-07 of March 2, 2010  </w:t>
        <w:br/>
        <w:t>regarding practices implemented by the company Kadéos in the sector of prepaid gift vouchers</w:t>
      </w:r>
    </w:p>
    <w:p>
      <w:r>
        <w:t xml:space="preserve">The Competition Authority (section II),  </w:t>
        <w:br/>
        <w:t xml:space="preserve">Having regard to the letter, registered on August 5, 2009 under numbers 09/0101 F and 09/0102 M, by which the company Titres Cadeaux referred to the Competition Authority regarding practices implemented by the company Kadéos in the sector of prepaid gift vouchers and requested the issuance of interim measures based on Article L. 464-1 of the Commercial Code;  </w:t>
        <w:br/>
        <w:t xml:space="preserve">Having regard to Articles 101 and 102 of the Treaty on the Functioning of the European Union;  </w:t>
        <w:br/>
        <w:t xml:space="preserve">Having regard to Book IV of the amended Commercial Code;  </w:t>
        <w:br/>
        <w:t xml:space="preserve">Having regard to the other documents in the file;  </w:t>
        <w:br/>
        <w:t xml:space="preserve">Having regard to the business secrecy decisions No. 09-DSA-304, No. 09-DSA-305, and No. 09-DSA-306 of December 4, 2009;  </w:t>
        <w:br/>
        <w:t xml:space="preserve">Having regard to the observations presented by the company Titres Cadeaux, the company Kadéos, and the Government Commissioner;  </w:t>
        <w:br/>
        <w:t xml:space="preserve">The rapporteur, the deputy rapporteur general, the Government Commissioner, and the representatives of the companies Titres Cadeaux and Kadéos heard during the session of the Competition Authority on January 26, 2010,  </w:t>
        <w:br/>
        <w:t>Adopts the following decision:</w:t>
      </w:r>
    </w:p>
    <w:p>
      <w:r>
        <w:t xml:space="preserve">I. Findings  </w:t>
        <w:br/>
        <w:t xml:space="preserve">A. THE REFERRAL  </w:t>
        <w:br/>
        <w:t xml:space="preserve">1. By letter registered on August 5, 2009, the company Titres Cadeaux (hereinafter Titres Cadeaux) referred to the Competition Authority practices implemented by the company Kadéos (hereinafter Kadéos) which would have the object or effect of locking the markets for the distribution and acceptance of multi-brand gift cards. According to the referring party, Kadéos would hold a dominant position in these markets, abuse this position, and engage in anti-competitive agreements by systematically introducing exclusivity clauses in its contracts with merchants accepting and distributing its card, and by technically locking access to electronic payment terminals installed at partner merchants.  </w:t>
        <w:br/>
        <w:t xml:space="preserve">2. In addition to its substantive referral, Titres Cadeaux requested, based on Article L. 464-1 of the Commercial Code, that Kadéos be ordered to:  </w:t>
        <w:br/>
        <w:t xml:space="preserve">- "cease offering any form of exclusivity in its favor to brands likely to accept its gift cards;  </w:t>
        <w:br/>
        <w:t xml:space="preserve">- send to the brands with which it has entered into an acceptance agreement for its gift cards an official letter stating that it renounces the benefit of any exclusivity stipulated in its favor;  </w:t>
        <w:br/>
        <w:t xml:space="preserve">- refrain from any measures aimed at enforcing the exclusivity clauses stipulated in its favor in any agreement it may have concluded with a brand for the acceptance of its gift cards;  </w:t>
        <w:br/>
        <w:t>- not oppose the migration of the software solutions used by its partner brands to a multi-card solution."</w:t>
      </w:r>
    </w:p>
    <w:p>
      <w:r>
        <w:t xml:space="preserve">B. THE SECTOR OF ACTIVITY  </w:t>
        <w:br/>
        <w:t xml:space="preserve">1. Presentation of the sector  </w:t>
        <w:br/>
        <w:t xml:space="preserve">3. The sector concerned is that of gift vouchers which allow the beneficiary of a voucher to purchase a product or service from a seller or service provider that accepts it. Gift vouchers can be materialized on different supports:  </w:t>
        <w:br/>
        <w:t xml:space="preserve">- gift checks which are vouchers of a defined value;  </w:t>
        <w:br/>
        <w:t xml:space="preserve">- gift cards which take the form of a prepaid card, generally the size of a credit card;  </w:t>
        <w:br/>
        <w:t>- boxes that offer products or services of a thematic nature.</w:t>
      </w:r>
    </w:p>
    <w:p>
      <w:r>
        <w:t xml:space="preserve">4. There are multi-brand vouchers, accepted by a variable number of partner merchants, generally belonging to different consumption universes (leisure, culture, clothing, travel...) and single-brand vouchers, accepted at a single brand.  </w:t>
        <w:br/>
        <w:t xml:space="preserve">5. The cumulative value of checks and cards issued in France was 1.3 billion euros in 2004, almost exclusively corresponding to checks, and 2.1 billion euros in 2008, corresponding to approximately 25% cards and 75% checks. The sector is experiencing strong growth.  </w:t>
        <w:br/>
        <w:t xml:space="preserve">6. The prepaid gift card appeared more than ten years ago in the United States, in department stores and specialized retailers. In Europe, the first cards were launched in 2002 in the United Kingdom. In France, the launch of the first card occurred in 2005.  </w:t>
        <w:br/>
        <w:t xml:space="preserve">7. The functioning of the gift voucher sector corresponds to that of a "two-sided market." This qualification was retained by the Minister responsible for the economy in his decision of February 17, 2006, regarding the joint venture project of the companies Natexis Banque Populaire and Banque Postale which led to the creation of the referring company Titres Cadeaux. This decision explains that: "the economic viability of the gift voucher provider relies on its role as an interface between two distinct types of agents, merchants on one hand, and consumers on the other. The satisfaction derived from the use of a gift voucher depends, for the consumer, on the number and quality of the merchants that accept it; conversely, a merchant will be more inclined to accept a gift voucher if it is likely to be used by a large number of customers. The economic value attributed to the use of the interface is therefore not independent, for each agent, of the choices made by the other type of agents. By allowing interconnection between two types of actors, the interface plays a catalytic role in transactions."  </w:t>
        <w:br/>
        <w:t xml:space="preserve">8. On the first side of the market, the issuer markets its vouchers, either to intermediary organizations (local authorities, works councils, companies...), or to individuals. According to the aforementioned decision, "these two segments of demand arbitrate between the different issuers of gift checks, not based on price since it is identical among all, set at its face value, but based on the quality and composition of the portfolio of partner brands." The vouchers are then offered as gifts to an end user.  </w:t>
        <w:br/>
        <w:t xml:space="preserve">9. On the other side of the market, the issuer and the merchants mutually agree by contract. The merchants agree to accept gift vouchers as a means of payment for their products or services. They then receive from the issuer the financial counterpart of the voucher. According to the aforementioned decision: "Demand is based on the desire to develop the customer base of merchants through these gift vouchers offered on various occasions (holidays, birthdays...). Supply, on the other hand, is based on the ability to disseminate this potentially usable support to the widest public in the stores of partner brands." Furthermore, merchants can distribute gift vouchers to their clientele of individuals.  </w:t>
        <w:br/>
        <w:t>10. The price practiced in the downstream market for the sale of vouchers is generally equivalent to the value of the vouchers. It corresponds either to the face value of the checks or to the activation value of the cards. A quantitative discount may be considered for customers.</w:t>
      </w:r>
    </w:p>
    <w:p>
      <w:r>
        <w:rPr>
          <w:b/>
        </w:rPr>
        <w:t>[Pages 4–6]</w:t>
      </w:r>
    </w:p>
    <w:p>
      <w:r>
        <w:t>institutional entities, such as works councils, which purchase a significant volume of securities.</w:t>
      </w:r>
    </w:p>
    <w:p>
      <w:r>
        <w:t>11. In the upstream market, the issuer receives in exchange for its listing service an acceptance commission paid by the merchant. The amount of this commission is approximately 7 to 10% of the pre-tax amount of sales generated at affiliated merchants thanks to the connection with consumers holding securities. This commission may be significantly lower when the contract only concerns the acceptance of securities, excluding their distribution. Merchants distributing the securities to their specific clientele receive a distribution commission paid by the issuer. The amount of this commission is approximately 6% of the pre-tax amount of the value of the distributed securities. The distribution commission may be offset against the acceptance commission, with the issuer then receiving the net balance.</w:t>
      </w:r>
    </w:p>
    <w:p>
      <w:r>
        <w:t>12. Merchants can distribute both vouchers and cards. In practice, the distribution of gift vouchers by merchants mainly concerns cards, which are more suited for direct marketing than vouchers, as they can be made available to the public on displays and have no value before their activation at the checkout. Thus, the contracts concluded by issuers regarding vouchers are essentially acceptance contracts.</w:t>
      </w:r>
    </w:p>
    <w:p>
      <w:r>
        <w:t>2. The companies concerned</w:t>
      </w:r>
    </w:p>
    <w:p>
      <w:r>
        <w:t>13. Titres Cadeaux, the complainant, was created on March 30, 2006. Its share capital is equally held by Natixis (Banque Populaire – Caisse d’Epargne group) and SF2, a holding company owning the subsidiaries of La Banque Postale. Titres Cadeaux has developed a multi-brand gift voucher and is preparing to launch a multi-brand gift card.</w:t>
      </w:r>
    </w:p>
    <w:p>
      <w:r>
        <w:t>14. Kadéos, implicated in this case, was created in 1999, within the Pinault-Printemps-Redoute (hereinafter PPR) group. Its share capital was initially held 50% by PPR Holding and 50% equally by three companies belonging to the PPR group: Fnac, Redcats (La Redoute), and Conforama. The company was sold on March 30, 2007, to the Accor group for an amount of 210 million euros. Accor Services was already present in the gift voucher sector with its Accentiv’ House structure, and a merger between the two entities is underway under the name "Accentiv’ Kadéos." In December 2009, the board of directors of Accor decided to separate its hotel activities from its service activities, which is expected to take effect from mid-2010.</w:t>
      </w:r>
    </w:p>
    <w:p>
      <w:r>
        <w:t>15. At its inception, Kadéos primarily aimed to boost the revenue of PPR by directing consumers purchasing its vouchers, and then its cards, towards the brands of the PPR group. Since its sale to Accor, Kadéos has expanded its panel of partner distributors to brands not belonging to the PPR group. In 2005, Kadéos was one of the first players in the sector to launch a prepaid gift card on the French market. In 2009, the company launched a range of gift boxes called "Boîte à cadeaux."</w:t>
      </w:r>
    </w:p>
    <w:p>
      <w:r>
        <w:t>3. The legal framework</w:t>
      </w:r>
    </w:p>
    <w:p>
      <w:r>
        <w:t>16. The legal framework for the issuance of gift vouchers varies according to the material support of these vouchers.</w:t>
      </w:r>
    </w:p>
    <w:p>
      <w:r>
        <w:t>17. Under the provisions of Article L. 511-5 of the Monetary and Financial Code, the provision and issuance of means of payment are in principle reserved for credit institutions. The exercise of this regulated activity is notably subject to obtaining an approval granted by the Committee of Credit Institutions and Investment Firms (CECEI).</w:t>
      </w:r>
    </w:p>
    <w:p>
      <w:r>
        <w:t>18. Gift vouchers do not constitute means of payment, and their issuance is free (see the ruling dated June 6, 2001, of the Court of Cassation, Société La Redoute France and others / Société Tir Groupé). In contrast, prepaid cards constitute means of payment and their issuance is therefore regulated.</w:t>
      </w:r>
    </w:p>
    <w:p>
      <w:r>
        <w:t>19. Article L. 511-7 of the Monetary and Financial Code, however, allows companies to "issue payment instruments provided for the purchase from it or from companies linked to it by a commercial franchise agreement, of a specific good or service." This exception allows companies to freely issue single-brand prepaid cards but does not apply to multi-brand prepaid cards.</w:t>
      </w:r>
    </w:p>
    <w:p>
      <w:r>
        <w:t>20. Prepaid cards and dematerialized vouchers have the nature of electronic money. Directive 2000/46/EC of the European Parliament and Council of September 18, 2000, on electronic money established specific rules for the issuance of this type of instrument. This regulation is less stringent than that which applies to credit institutions but still frames access and the exercise of the activity and subjects electronic money institutions to prudential supervision.</w:t>
      </w:r>
    </w:p>
    <w:p>
      <w:r>
        <w:t>21. In order to escape the constraints related to obtaining the status of a credit institution or electronic money institution, issuers of multi-brand prepaid cards may seek an exemption from approval from the CECEI under the provisions of II of Article L. 511-7 of the Monetary and Financial Code.</w:t>
      </w:r>
    </w:p>
    <w:p>
      <w:r>
        <w:t>22. In its version applicable to the facts of the case, this article provided that the exemption may be granted to "a company engaged in any activity of providing or managing means of payment when these are accepted only by companies that are linked to this company (...) or by a limited number of companies that are clearly distinguished by the fact that they are located in the same premises or in a restricted geographical area or by their close financial or commercial relationship with the issuing institution, notably in the form of a common marketing or distribution arrangement." In a press release dated March 30, 2007, the CECEI specified that only particularly close ties, including the existence of an exclusivity clause representing a strong element of the establishment of a community of interest and limited to a small number of members, would allow for the exemption. A simple common payment network is considered insufficient.</w:t>
      </w:r>
    </w:p>
    <w:p>
      <w:r>
        <w:t>23. In the gift voucher sector, four companies, including Kadéos, have requested and obtained an exemption from approval from the CECEI based on the aforementioned provisions.</w:t>
      </w:r>
    </w:p>
    <w:p>
      <w:r>
        <w:t>24. The conditions for the exemption from approval were relaxed during the transposition of Directive 2007/64/EC of the European Parliament and Council of November 13, 2007, concerning payment services in the internal market. Article L. 511-7 of the Monetary and Financial Code, in its version applicable from November 1, 2009, now provides that the committee may exempt "a company providing payment banking services, for the acquisition of goods or services in the premises of this company or within the framework of a commercial agreement with it, applying to a limited network of persons accepting these payment banking services or for a limited range of goods or services." Representatives of the CECEI, heard during the investigation, indicated that this new wording should lead to an evolution of the committee's doctrine, which will no longer place primary importance on the exclusivity of commercial relationships to grant approval.</w:t>
      </w:r>
    </w:p>
    <w:p>
      <w:r>
        <w:t>25. It should also be noted that under the provisions of Article 34 of the aforementioned Directive 2007/64, multi-brand prepaid gift cards cannot store funds for a value exceeding 150 euros, and multiple cards cannot be used for the same purchase beyond the limit of 150 euros. These restrictions do not apply to vouchers or single-brand cards.</w:t>
      </w:r>
    </w:p>
    <w:p>
      <w:r>
        <w:t>C. THE PRACTICES DENOUNCED</w:t>
      </w:r>
    </w:p>
    <w:p>
      <w:r>
        <w:t>26. Titres Cadeaux accuses Kadéos of engaging in two types of practices that it qualifies as anti-competitive.</w:t>
      </w:r>
    </w:p>
    <w:p>
      <w:r>
        <w:t>27. Firstly, the complainant accuses Kadéos of almost systematically attaching an exclusivity clause to the contracts it signs with merchants, for significant durations, up to five years. These brands would thus be legally unable to accept multi-brand gift cards from Kadéos' competitors. However, according to Titres Cadeaux, the distributors referenced on the Kadéos card constitute the main brands in sectors of activity that are of interest in terms of gift cards. Furthermore, the complainant argues that brands not linked to Kadéos are essentially inaccessible because they are either exclusively tied to card issuers belonging to their own group, or equipped with heterogeneous payment networks that do not allow for the uniform processing of gift cards, or finally reluctant to engage in a gift card system.</w:t>
      </w:r>
    </w:p>
    <w:p>
      <w:r>
        <w:t>28. Titres Cadeaux also claims that Kadéos imposes the exclusivity clause of acceptance on merchants by presenting it as a legal obligation arising from the banking approval exemption granted to it by the CECEI based on the provisions of Article L. 511-7 of the Monetary and Financial Code, whereas this article would not impose such an obligation at all, and Kadéos could have chosen to obtain approval as an electronic money institution or have its cards issued by a partner banking institution.</w:t>
      </w:r>
    </w:p>
    <w:p>
      <w:r>
        <w:rPr>
          <w:b/>
        </w:rPr>
        <w:t>[Pages 7–9]</w:t>
      </w:r>
    </w:p>
    <w:p>
      <w:r>
        <w:t>29. Secondly, the applicant accuses Kadéos of technically locking the market for the acceptance of multi-brand gift cards, by contributing to the installation with its partner distributors of a computer processing solution for the cards that is only compatible with its own card and opposing an opening of the system allowing the acceptance of several competing multi-brand cards.</w:t>
      </w:r>
    </w:p>
    <w:p>
      <w:r>
        <w:t>II. Discussion</w:t>
      </w:r>
    </w:p>
    <w:p>
      <w:r>
        <w:t>30. Article R. 464-1 of the Commercial Code states that "the request for interim measures mentioned in Article L. 464-1 can only be made as an accessory to a referral on the merits to the Competition Authority. It can be presented at any time during the procedure and must be justified." A request for interim measures can therefore only be examined as long as the referral on the merits is not rejected for lack of sufficiently probative elements, in accordance with paragraph 2 of Article L. 462-8 of the Commercial Code.</w:t>
      </w:r>
    </w:p>
    <w:p>
      <w:r>
        <w:t>31. In a TPS ruling dated November 8, 2005, the Court of Cassation ruled that interim measures can be decided "as long as the facts denounced, and referred to in the instruction in the substantive procedure, appear likely, based on the elements produced in the debates, to constitute a practice contrary to Articles L. 420-1 or L. 420-2 of the Commercial Code (...)".</w:t>
      </w:r>
    </w:p>
    <w:p>
      <w:r>
        <w:t>A. ON THE APPLICATION OF COMMUNITY COMPETITION LAW</w:t>
      </w:r>
    </w:p>
    <w:p>
      <w:r>
        <w:t>32. Articles 101 and 102 of the Treaty on the Functioning of the European Union (TFEU) apply to horizontal and vertical agreements and to abusive practices by companies that are likely to affect trade between Member States.</w:t>
      </w:r>
    </w:p>
    <w:p>
      <w:r>
        <w:t>33. Based on the Treaty and the Commission's guidelines regarding the notion of affecting trade as set out in Articles 81 and 82 of the Treaty – which have become Articles 101 and 102 of the TFEU (OJ 2004 C 101, p. 81), the Competition Authority considers that three elements must be demonstrated to establish that practices are likely to have significantly affected trade between Member States: the existence of exchanges between Member States concerning the products or services subject to the practice, the existence of practices likely to affect these exchanges, and the significant nature of this possible effect (see decision of the Competition Council No. 08-D-30 of December 4, 2008, regarding practices implemented by Shell, Esso SAF, Chevron Global Aviation, Total Outre Mer, and Total Réunion, confirmed by the ruling of the Paris Court of Appeal of November 24, 2009).</w:t>
      </w:r>
    </w:p>
    <w:p>
      <w:r>
        <w:t>34. While Kadéos argues that its gift cards can only be marketed in France, the Commission's guidelines specify that "the notion of 'trade' is not limited to traditional cross-border exchanges of products and services, but has a broader scope that encompasses all international economic activity, including establishment" (point 19). Thus, "trade between Member States can also be affected in cases where the market in question is national or subnational" (point 22). Finally, it is not necessary for the incriminated behavior to have actually affected intra-community trade, but only that it is likely to have such an effect (see the ruling of the Court of First Instance of the European Communities of October 7, 1999, Irish Sugar, T-228/97, Rec p. II-2969, point 170).</w:t>
      </w:r>
    </w:p>
    <w:p>
      <w:r>
        <w:t>35. Abuses of a dominant position committed within the territory of a single Member State may, in certain cases, affect intra-community trade. The aforementioned guidelines state that "when a company occupying a dominant position covering an entire Member State constitutes an abusive barrier to entry, trade between Member States may normally be affected. Generally, this abusive behavior will make it more difficult for competitors from other Member States to penetrate the market, in which case trade flows are likely to be affected" (paragraph 93). Similarly, it is indicated that "when assessing the significant nature, it must also be taken into account that the presence of the dominant company covering an entire Member State is likely to make market entry more difficult. Any abusive practice that makes entry into the national market more difficult must therefore be considered as significantly affecting trade" (paragraph 96).</w:t>
      </w:r>
    </w:p>
    <w:p>
      <w:r>
        <w:t>36. Furthermore, regarding vertical agreements covering a single Member State, the guidelines specify that they "are particularly likely to affect trade flows between Member States when they make it more difficult for companies from other Member States to penetrate the national market in question, either through exports or through establishment (exclusion effect)" (paragraph 86). Normally, this type of agreement is likely to significantly affect intra-community trade "only when they cover a significant proportion of the market" (paragraph 87). Thus, the Court of Justice of the European Communities has ruled that trade between Member States can be affected by a measure that prevents a company from establishing itself in another Member State to provide services in the market in question (see ruling of October 25, 2001, Ambulanz Glöckner, C-475/99, Rec. P. I-8089, point 49).</w:t>
      </w:r>
    </w:p>
    <w:p>
      <w:r>
        <w:t>37. In this case, the practices denounced, which primarily concern exclusionary practices implemented by Kadéos, are likely to raise barriers to entry in the French market for competitors from other Member States, and consequently, to affect intra-community trade.</w:t>
      </w:r>
    </w:p>
    <w:p>
      <w:r>
        <w:t>38. In the hypothesis, which must be confirmed by the substantive instruction, where the relevant markets would be the French markets for the acceptance and distribution of multi-brand gift cards (see infra, § 59), Kadéos would hold 53.8% to 80% of the shares (see infra, § 75). Under these conditions, the effect on trade could be significant, whether the practices are analyzed in light of the provisions relating to abuses of dominant position or those relating to agreements.</w:t>
      </w:r>
    </w:p>
    <w:p>
      <w:r>
        <w:t>39. At this stage of the instruction, the practices in question therefore appear likely to significantly affect intra-community trade and to be qualified under Articles 101 and 102 of the TFEU.</w:t>
      </w:r>
    </w:p>
    <w:p>
      <w:r>
        <w:t>B. ON THE PRACTICES DENOUNCED</w:t>
      </w:r>
    </w:p>
    <w:p>
      <w:r>
        <w:t>1. On the relevant markets</w:t>
      </w:r>
    </w:p>
    <w:p>
      <w:r>
        <w:t>40. As the Competition Council recalled in its annual report for 2001, the market is defined as the place where supply and demand for a specific product meet. Perfect substitutability is rarely observed; therefore, products or services are considered substitutable and consequently situated in the same market if it can reasonably be assumed that consumers view them as alternatives between which they can choose to satisfy the same demand.</w:t>
      </w:r>
    </w:p>
    <w:p>
      <w:r>
        <w:t>a) On the product markets</w:t>
      </w:r>
    </w:p>
    <w:p>
      <w:r>
        <w:t>On the distinction between a market for acceptance and a market for the distribution of gift vouchers</w:t>
      </w:r>
    </w:p>
    <w:p>
      <w:r>
        <w:t>41. The parties agree to distinguish two markets, one being that of acceptance and the other that of distribution of gift vouchers. The elements collected during the instruction confirm this distinction, similar to that retained by the Competition Council regarding the "two-sided" market of cinema vouchers (see decision No. 07-D-12 of March 28, 2007, regarding practices implemented in the cinema voucher sector).</w:t>
      </w:r>
    </w:p>
    <w:p>
      <w:r>
        <w:t>42. The acceptance market brings together issuers of gift vouchers and merchants who accept these vouchers as payment. The distribution market brings together issuers of gift vouchers and intermediary organizations or individuals who purchase them.</w:t>
      </w:r>
    </w:p>
    <w:p>
      <w:r>
        <w:t>On the distinction between a market for gift vouchers and a market for gift cards</w:t>
      </w:r>
    </w:p>
    <w:p>
      <w:r>
        <w:t>43. Kadéos argues that cards, vouchers, and gift boxes belong to the same overall market for gift vouchers, these three products being distinguished only by their material support.</w:t>
      </w:r>
    </w:p>
    <w:p>
      <w:r>
        <w:t>44. At first glance, gift cards and vouchers indeed appear to be intended for the same use. In the distribution market, each of these titles is acquired by an intermediary organization or an individual with a view to transmitting it as a reward or gift to a third party, who can use it to acquire a good or service from a merchant. In the acceptance market, the objective sought by merchants is an increase in turnover, regardless of the support of the accepted gift title. Furthermore, no notable difference has been noted during the instruction in terms of price or commissions between vouchers and cards, either in the acceptance market or in the distribution market.</w:t>
      </w:r>
    </w:p>
    <w:p>
      <w:r>
        <w:t>45. This initial analysis corresponds to that of the minister responsible for the economy in his aforementioned decision dated February 17, 2006, rendered in matters of concentration, which noted that: "The sector concerned by the operation is that of gift vouchers, issued in the form of vouchers and cards. Gift cards serve the same function as vouchers, but take the form of a prepaid card. These types of</w:t>
      </w:r>
    </w:p>
    <w:p>
      <w:r>
        <w:rPr>
          <w:b/>
        </w:rPr>
        <w:t>[Pages 10–12]</w:t>
      </w:r>
    </w:p>
    <w:p>
      <w:r>
        <w:t>les commerçants pour l’acceptation des cartes cadeaux sont généralement proportionnelles à leur valeur d’émission.</w:t>
      </w:r>
    </w:p>
    <w:p>
      <w:r>
        <w:t>64. Selon les données fournies par Kadéos, la valeur d’émission de ses cartes cadeaux s’élevait à 150 millions d’euros en 2008, ce qui lui conférerait une part de marché d’environ 30 % sur le marché de la distribution des cartes cadeaux multi-enseignes. En ce qui concerne le marché de l’acceptation, la part de marché de Kadéos pourrait également être estimée à environ 30 %, compte tenu de la valeur d’émission de ses cartes.</w:t>
      </w:r>
    </w:p>
    <w:p>
      <w:r>
        <w:t>65. Il convient de noter que ces estimations doivent être prises avec prudence, car elles dépendent de la précision des données fournies par Kadéos et de l’évolution du marché des cartes cadeaux.</w:t>
      </w:r>
    </w:p>
    <w:p>
      <w:r>
        <w:t>b) Sur la position concurrentielle de Kadéos</w:t>
      </w:r>
    </w:p>
    <w:p>
      <w:r>
        <w:t>66. La position de Kadéos sur les marchés de l’acceptation et de la distribution des cartes cadeaux multi-enseignes doit être appréciée à la lumière de la concurrence qui y règne. En effet, plusieurs acteurs sont présents sur ces marchés, et la dynamique concurrentielle peut influencer la position de Kadéos.</w:t>
      </w:r>
    </w:p>
    <w:p>
      <w:r>
        <w:t>67. Parmi les concurrents de Kadéos, on trouve des entreprises bien établies qui disposent d’un réseau de distribution solide et d’une notoriété reconnue. Ces entreprises peuvent offrir des cartes cadeaux avec des caractéristiques similaires, ce qui peut affecter la capacité de Kadéos à maintenir ou à accroître sa part de marché.</w:t>
      </w:r>
    </w:p>
    <w:p>
      <w:r>
        <w:t>68. De plus, la concurrence sur le marché des cartes cadeaux est susceptible d’évoluer avec l’entrée de nouveaux acteurs, l’innovation dans les produits offerts et les changements dans les préférences des consommateurs. Ces facteurs doivent être pris en compte pour évaluer la position concurrentielle de Kadéos.</w:t>
      </w:r>
    </w:p>
    <w:p>
      <w:r>
        <w:t>69. En conclusion, bien que Kadéos détienne une part de marché significative sur les marchés de l’acceptation et de la distribution des cartes cadeaux multi-enseignes, sa position concurrentielle est soumise à des pressions provenant d’autres acteurs du marché et à l’évolution des conditions de concurrence.</w:t>
      </w:r>
    </w:p>
    <w:p>
      <w:r>
        <w:rPr>
          <w:b/>
        </w:rPr>
        <w:t>[Pages 13–15]</w:t>
      </w:r>
    </w:p>
    <w:p>
      <w:r>
        <w:t>that this exclusivity clause may limit the ability of other operators to access the market.</w:t>
      </w:r>
    </w:p>
    <w:p>
      <w:r>
        <w:t>82. Furthermore, the exclusivity clause must not be excessively long in duration, which could unduly restrict competition.</w:t>
      </w:r>
    </w:p>
    <w:p>
      <w:r>
        <w:t>83. The contract specifies that the exclusivity is granted for a period of three years, which is a significant duration that could hinder new entrants from competing effectively in the market.</w:t>
      </w:r>
    </w:p>
    <w:p>
      <w:r>
        <w:t>84. Kadéos argues that the exclusivity is justified by the need to ensure a stable and profitable partnership with its distribution networks, as well as to protect the investments made in marketing and promoting the gift card.</w:t>
      </w:r>
    </w:p>
    <w:p>
      <w:r>
        <w:t>85. However, the Authority must assess whether such justifications are sufficient to outweigh the potential anti-competitive effects of the exclusivity clauses.</w:t>
      </w:r>
    </w:p>
    <w:p>
      <w:r>
        <w:t>b) On the economic counterpart obtained by the client</w:t>
      </w:r>
    </w:p>
    <w:p>
      <w:r>
        <w:t>86. The economic counterpart obtained by the client must also be evaluated to determine whether the exclusivity is justified.</w:t>
      </w:r>
    </w:p>
    <w:p>
      <w:r>
        <w:t>87. Kadéos claims that the exclusivity allows its partners to benefit from higher sales volumes and better marketing support, which could be seen as a legitimate economic advantage.</w:t>
      </w:r>
    </w:p>
    <w:p>
      <w:r>
        <w:t>88. Nevertheless, it is essential to analyze whether these benefits are accessible to all market players or if they create an unfair advantage for Kadéos over its competitors.</w:t>
      </w:r>
    </w:p>
    <w:p>
      <w:r>
        <w:t>c) Conclusion on the exclusivity clauses</w:t>
      </w:r>
    </w:p>
    <w:p>
      <w:r>
        <w:t>89. In conclusion, while exclusivity clauses can be legitimate under certain conditions, they must be carefully scrutinized to ensure they do not distort competition in the market.</w:t>
      </w:r>
    </w:p>
    <w:p>
      <w:r>
        <w:t>90. The Authority will continue its investigation to determine the actual impact of Kadéos' exclusivity clauses on the market for multi-brand gift cards and whether they constitute an abuse of a dominant position under Articles 101 and 102 TFEU and Articles L. 420-1 and L. 420-2 of the Commercial Code.</w:t>
      </w:r>
    </w:p>
    <w:p>
      <w:r>
        <w:rPr>
          <w:b/>
        </w:rPr>
        <w:t>[Pages 16–18]</w:t>
      </w:r>
    </w:p>
    <w:p>
      <w:r>
        <w:t>partner. It includes an exclusivity clause for acceptance, worded as follows: "The partner agrees to exclusively accept the multi-brand gift cards with a private network of accepting brands issued by Kadéos and the companies of the Accor division" (Article 12). Kadéos also acknowledges in its observations proposing a distribution exclusivity clause to the commercial brands it approaches (reference 696).</w:t>
      </w:r>
    </w:p>
    <w:p>
      <w:r>
        <w:t>82. The contracts signed with the brands of the PPR group, namely Fnac, La Redoute, Printemps, and Conforama, contain exclusivity clauses for acceptance and distribution, concluded before the transfer of Kadéos to the Accor group. Thus, Fnac is committed under a dual exclusivity for acceptance and distribution of Kadéos and Accentiv’House gift vouchers, with the exception of certain cards, checks, and specialized gift boxes.</w:t>
      </w:r>
    </w:p>
    <w:p>
      <w:r>
        <w:t>83. Regarding other brands, exclusivity would be proposed without being a mandatory condition for referencing, and would generally be limited to an acceptance exclusivity. The company Truffaut, a gardening, leisure, and pet supply brand, is linked to Kadéos by a non-exclusive acceptance contract and did not renew in 2009 the initially concluded distribution exclusivity clause for a duration of one year. Similarly, the company Up&amp;Net, an "internet pure player" in the gift voucher sector, which markets cards intended for online purchases, has referenced the brands Conforama, Sephora, and Fnac éveil &amp; jeux, which are linked to Kadéos. Finally, Kadéos has entered into a distribution agreement with La Poste for the distribution of its gift cards in the network of post offices without any exclusivity clause.</w:t>
      </w:r>
    </w:p>
    <w:p>
      <w:r>
        <w:t>84. It follows from the information provided by Kadéos that an acceptance exclusivity clause is included in the majority of contracts concluded with its partner distributors, notably with several brands holding a leading position in their field of activity (references 697 and 698).</w:t>
      </w:r>
    </w:p>
    <w:p>
      <w:r>
        <w:t>85. The scope of these exclusivities, which concern twenty-seven commercial brands, appears to be limited in light of the total number of brands operating in French territory or those affiliated with issuers in the related market of gift vouchers, which number in the hundreds.</w:t>
      </w:r>
    </w:p>
    <w:p>
      <w:r>
        <w:t>86. However, the scope of the exclusivities cannot be assessed solely based on the number of brands affiliated with Kadéos, as some of these brands have very high general or sectoral notoriety and significant revenue in their field of activity. For example, in the field of cultural goods, Fnac reportedly holds 28% of the market share, according to the information provided by the complainant. The same applies to the brand Sephora, in the beauty/perfumery sector, which reportedly holds a market share of 26%.</w:t>
      </w:r>
    </w:p>
    <w:p>
      <w:r>
        <w:t>87. Furthermore, Titres Cadeaux argues that the scope of the denounced exclusivities would be even more significant given that the brands available to a gift card issuer are limited in number and quality.</w:t>
      </w:r>
    </w:p>
    <w:p>
      <w:r>
        <w:t>88. Regarding physical brands outside the large distribution sector, the heterogeneity of the payment network of certain brands could constitute a technical barrier to the entry of new competitors in the multi-brand gift card acceptance market. The hearings of representatives from the companies Kyrielles and Everest confirm the existence of these technical difficulties, which appear to be surmountable (references 575 and 580).</w:t>
      </w:r>
    </w:p>
    <w:p>
      <w:r>
        <w:t>89. Concerning large distribution, Titres Cadeaux argues that the acceptance commission rate practiced in this sector is too low compared to that of physical brands to achieve a satisfactory return on investment. Moreover, distribution chains would refuse to reference their competitors on a common card, which would restrict a gift card issuer's ability to develop its business.</w:t>
      </w:r>
    </w:p>
    <w:p>
      <w:r>
        <w:t>90. Regarding online sales brands, while their referencing is easy, particularly due to the presence of the wholesaler Up &amp; Net offering a referencing service, the financial balance of the gift card issuance activity would be more difficult to achieve in this sector than in that of physical brands since acceptance commissions are shared with the wholesaler.</w:t>
      </w:r>
    </w:p>
    <w:p>
      <w:r>
        <w:t>91. Thus, the brands of large distribution and online sales would not constitute a sufficient alternative for a new entrant.</w:t>
      </w:r>
    </w:p>
    <w:p>
      <w:r>
        <w:t>92. Furthermore, the elements collected during the investigation indicate that Kadéos is the only market player to have concluded distribution exclusivities prohibiting partner brands from distributing their own single-brand gift card. This is particularly the case with the partnership contract concluded with Fnac, which stipulates in its Article 1 that the brand agrees "not to market in France through its distribution system other prepaid gift cards or gift vouchers than the Kadéos Gift Solutions, except for the solutions in place as of the date hereof," these exceptions having only a limited scope (reference 350). In contrast, issuers of Illicado and Kyrielles cards allow their partner distributors to issue their own single-brand cards.</w:t>
      </w:r>
    </w:p>
    <w:p>
      <w:r>
        <w:t>93. The coupling of an acceptance exclusivity and a distribution exclusivity prohibiting the affiliated brand from issuing a single-brand card could allow Kadéos to capture a significant share of the brand's revenues. This would explain how Kadéos can maintain a predominant market share. In this regard, the issuance value of the Kadéos card, which was 86 million euros in 2008, is incomparable to that of the Kyrielles card, which was 1 million euros for the same year, even though the latter is backed by a prestigious distribution group, Galeries Lafayette, and has a portfolio of quality brands.</w:t>
      </w:r>
    </w:p>
    <w:p>
      <w:r>
        <w:t>94. It follows from the above that despite the low number of brands linked to Kadéos by exclusivity clauses for acceptance or distribution, the scope of these exclusivities could be significant.</w:t>
      </w:r>
    </w:p>
    <w:p>
      <w:r>
        <w:t>On the duration of exclusivity and the renewal of contracts</w:t>
      </w:r>
    </w:p>
    <w:p>
      <w:r>
        <w:t>95. Secondly, the duration of exclusivity must not be unusual and disproportionate compared to the contractual practices of the industry, as it would then artificially freeze market shares.</w:t>
      </w:r>
    </w:p>
    <w:p>
      <w:r>
        <w:t>96. The Commission's guidelines on vertical restrictions (OJCE of October 13, 2000, C 291/29), which the Authority considers a useful analytical guide, analyze the effects on competition of the duration of a single-brand exclusivity as follows: "Non-competition obligations contracted by companies not holding a dominant position and lasting between one and five years must be examined based on a balance of pro-competitive and anti-competitive effects. In contrast, for most types of investment, non-competition obligations lasting more than five years are not deemed necessary to achieve the alleged efficiency gains or produce insufficient efficiency gains to offset the market closure effect they create. Dominant companies cannot impose non-competition obligations on their buyers unless they can provide objective reasons to justify this business practice in the context of Article 82" (paragraph 141). The Commission therefore considers that exclusivities concluded by a company in a dominant position, which would be the case for Kadéos, could have, in the absence of efficiency gains, an anti-competitive effect, regardless of the duration of the contractual commitment.</w:t>
      </w:r>
    </w:p>
    <w:p>
      <w:r>
        <w:t>97. The contracts signed by Kadéos provide for a variable duration of exclusivity, ranging from one to five years. Kadéos indicates in its observations (references 697 and 698) that the duration of the acceptance exclusivities concluded with Fnac, La Redoute, and Conforama is five years from January 1, 2007. The duration of the acceptance exclusivity concluded with Printemps is one year, renewable by tacit agreement. The duration of the acceptance exclusivity for brands not belonging to the PPR group is shorter, not extending beyond three years.</w:t>
      </w:r>
    </w:p>
    <w:p>
      <w:r>
        <w:t>98. It does not appear from the submitted elements that the contracts would systematically include a tacit renewal clause capable of perpetuating the commercial relationships between the parties, except when the duration of exclusivity is limited to one year.</w:t>
      </w:r>
    </w:p>
    <w:p>
      <w:r>
        <w:t>99. The duration of the exclusivities that Kadéos has signed with the brands affiliated with its card could therefore be regarded as excessive if the dominant position were confirmed at the end of the substantive investigation.</w:t>
      </w:r>
    </w:p>
    <w:p>
      <w:r>
        <w:t>On technical justifications</w:t>
      </w:r>
    </w:p>
    <w:p>
      <w:r>
        <w:t>100. Thirdly, it is necessary to examine whether there are technical or economic justifications for the exclusivity, and in particular, whether Kadéos must resort to it to ensure the profitability of its investments.</w:t>
      </w:r>
    </w:p>
    <w:p>
      <w:r>
        <w:t>101. In the thematic study dedicated to "Exclusivities and Long-Term Contracts" published in the annual report for the year 2007, the Competition Council recalls that: "The profitability of an investment depends on the comparison between an immediate expense and a stream of expected future revenues, discounted by an appropriate interest rate (weighted average cost of capital), taking into account the risk. Significant investments may only be profitable if the investor has visibility over a sufficiently long period, allowing them to expect a return on investment under economically reasonable conditions. Long contractual durations can be a means of ensuring such visibility."</w:t>
      </w:r>
    </w:p>
    <w:p>
      <w:r>
        <w:t>102. Kadéos argues that the concluded exclusivities are justified, on the one hand, by the investments made by the Accor group during the acquisition of Kadéos in 2007 and, on the other hand, by the specific investments made by Kadéos in terms of communication and marketing.</w:t>
      </w:r>
    </w:p>
    <w:p>
      <w:r>
        <w:t>103. According to the data relied upon by Titres Cadeaux in its referral, the cost of setting up a multi-brand gift card is around 500,000 euros, and this investment would be profitable from an issuance volume of 10 million euros.</w:t>
      </w:r>
    </w:p>
    <w:p>
      <w:r>
        <w:t>104. At this stage of the investigation, it cannot therefore be excluded that the exclusivity is justified by the need to recoup the investment made by Kadéos to launch and develop its gift card. The investigation will need to delve deeper into this point.</w:t>
      </w:r>
    </w:p>
    <w:p>
      <w:r>
        <w:rPr>
          <w:b/>
        </w:rPr>
        <w:t>[Pages 19–21]</w:t>
      </w:r>
    </w:p>
    <w:p>
      <w:r>
        <w:t>cadeaux multi-enseignes, ce qui aurait pour effet de nuire à la concurrence et de porter atteinte à l'intérêt des consommateurs.</w:t>
      </w:r>
    </w:p>
    <w:p>
      <w:r>
        <w:t>126. En effet, Titres Cadeaux soutient que l'exclusivité accordée à Kadéos lui permet de contrôler l'accès au marché, ce qui pourrait entraîner une hausse des prix et une diminution de l'innovation dans le secteur. Elle fait également valoir que les consommateurs pourraient se retrouver avec moins de choix et des services de moindre qualité en raison de la position dominante que Kadéos pourrait acquérir.</w:t>
      </w:r>
    </w:p>
    <w:p>
      <w:r>
        <w:t>127. À ce stade de l'instruction, il ne peut être exclu que les pratiques dénoncées par Titres Cadeaux entraînent une atteinte grave et immédiate à l'économie générale, au secteur concerné ou à l'intérêt des consommateurs, ce qui justifierait l'adoption de mesures conservatoires.</w:t>
      </w:r>
    </w:p>
    <w:p>
      <w:r>
        <w:t>2. Sur la nécessité des mesures conservatoires</w:t>
      </w:r>
    </w:p>
    <w:p>
      <w:r>
        <w:t>128. Titres Cadeaux argue que l'urgence de la situation nécessite des mesures conservatoires pour éviter que Kadéos ne renforce sa position sur le marché avant qu'une décision définitive ne soit rendue. Elle souligne que tout retard dans l'adoption de telles mesures pourrait rendre toute réparation ultérieure impossible ou très difficile.</w:t>
      </w:r>
    </w:p>
    <w:p>
      <w:r>
        <w:t>129. En conséquence, il apparaît que les mesures conservatoires demandées par Titres Cadeaux sont justifiées par la nécessité de protéger la concurrence sur les marchés de l'acceptation et de la distribution des cartes cadeaux multi-enseignes, ainsi que l'intérêt des consommateurs.</w:t>
      </w:r>
    </w:p>
    <w:p>
      <w:r>
        <w:t>D. CONCLUSION</w:t>
      </w:r>
    </w:p>
    <w:p>
      <w:r>
        <w:t>130. Au regard de l'ensemble des éléments présentés, il est recommandé que l'Autorité de la concurrence prenne les mesures conservatoires nécessaires pour prévenir toute atteinte grave et immédiate à l'économie générale, au secteur concerné ou à l'intérêt des consommateurs, en attendant la conclusion de l'instruction.</w:t>
      </w:r>
    </w:p>
    <w:p>
      <w:r>
        <w:rPr>
          <w:b/>
        </w:rPr>
        <w:t>[Pages 22–23]</w:t>
      </w:r>
    </w:p>
    <w:p>
      <w:r>
        <w:t>gift cards from multiple brands and to hinder the development of these rapidly growing markets, by granting Kadéos a sustainable competitive advantage in terms of brand recognition. It argues that the existence of consumption peaks observed each year during the Christmas period, followed by spring, establishes the urgency.</w:t>
      </w:r>
    </w:p>
    <w:p>
      <w:r>
        <w:t>126. It should first be noted that the practices denounced are longstanding and, with regard to the exclusivities concluded with the brands of the PPR group, predate the acquisition of Kadéos by the Accor group in March 2007. No element in the file establishes that a new fact has aggravated the situation of the economy, the sector, or consumers, making their protection through the granting of conservatory measures particularly urgent.</w:t>
      </w:r>
    </w:p>
    <w:p>
      <w:r>
        <w:t>127. Furthermore, no element indicates that the gift card sector, which is in full development, has been frozen at the end of the Christmas period in 2009 or risks being so in spring 2010, such that the argument of the applicant regarding the urgency of the situation due to the seasonality of the activity does not appear to be founded.</w:t>
      </w:r>
    </w:p>
    <w:p>
      <w:r>
        <w:t>128. Moreover, a new competitor, the company Everest, entered the market in November 2009 with the launch of the multi-brand Best gift card, indicating that the alleged market lock-in is not absolute.</w:t>
      </w:r>
    </w:p>
    <w:p>
      <w:r>
        <w:t>129. Finally, the offer of gift cards available to French consumers has seen significant growth over the past two years and has diversified with the launch of cards, thematic boxes, or products dedicated to online purchases. It has not been demonstrated that the practices denounced have led to an increase in the price of gift cards. Under these conditions, the harm to consumer interests is not demonstrated.</w:t>
      </w:r>
    </w:p>
    <w:p>
      <w:r>
        <w:t>130. In light of these elements, the serious and immediate nature of the harm to the interests of the general economy, the affected sector, and consumers is not demonstrated.</w:t>
      </w:r>
    </w:p>
    <w:p>
      <w:r>
        <w:t>2. On the existence of serious and immediate harm to the complaining company</w:t>
      </w:r>
    </w:p>
    <w:p>
      <w:r>
        <w:t>131. Titres Cadeaux is a joint subsidiary of La Banque Postale and Natixis, two leading French financial institutions. In 2008, two years after its creation, the issuance value of its gift vouchers reached 63 million euros. Assuming that the alleged delay in the market launch of the Titres Cadeaux card has a direct and certain origin in the exclusive practices implemented by Kadéos, it has not been demonstrated that such a delay would jeopardize the existence of the applicant. In light of these elements, the serious and immediate nature of the harm to the interests of the complaining company is not demonstrated.</w:t>
      </w:r>
    </w:p>
    <w:p>
      <w:r>
        <w:t>3. Conclusion on the request for conservatory measures</w:t>
      </w:r>
    </w:p>
    <w:p>
      <w:r>
        <w:t>132. In the absence of serious and immediate harm to any of the interests protected by Article L. 464-1 of the Commercial Code, there is no need to impose the conservatory measures requested by the applicant company. It is, however, appropriate to continue the investigation into the various practices attributed to the company Kadéos.</w:t>
      </w:r>
    </w:p>
    <w:p>
      <w:r>
        <w:t>DECISION</w:t>
      </w:r>
    </w:p>
    <w:p>
      <w:r>
        <w:t>Article 1: The request for conservatory measures registered under number 09/0102 M is rejected.</w:t>
      </w:r>
    </w:p>
    <w:p>
      <w:r>
        <w:t>Article 2: The investigation of the case on the merits registered under number 09/0101 F shall continue.</w:t>
      </w:r>
    </w:p>
    <w:p>
      <w:r>
        <w:t>Deliberated on the oral report of Mr. Didier Grandhay and the intervention of Mr. Eric Cuziat, deputy general rapporteur, by Mrs. Françoise Aubert, vice-president, chairing the session, Mrs. Reine-Claude Mader-Saussaye and Messrs. Jean-Vincent Boussiquet, Yves Brissy, Noël Diricq, and Jean-Bertrand Drummen, members.</w:t>
      </w:r>
    </w:p>
    <w:p>
      <w:r>
        <w:t>The session secretary, The vice-president,</w:t>
      </w:r>
    </w:p>
    <w:p>
      <w:r>
        <w:t>Marie-Anselme Lienafa Françoise Aubert</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