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https://www.autoritedelaconcurrence.fr/fr/decision/relative-des-pratiques-mises-en-oeuvre-par-la-societe-worms-sm-legard-des-exportateurs-de</w:t>
      </w:r>
    </w:p>
    <w:p>
      <w:r>
        <w:t>Pages translated : 2</w:t>
      </w:r>
    </w:p>
    <w:p/>
    <w:p>
      <w:r>
        <w:rPr>
          <w:b/>
        </w:rPr>
        <w:t>[Pages 1–2]</w:t>
      </w:r>
    </w:p>
    <w:p>
      <w:r>
        <w:t xml:space="preserve">COUNCIL OF COMPETITION  </w:t>
        <w:br/>
        <w:t xml:space="preserve">Decision No. 01-D-83 of December 28, 2001  </w:t>
        <w:br/>
        <w:t xml:space="preserve">regarding practices implemented by the company WORMS-SM  </w:t>
        <w:br/>
        <w:t xml:space="preserve">towards exporters of French products under protocol regime to Egypt  </w:t>
        <w:br/>
        <w:t xml:space="preserve">The Competition Council (standing committee),  </w:t>
        <w:br/>
        <w:t xml:space="preserve">Having regard to the letter dated March 8, 1997, registered under number F 947, by which the Minister Delegate for Finance  </w:t>
        <w:br/>
        <w:t xml:space="preserve">and Foreign Trade referred to the Competition Council practices implemented by the company WORMS-SM towards exporters of French products under protocol regime to Egypt;  </w:t>
        <w:br/>
        <w:t xml:space="preserve">Having regard to Book IV of the Commercial Code relating to the freedom of prices and competition and Decree No. 86-1309 of  </w:t>
        <w:br/>
        <w:t xml:space="preserve">December 29, 1986, as amended, setting the conditions for the application of Ordinance No. 86-1243 of December 1st, 1986;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w:t>
        <w:br/>
        <w:t xml:space="preserve">December 12, 2001;  </w:t>
        <w:br/>
        <w:t xml:space="preserve">Considering that the practices denounced by the Minister consisted, for the company WORMS-SM, between 1993 and  </w:t>
        <w:br/>
        <w:t xml:space="preserve">1996, in its capacity as exclusive agent of a public law Egyptian organization named MARTRANS, which French exporters are  </w:t>
        <w:br/>
        <w:t xml:space="preserve">obliged to use for the transport of goods intended for the public sector, in charging for services aimed at obtaining transport  </w:t>
        <w:br/>
        <w:t xml:space="preserve">authorizations at a price deemed excessive and applied, moreover, in a discriminatory manner;  </w:t>
        <w:br/>
        <w:t xml:space="preserve">Considering that it results from the documents in the file that the initially designated rapporteur conducted, on May 11, 1998,  </w:t>
        <w:br/>
        <w:t xml:space="preserve">the hearing of the chairman of the board of directors and the director of the company WORMS-SM and drew up a report of this hearing; that no act aimed at the investigation, establishment, or sanction of the practices referred to in  </w:t>
        <w:br/>
        <w:t xml:space="preserve">Articles L. 420-1 and L. 420-2 of the Commercial Code has subsequently been undertaken;  </w:t>
        <w:br/>
        <w:t xml:space="preserve">Considering that Article L. 462-7 of the Commercial Code provides that "the council cannot be seized of facts  </w:t>
        <w:br/>
        <w:t xml:space="preserve">dating back more than three years if no act has been made to investigate, establish, or sanction them";  </w:t>
        <w:br/>
        <w:t xml:space="preserve">Considering that the Government Commissioner argues that he found himself unable to act to carry out an interruptive act of  </w:t>
        <w:br/>
        <w:t xml:space="preserve">prescription and that the period provided for in the aforementioned article has been suspended in his regard; that the reasoning of the ruling of the Court of Cassation dated July 17, 2001, quashing a ruling of the Paris Court of Appeal dated March 9, 1999, which had admitted the principle of the suspension of the prescription regarding the  </w:t>
        <w:br/>
        <w:t xml:space="preserve">seizing company, placed in the impossibility of acting in the ongoing procedure before the Council, does not apply to a referral  </w:t>
        <w:br/>
        <w:t xml:space="preserve">emanating from the Minister because he, unlike the seizing companies or other legal entities, lacks any alternative means to protect the public economic order affected by the anticompetitive practices;  </w:t>
        <w:br/>
        <w:t xml:space="preserve">But considering that the ruling of March 9, 1999, mentioned above, has been subject to a double quashing for violation of the law, the  </w:t>
        <w:br/>
        <w:t xml:space="preserve">first, pronounced under the reference of Article L. 462-7 of the Commercial Code, on the grounds "(...) that by ruling thus, by  </w:t>
        <w:br/>
        <w:t xml:space="preserve">adding to the aforementioned text a case of suspension of the prescription that it does not provide for, the Court of Appeal violated it", the  </w:t>
        <w:br/>
        <w:t xml:space="preserve">second, pronounced under the same reference, on the grounds "(...) that by ruling thus, while the Competition Council, responsible for  </w:t>
        <w:br/>
        <w:t xml:space="preserve">the protection of the public economic order, is not competent to repair the damage possibly suffered by the parties who refer it and who allege to be victims of anticompetitive practices and can refer civil and criminal courts for an action for compensation, annulment, or cessation of the contested practices within the prescription periods applicable to these actions, (...) the Court of Appeal violated the aforementioned text (...)";  </w:t>
        <w:br/>
        <w:t xml:space="preserve">Considering that each of these two grounds for quashing independently justifies the quashing pronounced, regardless of the other; that therefore, the first ground, which relies, to exclude the suspension of the prescription, on the wording of Article L. 462-7 of the Commercial Code, a provision applicable regardless of the author of the referral to the Council, leads to the conclusion that the prescription, which is not suspended when the referral comes from a company, is not suspended either when the Council is seized by the Minister;  </w:t>
        <w:br/>
        <w:t xml:space="preserve">Considering that in this case more than three years have elapsed since May 11, 1998, the date of the last hearing conducted, without the course of the prescription having been interrupted by an act aimed at the investigation, establishment, or sanction of the denounced facts; that the prescription being thus acquired as of May 11, 2001, there is no need to continue the procedure;  </w:t>
        <w:br/>
        <w:t xml:space="preserve">DECIDES  </w:t>
        <w:br/>
        <w:t xml:space="preserve">Sole Article - There is no need to continue the procedure.  </w:t>
        <w:br/>
        <w:t xml:space="preserve">Deliberated, on the report of Mr. Muller, by Mrs. Hagelsteen, president, Messrs. Jenny and Nasse, vice-presidents.  </w:t>
        <w:br/>
        <w:t xml:space="preserve">The session secretary, The president,  </w:t>
        <w:br/>
        <w:t xml:space="preserve">Thierry Poncelet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