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https://www.autoritedelaconcurrence.fr/fr/decision/relative-des-pratiques-mises-en-oeuvre-par-lacademie-darchitecture-dans-le-secteur-du</w:t>
      </w:r>
    </w:p>
    <w:p>
      <w:r>
        <w:t>Pages translated : 11</w:t>
      </w:r>
    </w:p>
    <w:p/>
    <w:p>
      <w:r>
        <w:rPr>
          <w:b/>
        </w:rPr>
        <w:t>[Pages 1–3]</w:t>
      </w:r>
    </w:p>
    <w:p>
      <w:r>
        <w:t xml:space="preserve">COMPETITION COUNCIL  </w:t>
        <w:br/>
        <w:t xml:space="preserve">Decision No. 99-D-08 of February 2, 1999  </w:t>
        <w:br/>
        <w:t xml:space="preserve">regarding practices implemented by the Academy of Architecture  </w:t>
        <w:br/>
        <w:t>in the construction and public works sector</w:t>
      </w:r>
    </w:p>
    <w:p>
      <w:r>
        <w:t xml:space="preserve">The Competition Council (permanent commission),  </w:t>
        <w:br/>
        <w:t xml:space="preserve">Having regard to the letter registered on June 3, 1998, under No. F 1052, by which the Minister of Economy, Finance and Industry referred to the Competition Council practices implemented by the Academy of Architecture;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and the Academy of Architecture;  </w:t>
        <w:br/>
        <w:t xml:space="preserve">Having regard to the other documents in the file;  </w:t>
        <w:br/>
        <w:t xml:space="preserve">The rapporteur, the substitute rapporteur general, the Government Commissioner, and the representative of the Academy of Architecture heard;  </w:t>
        <w:br/>
        <w:t>Adopts the decision based on the findings (I) and the reasons (II) set out below:</w:t>
      </w:r>
    </w:p>
    <w:p>
      <w:r>
        <w:t xml:space="preserve">I. - Findings  </w:t>
        <w:br/>
        <w:t xml:space="preserve">A. - The Academy of Architecture and the central price series  </w:t>
        <w:br/>
        <w:t xml:space="preserve">The Academy of Architecture is an association governed by the law of 1901, non-profit, recognized as being of public utility, autonomous legally and financially. The Academy does not intervene in the defense of the interests of the architectural profession and has given itself a cultural vocation by developing activities aimed at improving the living environment and the quality of construction services.  </w:t>
        <w:br/>
        <w:t xml:space="preserve">Since 1883, the Academy of Architecture has published a volume entitled "the central series of reference values for building works" or "central price series," which has since its inception led to the development and dissemination of 35 editions. The latest was restructured, published, and disseminated at the beginning of 1998.  </w:t>
        <w:br/>
        <w:t xml:space="preserve">Each central price series has been developed by an editorial committee composed of permanent members of the Academy, assisted by professionals from the building and public works sectors such as representatives of public and private project owners, building technicians and companies, construction economists (quantity surveyors), teachers, architects.  </w:t>
        <w:br/>
        <w:t>The composition of the editorial committee is modified with each implementation of a new series: thus, the development of the penultimate central price series, 1990 edition, which is the subject of this review, was conducted by an editorial committee comprising ten architects.</w:t>
      </w:r>
    </w:p>
    <w:p>
      <w:r>
        <w:t xml:space="preserve">B. - Methods for Establishing the Reference Value  </w:t>
        <w:br/>
        <w:t xml:space="preserve">The central price series published in 1990 is presented in the form of five volumes that distinguish works according to their nature (structural work, wood and metal, finishes, etc.) and the trades involved in carrying out the works.  </w:t>
        <w:br/>
        <w:t xml:space="preserve">The usual unit of the series is the article, an essential element of the use of the work: it is the support of the reference value and/or the technical support of information. The reference value assigned to the article corresponds to the unit price of a service defined in relation to a unit that can be, depending on the type of work, the cubic meter, the square meter, the linear meter, the piece.  </w:t>
        <w:br/>
        <w:t xml:space="preserve">The central price series provides, in direct reading, the pricing of 40,000 unit prices, in absolute value, corresponding to the cost of the technical services necessary for the execution of works or structures.  </w:t>
        <w:br/>
        <w:t xml:space="preserve">Each unit price consists of several cost elements estimated from average flat-rate values: labor costs, supply or material costs, and various expenses including site costs, overheads, and a global flat-rate margin.  </w:t>
        <w:br/>
        <w:t xml:space="preserve">Labor costs result from the allocation to the base hourly cost of a multiplier taking into account payroll charges and unproductive time and a "quantity," that is to say, the number of hours allocated to the task to be performed. Similarly, supply or material costs result from the addition of their purchase price, transport, and handling costs. The total of these costs is then subject to a "business multiplier," which takes into account site costs, overheads, and a global flat-rate margin of 3.68%, to obtain the "reference value."  </w:t>
        <w:br/>
        <w:t xml:space="preserve">The hourly labor cost is determined based on collective agreements "readjusted in relation to the labor market," the labor multiplier related to payroll charges and unproductive time is defined from information collected from the Building and Public Works Monitor. The labor quantity is set by a specialist from each trade, and the price of supplies is the weighted average of supplier rates. The share of various expenses has been established based on a survey dating back ten years, currently being updated.  </w:t>
        <w:br/>
        <w:t>The Academy of Architecture does not justify the methods for establishing the reference value. Thus, it limits itself to indicating the sources of information on which it relies. Prices are reconstructed using formulas whose parameters are defined based on experience and do not incorporate productivity factors.</w:t>
      </w:r>
    </w:p>
    <w:p>
      <w:r>
        <w:t xml:space="preserve">As for site costs and overheads, they result from cost estimates. The same applies to the global profit margin set at 3.68% for which the Academy does not provide a calculation method.  </w:t>
        <w:br/>
        <w:t xml:space="preserve">The updating of the central price series occurs at a rather low frequency, approximately every five to ten years, due to the large number of data to be collected. To make the work operational, a monthly update of this data is carried out using a scale of coefficients. The reference values are also subject to regional adaptation to take into account the specificities of the regions, the bases for developing the central price series being based on the economic conditions of the Île-de-France region.  </w:t>
        <w:br/>
        <w:t xml:space="preserve">The updating and regionalization coefficients provided by the coefficient scale apply to the unit prices of the series without the need for prior calculation.  </w:t>
        <w:br/>
        <w:t xml:space="preserve">The lettered codification by trade allows for the direct reading of the coefficients. The updating applies to all values falling under the same codification. Thus, for example, the updating of the unit price per cubic meter for the installation of exposed bricks (including supply and workmanship) as of May 1997, in the Rhône-Alpes region, consists of relating to the price of the 1990 series the coefficient appearing in line MABR of the region in question.  </w:t>
        <w:br/>
        <w:t xml:space="preserve">Reference Value Updating Coefficient Unit Price  </w:t>
        <w:br/>
        <w:t xml:space="preserve">of the 1990 series and updated regionalization  </w:t>
        <w:br/>
        <w:t xml:space="preserve">2,916 F per m3 1.211 3,531 F per m3  </w:t>
        <w:br/>
        <w:t xml:space="preserve">The coefficient of 1.211 is the result of "the adaptation to economic variations" of the base hourly labor cost, the "labor multiplier," the cost of materials, transport costs, handling, and the "business multiplier."  </w:t>
        <w:br/>
        <w:t xml:space="preserve">A reference grid provides, by trade, the business and labor multiplier coefficients that were used to establish the updating coefficients of the series and the scale. The "business multiplier" can also be applied separately to determine the unit price of supplies or materials that are not referenced in the series.  </w:t>
        <w:br/>
        <w:t xml:space="preserve">The coefficient scale also includes "displacement" coefficients and "quantities of labor" that do not intervene in the establishment of the unit prices of the series. The first allows for the calculation of compensation for small displacements. It applies to the overall daily transport allowance (travel and meals) corresponding to the region or department considered, provided by the scale. The second serves to value work performed outside of normal working hours and days and work subject to special labor and execution constraints. These two coefficients apply only to the hourly rate per working day determined for each trade of a trade.  </w:t>
        <w:br/>
        <w:t>Finally, the preamble of the series specifies that "the reference values must be considered as a basis of average values that can be decreased or increased" according to external and internal constraints on companies, notably:</w:t>
      </w:r>
    </w:p>
    <w:p>
      <w:r>
        <w:rPr>
          <w:b/>
        </w:rPr>
        <w:t>[Pages 4–6]</w:t>
      </w:r>
    </w:p>
    <w:p>
      <w:r>
        <w:t xml:space="preserve">" the situation and specific difficulties of each site, its supply and the handling operations resulting from it;  </w:t>
        <w:br/>
        <w:t xml:space="preserve">the quantity implemented, the repetitiveness of tasks or works;  </w:t>
        <w:br/>
        <w:t xml:space="preserve">the means, the capacity of each company;  </w:t>
        <w:br/>
        <w:t xml:space="preserve">the situation and condition of the assets in the case of a "purchase order contract";  </w:t>
        <w:br/>
        <w:t>the method and payment deadlines.</w:t>
      </w:r>
    </w:p>
    <w:p>
      <w:r>
        <w:t xml:space="preserve">The discount or surcharge granted by companies based on their financial and technical capacities completes the process of establishing the unit price of a service.  </w:t>
        <w:br/>
        <w:t xml:space="preserve">C. - Principles of using the series  </w:t>
        <w:br/>
        <w:t xml:space="preserve">The principles of using the central series of prices are stated in the general and common specifications of the work. These specify that the series mainly concerns works aimed at a settlement based on measurement. They delineate the scope of the contractual relationship between the project owner and the company and provide for the payment of indemnities which, even if they fall under customary practice, are presented as rights benefiting the company. Certain provisions, mentioned several times, determine the situations in which the prices of services must lead to surcharges or discounts or must not be modified. Finally, the billing and payment modalities recommend the application of a payment multiplier in two cases, one concerning works under artificial light (payment multiplier of 1.422, VAT excluded), the other concerning equipment repairs or special works (multiplier coefficient of 1.25%, VAT excluded).  </w:t>
        <w:br/>
        <w:t xml:space="preserve">D. - Computer Software  </w:t>
        <w:br/>
        <w:t xml:space="preserve">The Academy of Architecture also offers a suite of three software programs, ATTOU, BANKS, and CYTHERE, designed with building professionals. These software programs, which integrate the databases of the central price series, mitigate the rigidity of paper support in terms of handling and price studies as they have utility functions facilitating updates and are open to external databases and the data banks specific to each company.  </w:t>
        <w:br/>
        <w:t xml:space="preserve">E. - Dissemination  </w:t>
        <w:br/>
        <w:t>The Academy of Architecture publicizes the central series of prices through traditional advertising methods and plans to disseminate the 1998 edition more widely by moving towards deposits of works in bookstores. Users of the central series of prices, according to the typology of the current 1,126 subscribers to the coefficient scale, are primarily public project owners (17% of subscriptions) and small and medium enterprises (68% of subscriptions).</w:t>
      </w:r>
    </w:p>
    <w:p>
      <w:r>
        <w:t xml:space="preserve">F. - Application of the series in the context of public and private contracts  </w:t>
        <w:br/>
        <w:t xml:space="preserve">The instruction examined, as examples, three contracts in which the central series of prices was used. The first, concluded in 1996 by an establishment of the Public Assistance - Public Hospitals (AP-HP), the hospital group of Pitié-Salpêtrière, concerns the execution of maintenance and routine improvement works; the second was concluded in 1996 by the State (Ministry of Culture) for the refreshing of the southern parts of the Palais de l’Elysée; the last relates to the standard contract of the mixed economy company SONACOTRA and is related to the execution of works necessary for the construction, rehabilitation, or improvement of buildings for residential use. In all three cases, these are fragmented contracts with purchase orders: the prices of services in the first contract are unit prices applied to the quantities actually delivered or executed, while the prices of services in the other two are lump-sum and global prices. These public contracts are governed by the provisions of Articles 273 and 275 and following of the Public Procurement Code and by application instruction No. 2010, edition 1991, of the Central Commission for Markets. The instruction recommends, in section 4 "characteristics of prices," the establishment of a lump-sum price for all services that can be defined at the time of the contract. It does not exclude prices established in relation to documents external to the contract:  </w:t>
        <w:br/>
        <w:t xml:space="preserve">" Many supply or routine work contracts include prices determined by reference to documents external to the contract:  </w:t>
        <w:br/>
        <w:t xml:space="preserve">prices set by regulatory means;  </w:t>
        <w:br/>
        <w:t xml:space="preserve">scales;  </w:t>
        <w:br/>
        <w:t xml:space="preserve">tariffs;  </w:t>
        <w:br/>
        <w:t xml:space="preserve">catalogs;  </w:t>
        <w:br/>
        <w:t xml:space="preserve">market rates;  </w:t>
        <w:br/>
        <w:t xml:space="preserve">series;  </w:t>
        <w:br/>
        <w:t xml:space="preserve">sheets.  </w:t>
        <w:br/>
        <w:t xml:space="preserve">The contract then stipulates the discounts, rebates, or more rarely fixed surcharges - in absolute value or percentage - to be applied to the reference prices as well as all necessary clarifications to define unambiguously the chosen reference prices and specify, in particular, the publications where these prices can be found.  </w:t>
        <w:br/>
        <w:t xml:space="preserve">For local authorities and their public establishments, the Public Procurement Code does not set any rules regarding prices."  </w:t>
        <w:br/>
        <w:t>The specifications of the particular clauses (CCAP) of the hospital group limit the application of the series to certain lots. The CCAP of the Ministry of Culture and the standard CCAP of SONACOTRA provide for the use of the series as a last resort when the prices of services cannot be defined by other means. The CCAP also refers to the series in determining prices when the execution of the work requires the use of "off-series" supplies. The amount of the contracts concerned by the series, on which the instruction focused, amounts to 197,716,044 F (including tax).</w:t>
      </w:r>
    </w:p>
    <w:p>
      <w:r>
        <w:t xml:space="preserve">Regarding the establishment of the AP-HP, which applies the unit price references from the central price series to the "masonry," "carpentry," and "tiles-flexible flooring" lots, it selected the bids from the lowest bidders offering respective discounts of -31.20%, -33%, and -31%. The CCAP of the Ministry of Culture imposes discounts of 30% and 35% on all eight trades, and the standard CCAP of SONACOTRA provides for a reduction of 25% on the prices of all trades except for the "painting" lot prices, which are subject to a 40% discount, and the "electricity" lot prices, which are applied without modification. Within the framework of these contracts, it appears that discounts on the unit prices of the central price series are systematically applied. In this regard, a company holding the "masonry" lot of the contract of the hospital group of Pitié-Salpêtrière considers the unit prices of the series to be higher than the market prices, which justifies, for it, the discounts applied to the unit prices of the series.  </w:t>
        <w:br/>
        <w:t xml:space="preserve">II. - Based on the preceding findings, the Council,  </w:t>
        <w:br/>
        <w:t xml:space="preserve">On the procedure:  </w:t>
        <w:br/>
        <w:t xml:space="preserve">Considering that the Academy of Architecture argues, on the one hand, that the rights of the defense have not been respected, since the summons before the Council reached it before the submission of its observations made on January 11, 1999; that it claims, on the other hand, that the procedure has a formal defect in that the parties concerned by the practices in the notification of grievances, project owners and bidding companies, were not summoned before the Council;  </w:t>
        <w:br/>
        <w:t xml:space="preserve">But considering, first, that Article 21 of Decree No. 86-1309 of December 29, 1986, as amended, taken for the application of Ordinance No. 86-1243 of December 1, 1986, as amended, relating to the freedom of prices and competition, provides that: "When the president of the Competition Council, pursuant to Article 22 of the ordinance, decides that the matter will be brought before the permanent commission without prior establishment of a report, the parties have a period of two months from the notification of this decision to present their observations on the communicated grievances"; that the notification of grievances was sent on November 9, 1998, to the Academy of Architecture and that it had a period of two months from the notification of this decision to present its observations; thus, it was able to ensure its defense before the Council;  </w:t>
        <w:br/>
        <w:t xml:space="preserve">Considering that Article 22 of the aforementioned decree specifies that: "Summons to the Council's meetings are sent at least three weeks before the day of the meeting. Notifications and summons are sent by registered mail with a request for acknowledgment of receipt"; that the summons intended for the Academy of Architecture was sent on January 8, 1999, that is, three weeks before the date of the meeting set for February 2, 1999; that, consequently, the rights of the defense were respected, and a strict application of the deadlines provided by the texts was made;  </w:t>
        <w:br/>
        <w:t>Considering, secondly, that no legislative or regulatory provision requires the Council to hear all parties concerned by the practices; that in this case, the project owners and the</w:t>
      </w:r>
    </w:p>
    <w:p>
      <w:r>
        <w:rPr>
          <w:b/>
        </w:rPr>
        <w:t>[Pages 7–9]</w:t>
      </w:r>
    </w:p>
    <w:p>
      <w:r>
        <w:t>of architecture of the central price series cannot be considered as a mere tool for facilitating access to public markets for small or medium enterprises; that, on the contrary, the existence of this series, with its theoretical values and the way it is applied, tends to distort competition by establishing a reference that does not reflect the actual costs incurred by companies; that the significant discounts applied to the unit prices of the central price series further illustrate its artificial nature; that, consequently, the central price series cannot serve as a reliable basis for pricing in the construction sector; that the reliance on such a series by public and private project owners, as well as by companies, ultimately undermines the principles of free competition and the proper functioning of the market; that the Academy's arguments regarding the utility of the software and the facilitation of cost management do not mitigate the fundamental issues raised concerning the impact of the central price series on competition; that, therefore, the practices observed in relation to the central price series must be regarded as contrary to the rules of competition law.</w:t>
      </w:r>
    </w:p>
    <w:p>
      <w:r>
        <w:rPr>
          <w:b/>
        </w:rPr>
        <w:t>[Pages 10–11]</w:t>
      </w:r>
    </w:p>
    <w:p>
      <w:r>
        <w:t xml:space="preserve">the central series of prices constitutes a practice that has the object and effect of restricting competition by diverting companies from determining their own cost price and by promoting the artificial increase of prices; that these practices are prohibited within the meaning of Article 7 of the ordinance of December 1, 1986;  </w:t>
        <w:br/>
        <w:t xml:space="preserve">On the application of paragraph 1 of Article 10 of the ordinance of December 1, 1986:  </w:t>
        <w:br/>
        <w:t xml:space="preserve">Considering that "The provisions of Articles 7 and 8 do not apply to practices:  </w:t>
        <w:br/>
        <w:t xml:space="preserve">1. Resulting from the application of a legislative text or a regulatory text taken for its application;  </w:t>
        <w:br/>
        <w:t xml:space="preserve">Considering that the Académie d’architecture argues that being recognized as a public utility association by decree of May 15, 1953 taken in the Council of Ministers after the opinion of the Council of State imposes a legal obligation to publish the central series of prices; that it refers, in this regard, to Articles 36 and 37 of its statutes approved by a ministerial order of November 22, 1984, attached to its observations;  </w:t>
        <w:br/>
        <w:t xml:space="preserve">But considering that the evidence produced by the Académie d’architecture consists of a photocopied document of Articles 1 to 19 of the statutes directly followed by Articles 11 to 44 of the internal regulations which are abusively presented as a sequence of articles pertaining to statutory provisions; that the Articles 36 and 37 mentioned by the Académie are those of the internal regulations, and not of the statutes, which is not subject to the approval of a ministerial order; that the central series of prices as such is not mentioned in the statutes; that the Académie d’architecture cannot therefore argue that the provisions of its statutes confer to the publication of the central series of prices the character of a legal or regulatory obligation; that the provisions of paragraph 1 of Article 10 of the ordinance of December 1, 1986 are not applicable in this case;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in France during the last closed financial year. If the offender is not a company, the amount is 10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that pursuant to Article 22, paragraph 2, of the same ordinance, "the permanent commission may impose the measures provided for in Article 13, the penalties imposed not exceeding 500,000 francs for each of the authors of the practices";  </w:t>
        <w:br/>
        <w:t xml:space="preserve">Considering that the assessment of the seriousness of the facts must take into account the notoriety and authority of the Académie d’architecture which confer an exemplary character to its actions and the longevity of the central series of prices; that the practice had been denounced by the Competition Commission in an opinion of 1982; that the Académie could therefore not ignore that the development and dissemination of the central series of prices constituted an anti-competitive practice;  </w:t>
        <w:br/>
        <w:t xml:space="preserve">Considering that, in order to assess the damage to the economy, it is necessary to take into account the fact that the central series of prices is used by numerous companies and project owners, particularly public ones;  </w:t>
        <w:br/>
        <w:t xml:space="preserve">Considering that regarding the contributory capacities of the Académie d’architecture, it had resources amounting to 4,736,650 francs in 1997, the last closed financial year available; that the recorded net loss amounted to 993,218 francs that same year; that the revenues from the sale of the central series of prices have significantly decreased; that, taking into account the general and individual elements thus assessed, it is appropriate to impose a financial penalty of 30,000 francs on the Académie d’architecture,  </w:t>
        <w:br/>
        <w:t xml:space="preserve">Decides:  </w:t>
        <w:br/>
        <w:t xml:space="preserve">Article 1.- It is established that the Académie d’architecture has violated the provisions of Article 7 of the ordinance of December 1, 1986.  </w:t>
        <w:br/>
        <w:t xml:space="preserve">Article 2.- A financial penalty of 30,000 francs is imposed on the Académie d’architecture.  </w:t>
        <w:br/>
        <w:t xml:space="preserve">Article 3.- The Académie d’architecture is ordered to cease disseminating any price series containing reference values integrating average values and flat-rate coefficients related to labor costs, supplies or materials, site costs, and overheads, as well as a global profit margin with a predetermined percentage.  </w:t>
        <w:br/>
        <w:t xml:space="preserve">Deliberated, on the report of Ms. Bergaentzlé, by Ms. Halgesteen, president, Ms. Pasturel, vice-president, Messrs. Cortesse and Jenny, vice-presidents.  </w:t>
        <w:br/>
        <w:t xml:space="preserve">The substitute general rapporteur, The president,  </w:t>
        <w:br/>
        <w:t xml:space="preserve">Jean-Claude Facchin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