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https://www.autoritedelaconcurrence.fr/fr/decision/relative-des-pratiques-mises-en-oeuvre-par-le-barreau-de-montpellier</w:t>
      </w:r>
    </w:p>
    <w:p>
      <w:r>
        <w:t>Pages translated : 6</w:t>
      </w:r>
    </w:p>
    <w:p/>
    <w:p>
      <w:r>
        <w:rPr>
          <w:b/>
        </w:rPr>
        <w:t>[Pages 1–3]</w:t>
      </w:r>
    </w:p>
    <w:p>
      <w:r>
        <w:t>FRENCH REPUBLIC</w:t>
        <w:br/>
        <w:t>Decision No. 05-D-57 of October 21, 2005</w:t>
        <w:br/>
        <w:t>regarding practices implemented by the Montpellier Bar</w:t>
        <w:br/>
        <w:t>The Competition Council (Permanent Commission),</w:t>
        <w:br/>
        <w:t>Having regard to the letter, registered on March 29, 2001, under number F 1299-2, by which the Confederation of Housing and Living Environment, hereinafter "CLCV," referred to the Competition Council practices implemented by the Montpellier Bar, which it qualified as anti-competitive within the meaning of Article 7 of the ordinance of December 1, 1986, now Article L. 420-1 of the Commercial Code;</w:t>
        <w:br/>
        <w:t>Having regard to Book IV of the Commercial Code, Decree No. 86-1309 of December 29, 1986, as amended, setting the conditions for the application of Ordinance No. 86-1243 of December 1, 1986, and Decree No. 2002-689 of April 30, 2002, setting the conditions for the application of Ordinance No. 86-1243 of December 1, 1986;</w:t>
        <w:br/>
        <w:t>Having regard to the observations presented by the Government Commissioner;</w:t>
        <w:br/>
        <w:t>Having regard to the other documents in the file;</w:t>
        <w:br/>
        <w:t>The rapporteur, the deputy general rapporteur, and the Government Commissioner heard during the session of September 12, 2005, the Confederation of Housing and Living Environment regularly summoned;</w:t>
        <w:br/>
        <w:t>Adopts the following decision:</w:t>
      </w:r>
    </w:p>
    <w:p>
      <w:r>
        <w:t>I. Findings</w:t>
        <w:br/>
        <w:t>1. By letter registered on March 29, 2001, under number F 1299-2, the Confederation of Housing and Living Environment referred to the Competition Council practices implemented by the Montpellier Bar.</w:t>
        <w:br/>
        <w:t>2. The services of the DGCCRF conducted an investigation, the report of which was transmitted on January 18, 2002, by the Director General of Competition, Consumer Affairs, and Fraud Control.</w:t>
      </w:r>
    </w:p>
    <w:p>
      <w:r>
        <w:t>A. THE REGULATORY FRAMEWORK OF BAR ACTIVITIES</w:t>
        <w:br/>
        <w:t>3. The legal profession is governed by the law of December 31, 1971, as amended, reforming certain judicial and legal professions. The profession is organized into bars established at the courts of major jurisdiction. Each bar is endowed with legal personality and is administered by a Council of the Order. The members of the Council of the Order are elected for three years by secret ballot, by all lawyers registered on the bar roll, by trainee lawyers who took the oath before January 1 of the year in which the election takes place, and by honorary lawyers belonging to said bar. At its head, a bâtonnier is elected for two years; he represents the bar in all acts of civil life. It is his responsibility to prevent or, if necessary, to reconcile professional disputes between members of the bar and to investigate any claims made by third parties.</w:t>
        <w:br/>
        <w:t>4. The missions of the Council of the Order are defined by Article 17 of the aforementioned law. It is intended to address all questions concerning the practice of the profession and to ensure compliance with the duties of lawyers, as well as the protection of their rights. It is, in particular, required "to adopt and, if necessary, to amend the provisions of the internal regulations, to rule on the registration on the roll of lawyers (...) to exercise discipline (...) to maintain the principles of probity, selflessness, moderation, and fraternity on which the profession rests and to exercise the oversight that the honor and interest of its members render necessary (...) to ensure that lawyers are punctual at hearings and behave as loyal auxiliaries of justice (...)".</w:t>
        <w:br/>
        <w:t>5. At the request of the public prosecutor, any deliberation or decision of the Council of the Order that is foreign to the powers recognized to it or contrary to legislative or regulatory provisions is annulled by the Court of Appeal. Deliberations or decisions of the Council of the Order that may harm the professional interests of a lawyer may also, at the request of the interested party, be referred to the Court of Appeal. Similarly, decisions of the Council of the Order relating to registration on the bar or on the trainee list, to the omission or refusal of omission from the roll or the trainee list, may be referred to the Court of Appeal by the public prosecutor or by the interested party.</w:t>
        <w:br/>
        <w:t>6. As with businesses, the amount of fees requested by the lawyer must be freely determined. While the pricing of postulation and procedural acts is governed by the provisions on civil procedure, it follows from Article 10 of the law of December 31, 1971 that "... the fees for consultation, assistance, advice, drafting of private legal documents, and advocacy are set in agreement with the client. In the absence of an agreement between the lawyer and the client, the fee is set according to customary practice, based on the client's financial situation, the complexity of the case, the expenses incurred by the lawyer, his reputation, and his diligence. Any fee determination based solely on the judicial outcome is prohibited. A contract is lawful if, in addition to the remuneration for services rendered, it provides for the setting of a supplementary fee based on the result obtained or the service rendered."</w:t>
        <w:br/>
        <w:t>7. Disputes that may arise between the lawyer and his client regarding the amount and collection of fees are settled by Articles 174 and following of the decree of November 27, 1991. Claims are submitted to the bâtonnier by any party, without any formal condition. According to Article 175 of the decree, the bâtonnier acknowledges receipt of the claim. His decision must be made within three months. Failing this, it is up to the client to refer the matter to the first president of the Court of Appeal. According to Article 176 of the decree, the decision of the bâtonnier is subject to appeal before the first president of the Court of Appeal. The decision of the bâtonnier, not referred to the first president of the Court of Appeal, may be made enforceable by order of the president of the Court of First Instance at the request of the lawyer or the party.</w:t>
        <w:br/>
        <w:t>8. Article 183 of the decree of November 27, 1991 states, finally, that "(...) any violation of professional rules, any breach of probity (...) exposes the lawyer who is the author to disciplinary sanctions (...)". Enumerated in Article 184 of the decree, these sanctions, which range from warning or reprimand to temporary prohibition (which may not exceed three years), to removal from the roll or the trainee list or withdrawal of honorary status, are pronounced by the Council of the Order under the supervision of the Court of Appeal. The law thus recognizes the client a right to contest the fees, of which the bâtonnier is the judge, and any failure to comply with the duty of moderation in the amount of fees requested may give rise to disciplinary action before the Council of the Order.</w:t>
      </w:r>
    </w:p>
    <w:p>
      <w:r>
        <w:t>B. THE MONTPELLIER BAR</w:t>
        <w:br/>
        <w:t>9. The Montpellier Bar has five hundred forty-two registered lawyers, to which should be added ninety-two trainees and thirty-nine honorary lawyers.</w:t>
        <w:br/>
        <w:t>10. This bar is administered by the Council of the Order, composed of the bâtonnier and 21 other members. It does not have, strictly speaking, an activity in terms of determining fees. However, some of its activities have an impact on the determination of fees.</w:t>
        <w:br/>
        <w:t>11. This primarily involves the arbitration role that the bâtonnier has under Articles 174 and following of the decree of November 27, 1991 for any dispute relating to the amount and collection of fees opposing lawyers among themselves or to their client.</w:t>
        <w:br/>
        <w:t>12. It also involves the training in management for trainee lawyers during which the bâtonnier explains the "rudiments" of managing a law firm and the methods for establishing a personal fee scale.</w:t>
        <w:br/>
        <w:t>13. These methods for establishing a personal fee scale are also included in the internal regulations, adopted on September 18, 2000, which contains various provisions addressing</w:t>
      </w:r>
    </w:p>
    <w:p>
      <w:r>
        <w:rPr>
          <w:b/>
        </w:rPr>
        <w:t>[Pages 4–6]</w:t>
      </w:r>
    </w:p>
    <w:p>
      <w:r>
        <w:t>of fees (cases of lawyer succession, prohibition of presentation fees, legal aid).</w:t>
      </w:r>
    </w:p>
    <w:p>
      <w:r>
        <w:t>C. THE FACTS NOTED</w:t>
      </w:r>
    </w:p>
    <w:p>
      <w:r>
        <w:t>1. THE 1988 SCALE</w:t>
      </w:r>
    </w:p>
    <w:p>
      <w:r>
        <w:t>14. The Bar Association of Montpellier established for the judicial year 1988 a document entitled "Indicative Guide of Fees Practiced by the Lawyers of the Montpellier Bar."</w:t>
      </w:r>
    </w:p>
    <w:p>
      <w:r>
        <w:t>15. It is stated at the forefront of this indicative guide "that it concerns only fees. The costs and emoluments of postulation are charged additionally in accordance with the laws and decrees in force." It "applies to a main procedure conducted without ancillary or incidental procedures which are subject to additional fees. The same applies to expert reports, investigations, or instructions whose cost can be calculated based on an hourly rate of F. 500 to 1,000 depending on the case." The guide specifies that "the Council of the Bar Association of Montpellier rejected the principle of a fee schedule as contrary to the freedom of fees. Therefore, only the fees usually practiced during the year 1988 by the lawyers of the Montpellier Bar are indicated here, and this, for informational purposes only."</w:t>
      </w:r>
    </w:p>
    <w:p>
      <w:r>
        <w:t>16. Thirteen chapters compose this guide which lists different services corresponding to prices, some being minimum prices, price ranges, and percentages:</w:t>
        <w:br/>
        <w:t>• Court of Appeal: four services with four minimums;</w:t>
        <w:br/>
        <w:t>• Chamber of Indictment: one service with a minimum;</w:t>
        <w:br/>
        <w:t>• Assize Court: two services with two minimum averages;</w:t>
        <w:br/>
        <w:t>• Court of Major Jurisdiction: eleven services with eleven minimums;</w:t>
        <w:br/>
        <w:t>• Court of Instance: two services with two minimums;</w:t>
        <w:br/>
        <w:t>• Criminal Matters: ten services with ten minimums;</w:t>
        <w:br/>
        <w:t>• Commercial Court: three services with three minimums;</w:t>
        <w:br/>
        <w:t>• Labor Court: four services with four minimums;</w:t>
        <w:br/>
        <w:t>• Various Procedures: three services with three minimums;</w:t>
        <w:br/>
        <w:t>• Administrative Court: three services with three minimums;</w:t>
        <w:br/>
        <w:t>• Consultation and hourly fees: three services with three hourly minimums and one overall minimum;</w:t>
        <w:br/>
        <w:t>• Setting of fees based on the result obtained: four ranges in decreasing percentages;</w:t>
        <w:br/>
        <w:t>• Drafting of documents: this chapter includes both fixed, minimum fees and percentages concerning leases, business assets, companies, sales, partitions, mortgages, and pledges as well as labor law documents.</w:t>
      </w:r>
    </w:p>
    <w:p>
      <w:r>
        <w:t>2. THE USE OF THE SCALE</w:t>
      </w:r>
    </w:p>
    <w:p>
      <w:r>
        <w:t>17. Most of the lawyers interviewed during the investigation stated that this guide had never been used, either because they had their own pricing grid or because they defined the applicable rate on a case-by-case basis. All confirm that this guide has not been updated or republished since 1998.</w:t>
      </w:r>
    </w:p>
    <w:p>
      <w:r>
        <w:t>18. The lawyers heard during the investigation all declared that their pricing practices were not influenced by the guide in any way.</w:t>
      </w:r>
    </w:p>
    <w:p>
      <w:r>
        <w:t>19. According to the investigation report, "all statements collected agree (...) on the fact that it has not been used by the lawyers interviewed during the investigation."</w:t>
      </w:r>
    </w:p>
    <w:p>
      <w:r>
        <w:t>20. The documents attached to the file confirm that the pricing practices of the lawyers of the Montpellier Bar interviewed during the investigation are determined either based on grids developed by themselves or based on the specific characteristics of the cases.</w:t>
      </w:r>
    </w:p>
    <w:p>
      <w:r>
        <w:t>21. It is not possible to establish that the rates of the indicative guide continue to have effects during the year 2001, the period during which the investigation was conducted.</w:t>
      </w:r>
    </w:p>
    <w:p>
      <w:r>
        <w:t>3. THE "FLASH INFO" DOCUMENT OF MARCH 1998</w:t>
      </w:r>
    </w:p>
    <w:p>
      <w:r>
        <w:t>22. The Council of the Bar Association of Montpellier did not denounce the use of the indicative guide before 1998. However, the Order established in March 1998 a document entitled "Flash info" whose "various" section contains a paragraph "fees" addressing the indicative guide. This text reminds "that in order to avoid any confusion in the minds of the public, it is strongly requested that colleagues who have retained this notice destroy it and not refer to any scale or fee guide, which moreover no longer exists" (the bold characters are in the text).</w:t>
      </w:r>
    </w:p>
    <w:p>
      <w:r>
        <w:t>II. Discussion</w:t>
      </w:r>
    </w:p>
    <w:p>
      <w:r>
        <w:t>A. ON THE PRESCRIPTION</w:t>
      </w:r>
    </w:p>
    <w:p>
      <w:r>
        <w:t>23. According to Article L. 462-7 of the Commercial Code in its version prior to the intervention of the ordinance of November 4, 2004: "the Competition Council cannot be seized of facts dating back more than three years, if no act has been made aimed at their investigation, observation, or sanction."</w:t>
      </w:r>
    </w:p>
    <w:p>
      <w:r>
        <w:t>24. The Confederation of Housing and Living Environment referred to the Competition Council, on March 29, 2001, practices of disseminating a scale more than three years prior to the referral: these facts can therefore only escape the prescription if it is established that they persisted beyond March 29, 1998.</w:t>
      </w:r>
    </w:p>
    <w:p>
      <w:r>
        <w:t>25. While it is true, in the first place, that the 1988 scale has not been subject to subsequent cancellation by the Council of the Order, this circumstance cannot in itself attest to the continuous effect of the practice, insofar as it consists of the dissemination of documents published for the account of a judicial year and which must be periodically updated.</w:t>
      </w:r>
    </w:p>
    <w:p>
      <w:r>
        <w:t>26. Secondly, the administrative investigation does not reveal any element allowing to establish that this document would have been applied, particularly during the non-prescribed period, that is to say from March 29, 1998, the document mentioned in paragraph 22, moreover without a certain date, being insufficient to demonstrate the application of the scale by the members of the bar during this period.</w:t>
      </w:r>
    </w:p>
    <w:p>
      <w:r>
        <w:t>27. It follows from the above that the practice cannot be regarded as continuous, particularly during the non-prescribed period.</w:t>
      </w:r>
    </w:p>
    <w:p>
      <w:r>
        <w:t>28. Consequently, a period of more than three years has elapsed since the dissemination of the 1988 scale, without the course of the prescription having been interrupted by an act aimed at the investigation, observation, or sanction of the reported facts. The prescription is therefore acquired in application of Article L. 462-7 of the Commercial Code and there is no need, consequently, to continue the procedure.</w:t>
      </w:r>
    </w:p>
    <w:p>
      <w:r>
        <w:t>DECISION</w:t>
      </w:r>
    </w:p>
    <w:p>
      <w:r>
        <w:t>Sole Article: - There is no need to continue the procedure.</w:t>
      </w:r>
    </w:p>
    <w:p>
      <w:r>
        <w:t>Deliberated on the oral report of Mr. Fontaine, by Mr. Lasserre, president, Ms. Aubert, Mr. Nasse, and Ms. Perrot, vice-presidents.</w:t>
      </w:r>
    </w:p>
    <w:p>
      <w:r>
        <w:t>The session secretary The president,</w:t>
      </w:r>
    </w:p>
    <w:p>
      <w:r>
        <w:t>Catherine Duparcq Bruno Lasserre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