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https://www.autoritedelaconcurrence.fr/fr/decision/relative-des-pratiques-mises-en-oeuvre-par-le-barreau-devry</w:t>
      </w:r>
    </w:p>
    <w:p>
      <w:r>
        <w:t>Pages translated : 6</w:t>
      </w:r>
    </w:p>
    <w:p/>
    <w:p>
      <w:r>
        <w:rPr>
          <w:b/>
        </w:rPr>
        <w:t>[Pages 1–3]</w:t>
      </w:r>
    </w:p>
    <w:p>
      <w:r>
        <w:t>FRENCH REPUBLIC</w:t>
        <w:br/>
        <w:t>Decision No. 05-D-56 of October 21, 2005</w:t>
        <w:br/>
        <w:t>regarding practices implemented by the Evry Bar Association</w:t>
        <w:br/>
        <w:t>The Competition Council (Permanent Commission),</w:t>
        <w:br/>
        <w:t>Considering the letter, registered on March 29, 2001, under number F 1299-1, by which the Confederation of Housing and Living Environment, hereinafter "CLCV," referred practices implemented by the Evry Bar Association to the Competition Council, which it qualified as anti-competitive within the meaning of Article 7 of the ordinance of December 1, 1986, now Article L. 420-1 of the Commercial Code;</w:t>
        <w:br/>
        <w:t>Considering Book IV of the Commercial Code, Decree No. 86-1309 of December 29, 1986, as amended, setting the conditions for the application of Ordinance No. 86-1243 of December 1, 1986, and Decree No. 2002-689 of April 30, 2002, setting the conditions for the application of Ordinance No. 86-1243 of December 1, 1986;</w:t>
        <w:br/>
        <w:t>Considering the observations presented by the Government Commissioner;</w:t>
        <w:br/>
        <w:t>Considering the other documents in the file;</w:t>
        <w:br/>
        <w:t>The rapporteur, the deputy general rapporteur, and the Government Commissioner heard during the session of September 12, 2005, the Confederation of Housing and Living Environment regularly summoned;</w:t>
        <w:br/>
        <w:t>Adopts the following decision:</w:t>
      </w:r>
    </w:p>
    <w:p>
      <w:r>
        <w:t>I. Findings</w:t>
        <w:br/>
        <w:t>1. By letter registered on March 29, 2001, under number F 1299-1, the Confederation of Housing and Living Environment referred practices implemented by the Evry Bar Association to the Competition Council.</w:t>
        <w:br/>
        <w:t>2. The services of the DGCCRF conducted an investigation, the report of which was transmitted on February 13, 2002, by the Director General of Competition, Consumer Affairs, and Fraud Control.</w:t>
      </w:r>
    </w:p>
    <w:p>
      <w:r>
        <w:t>A. THE REGULATORY FRAMEWORK OF BAR ASSOCIATIONS</w:t>
        <w:br/>
        <w:t>3. The legal profession is governed by the law of December 31, 1971, as amended, reforming certain judicial and legal professions. The profession is organized into bar associations established at the courts of major jurisdiction. Each bar association has legal personality and is administered by a Council of the Bar. The members of the Council of the Bar are elected for three years by secret ballot, by all lawyers registered on the bar roll, by trainee lawyers who have taken an oath before January 1 of the year in which the election takes place, and by honorary lawyers belonging to the said bar. At its head, a bâtonnier is elected for two years; he represents the bar in all acts of civil life. It is his responsibility to prevent or, if necessary, to mediate professional disputes between members of the bar and to handle any complaints made by third parties.</w:t>
        <w:br/>
        <w:t>4. The missions of the Council of the Bar are defined by Article 17 of the aforementioned law. It is responsible for addressing all questions concerning the practice of the profession and ensuring compliance with the duties of lawyers, as well as protecting their rights. It is, in particular, required "to establish and, if necessary, to modify the provisions of the internal regulations, to rule on the registration on the roll of lawyers (...) to exercise discipline (...) to maintain the principles of integrity, selflessness, moderation, and fraternity on which the profession is based and to exercise the oversight that the honor and interest of its members render necessary (...) to ensure that lawyers are punctual at hearings and behave as loyal auxiliaries of justice (...)".</w:t>
        <w:br/>
        <w:t>5. At the request of the public prosecutor, any deliberation or decision of the Council of the Bar that is outside the powers recognized to it or contrary to legislative or regulatory provisions is annulled by the Court of Appeal. Deliberations or decisions of the Council of the Bar that may harm the professional interests of a lawyer may also, at the request of the interested party, be referred to the Court of Appeal. Similarly, decisions of the Council of the Bar regarding registration on the bar or on the trainee list, omission or refusal of omission from the roll or trainee list, may be referred to the Court of Appeal by the public prosecutor or by the interested party.</w:t>
        <w:br/>
        <w:t>6. As with businesses, the amount of fees requested by the lawyer must be freely determined. While the pricing of representation and procedural acts is governed by the provisions on civil procedure, it follows from Article 10 of the law of December 31, 1971 that "... the fees for consultation, assistance, advice, drafting of private legal documents, and advocacy are set in agreement with the client. In the absence of an agreement between the lawyer and their client, the fee is set according to customary practices, based on the client's financial situation, the complexity of the case, the expenses incurred by the lawyer, their reputation, and their diligence. Any fee determination based solely on the judicial outcome is prohibited. A contract is lawful if, in addition to the remuneration for services rendered, it provides for the setting of a supplementary fee based on the result obtained or the service rendered."</w:t>
        <w:br/>
        <w:t>7. Disputes likely to arise between the lawyer and their client regarding the amount and collection of fees are settled by Articles 174 and following of the decree of November 27, 1991. Complaints are submitted to the bâtonnier by any party, without any formal condition. According to Article 175 of the decree, the bâtonnier acknowledges receipt of the complaint. His decision must be made within three months. Failing that, it is up to the client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made enforceable by order of the president of the court of major jurisdiction at the request of the lawyer or the party.</w:t>
        <w:br/>
        <w:t>8. Article 183 of the decree of November 27, 1991 states, finally, that "(...) any violation of professional rules, any breach of integrity (...) exposes the lawyer who is the author to disciplinary sanctions (...)". Enumerated in Article 184 of the decree, these sanctions, which range from warning or reprimand to temporary prohibition (which may not exceed three years), to removal from the roll or trainee list or withdrawal of honorary status, are pronounced by the Council of the Bar under the supervision of the Court of Appeal. The law thus recognizes the client a right to contest the fees, of which the bâtonnier is the judge, and any breach of the duty of moderation in the amount of fees requested may give rise to disciplinary action before the Council of the Bar.</w:t>
      </w:r>
    </w:p>
    <w:p>
      <w:r>
        <w:t>B. THE EVRY BAR ASSOCIATION</w:t>
        <w:br/>
        <w:t>9. Two hundred and seventeen lawyers are registered with the Evry Bar Association, to which should be added thirty-three trainees and ten honorary lawyers.</w:t>
        <w:br/>
        <w:t>10. This bar is administered by the Council of the Bar, composed of the bâtonnier and 21 other members. It has no direct activity in determining fees. However, some of its activities have an impact on the determination of fees.</w:t>
        <w:br/>
        <w:t>11. This primarily involves the arbitration role assigned to the bâtonnier based on Articles 174 and following of the decree of November 27, 1991 for any dispute regarding the amount and collection of fees between lawyers or between a lawyer and their client. When lawyers violate the duty of moderation attached to their profession, the bâtonnier, or members designated by him, organizes the financial arrangements for resolving the dispute.</w:t>
        <w:br/>
        <w:t>12. It also involves training in management for trainee lawyers.</w:t>
        <w:br/>
        <w:t>13. These arrangements for establishing a personal scale are also included in the internal regulations, adopted on September 18, 2000, which contains various provisions addressing</w:t>
      </w:r>
    </w:p>
    <w:p>
      <w:r>
        <w:rPr>
          <w:b/>
        </w:rPr>
        <w:t>[Pages 4–6]</w:t>
      </w:r>
    </w:p>
    <w:p>
      <w:r>
        <w:t>fees (cases of lawyer succession, prohibition of referral fees, legal aid).</w:t>
        <w:br/>
        <w:t>C. THE FACTS NOTED</w:t>
        <w:br/>
        <w:t>1. THE 1993 SCALE</w:t>
        <w:br/>
        <w:t>14. The bar association of Évry established, for the judicial year 1993, a document entitled "Collection of Average Fees Received by Lawyers of the Essonne Bar," which includes in its second part a "pre-tax scale" of fees received "during the year 1992." This collection is presented in the manner of a guide intended for the public. It introduces the legal profession in general before detailing the services associated with fees.</w:t>
        <w:br/>
        <w:t>15. From page 8 to page 14 of the collection, eighty-six services divided into fifteen categories are listed. Associated with these services are amounts, some of which constitute minima:</w:t>
        <w:br/>
        <w:t>• Consultation: three fees including a minimum ("complex consultation, starting from 1,000 F HT," page 8);</w:t>
        <w:br/>
        <w:t>• Procedures: three fixed fees (page 8);</w:t>
        <w:br/>
        <w:t>• Investigative measures: five fixed fees (page 8);</w:t>
        <w:br/>
        <w:t>• Fixed costs: four prices (page 8);</w:t>
        <w:br/>
        <w:t>• Proceedings before the TGI: four categories of services, corresponding to eleven fees, including a minimum ("complex case," page 9);</w:t>
        <w:br/>
        <w:t>• Matters concerning the status of individuals: four categories corresponding to eleven services, thus as many amounts (page 10);</w:t>
        <w:br/>
        <w:t>• Criminal court: two categories of services corresponding to seven services, thus as many amounts (page 11);</w:t>
        <w:br/>
        <w:t>• Assize court: a single fee amount is mentioned, stating that "given the difficulties, nature, and duration of this type of procedure, [they] may be higher" (page 11);</w:t>
        <w:br/>
        <w:t>• Court of Appeal and Chamber of Indictment: two fees (page 11);</w:t>
        <w:br/>
        <w:t>• Police court: two fees (page 11);</w:t>
        <w:br/>
        <w:t>• District court: five fees (page 12);</w:t>
        <w:br/>
        <w:t>• Labor court: five fees (page 12);</w:t>
        <w:br/>
        <w:t>• Court of Appeal: two fees (page 12);</w:t>
        <w:br/>
        <w:t>• Administrative court: three fees (page 12);</w:t>
        <w:br/>
        <w:t>• Commercial court: twenty-one fees divided into five categories, including six minima ("complex case," "general procedure," and "preparation of a recovery plan" in bankruptcy cases, page 13).</w:t>
      </w:r>
    </w:p>
    <w:p>
      <w:r>
        <w:t>16. The end of this section contains the indications "The average fee thus practiced may be exceeded depending on the particularly high interest of the dispute, the result obtained, or any particular situation (urgency, complexity...). Furthermore, in all matters, the lawyer may agree with their client on billing based on time spent (...) ".</w:t>
        <w:br/>
        <w:t>17. According to the administrative investigation, this scale was distributed to the lawyers of the bar.</w:t>
        <w:br/>
        <w:t>2. THE "RECOMMENDATIONS" OF 1995</w:t>
        <w:br/>
        <w:t>18. A second document, collected on October 11, 2001, at the office of Master Héber-Suffrin, titled "Recommendations of the Bar President on Fee Taxation – Judicial Year 1995 – Pre-Tax Scale" was established in 1995. This scale includes categories almost identical to those of the 1993 text but increases the prices by 10 to 20% and sometimes even doubles them. It includes an annex titled "Indicative Substitute Scale for 1995 – Excluding Taxes and Expenses."</w:t>
        <w:br/>
        <w:t>19. According to the administrative investigation, this document was not disseminated to all lawyers of the Essonne bar, but only to the delegated members of the Council of the Order responsible for taxation, with the aim of unifying their decisions.</w:t>
        <w:br/>
        <w:t>3. THE INTERNAL REGULATIONS OF 2000</w:t>
        <w:br/>
        <w:t>20. On September 18, 2000, the bar association of Évry adopted the harmonized internal regulations promoted by the National Council of Bars to standardize the essential rules and practices of the profession.</w:t>
        <w:br/>
        <w:t>21. This regulation contains Article 11 relating to "fees, emoluments, expenses, method of payment of fees." This article includes several provisions indicating that the lawyer must inform their clients in advance of the methods for determining their fees. The elements for determining said fees are listed in paragraph 3 of the article: this remuneration is based on the time spent on the case, the research work, the nature and difficulty of the case, the importance of the interests at stake, the impact of the expenses and charges of the firm to which the lawyer belongs, their reputation, qualifications, seniority, experience, and specialization, the benefits and results obtained for the client, and finally the client's situation.</w:t>
        <w:br/>
        <w:t>II. Discussion</w:t>
        <w:br/>
        <w:t>22. Under Article L. 462-7 of the Commercial Code in its version prior to the intervention of the ordinance of November 4, 2004: "the Competition Council cannot be seized of facts dating back more than three years, if no act has been made to seek, establish, or sanction them."</w:t>
        <w:br/>
        <w:t>23. The Confederation of Housing and Living Environment referred to the Competition Council, on March 29, 2001, practices of disseminating previous scales more than three years prior to the referral: these facts cannot therefore escape the statute of limitations unless it is established that they persisted beyond March 29, 1998.</w:t>
      </w:r>
    </w:p>
    <w:p>
      <w:r>
        <w:t>24. While it is true, in the first instance, that the 1993 scale and the "recommendations" of 1995 were not withdrawn or denied after their dissemination by the Council of the Order, this circumstance cannot in itself attest to the continuous effect of the practices, insofar as they consisted of the dissemination of documents published for the account of a judicial year and which must be periodically updated.</w:t>
        <w:br/>
        <w:t>25. Secondly, the administrative investigation does not reveal any elements establishing that these documents would have been applied, particularly during the non-prescribed period, that is to say, from March 29, 1998.</w:t>
        <w:br/>
        <w:t>26. It follows from the above that the practices cannot be regarded as continuous, particularly during the non-prescribed period.</w:t>
        <w:br/>
        <w:t>27. Consequently, more than three years have elapsed since the dissemination of the 1993 scale and the recommendations of 1995, without the course of the statute of limitations having been interrupted by an act aimed at seeking, establishing, or sanctioning the reported facts. The statute of limitations is therefore acquired in application of Article L. 462-7 of the Commercial Code, and there is no reason, consequently, to continue the procedure.</w:t>
        <w:br/>
        <w:t>DECISION</w:t>
        <w:br/>
        <w:t>Sole Article: - There is no reason to continue the procedure.</w:t>
        <w:br/>
        <w:t>Deliberated on the oral report of Mr. Fontaine, by Mr. Lasserre, president, Ms. Aubert, Mr. Nasse, and Ms. Perrot, vice-presidents.</w:t>
        <w:br/>
        <w:t>The session secretary The president,</w:t>
        <w:br/>
        <w:t>Catherine Duparcq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