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https://www.autoritedelaconcurrence.fr/fr/decision/relative-des-pratiques-mises-en-oeuvre-par-le-conseil-national-de-lordre-des-architectes</w:t>
      </w:r>
    </w:p>
    <w:p>
      <w:r>
        <w:t>Pages translated : 15</w:t>
      </w:r>
    </w:p>
    <w:p/>
    <w:p>
      <w:r>
        <w:rPr>
          <w:b/>
        </w:rPr>
        <w:t>[Pages 1–3]</w:t>
      </w:r>
    </w:p>
    <w:p>
      <w:r>
        <w:t xml:space="preserve">CONSEIL DE LA CONCURRENCE  </w:t>
        <w:br/>
        <w:t xml:space="preserve">Decision No. 97 D 45  </w:t>
        <w:br/>
        <w:t xml:space="preserve">of June 10, 1997  </w:t>
        <w:br/>
        <w:t xml:space="preserve">regarding practices implemented  </w:t>
        <w:br/>
        <w:t>by the National Council of the Order of Architects</w:t>
      </w:r>
    </w:p>
    <w:p>
      <w:r>
        <w:t xml:space="preserve">The Competition Council (permanent commission),  </w:t>
        <w:br/>
        <w:t xml:space="preserve">Having regard to the letter registered on December 28, 1993 under number F725, by which the Minister of Economy and Finance referred to the Competition Council practices implemented by the National Council of the Order of Architects;  </w:t>
        <w:br/>
        <w:t xml:space="preserve">Having regard to Ordinance No. 86-1243 of December 1, 1986 as amended, relating to the freedom of prices and competition and Decree No. 86-1309 of December 29, 1986 as amended, taken for its application;  </w:t>
        <w:br/>
        <w:t xml:space="preserve">Having regard to Law No. 77-2 of January 3, 1977 on architecture, as amended;  </w:t>
        <w:br/>
        <w:t xml:space="preserve">Having regard to Law No. 85-704 of July 12, 1985 relating to public project management and its relations with private project management;  </w:t>
        <w:br/>
        <w:t xml:space="preserve">Having regard to Decree No. 73-207 of February 28, 1973 relating to the conditions of remuneration for engineering and architecture missions carried out on behalf of public authorities by private law providers;  </w:t>
        <w:br/>
        <w:t xml:space="preserve">Having regard to Decree No. 80-217 of March 20, 1980 establishing the code of professional duties of architects;  </w:t>
        <w:br/>
        <w:t xml:space="preserve">Having regard to the observations presented by the National Council of the Order of Architects and by the Government Commissioner;  </w:t>
        <w:br/>
        <w:t xml:space="preserve">Having regard to the other documents in the file;  </w:t>
        <w:br/>
        <w:t xml:space="preserve">The rapporteur, the general rapporteur, the Government Commissioner, and the representative of the National Council of the Order of Architects heard;  </w:t>
        <w:br/>
        <w:t>Adopts the decision based on the findings (I) and the reasons (II) set out below:</w:t>
      </w:r>
    </w:p>
    <w:p>
      <w:r>
        <w:t>I. - Findings</w:t>
      </w:r>
    </w:p>
    <w:p>
      <w:r>
        <w:t xml:space="preserve">A. - THE ARCHITECTURE PROFESSION  </w:t>
        <w:br/>
        <w:t xml:space="preserve">1. A regulated profession:  </w:t>
        <w:br/>
        <w:t xml:space="preserve">The law on architecture No. 77-2 of January 3, 1977, recognizing the architectural creation as having a public interest character (Article 1), has imposed on any person wishing to undertake works subject to a building permit to call upon an architect to establish the architectural project (Article 3).  </w:t>
        <w:br/>
        <w:t xml:space="preserve">However, exceptions are provided (Article 4) for:  </w:t>
        <w:br/>
        <w:t xml:space="preserve">natural persons who declare their intention to build or modify, for themselves, a construction of minor importance whose characteristics, and in particular the maximum area, do not exceed 170 square meters for a non-agricultural construction and 800 square meters for an agricultural construction (Decree No. 77-190 of March 3, 1977, now Article R421-1-2 of the Urban Planning Code);  </w:t>
        <w:br/>
        <w:t xml:space="preserve">works subject to a building permit or authorization, which concern exclusively the arrangement and equipment of the interior spaces of constructions and commercial showcases or which are limited to alterations that do not result in visible changes from the outside.  </w:t>
        <w:br/>
        <w:t xml:space="preserve">The architect thus benefits from a restricted monopoly exclusively concerning architectural projects for areas exceeding those defined above. They are therefore in competition with other project managers for areas below these thresholds and for the direction of works.  </w:t>
        <w:br/>
        <w:t xml:space="preserve">The missions of the architect are defined by Article 2 of the code of professional duties of architects which states that:  </w:t>
        <w:br/>
        <w:t xml:space="preserve">"The vocation of the architect is to participate in everything concerning the act of building and the arrangement of space; in general, they exercise the function of project manager.  </w:t>
        <w:br/>
        <w:t xml:space="preserve">In addition to establishing the architectural project, the architect may participate in particular in the following missions:  </w:t>
        <w:br/>
        <w:t xml:space="preserve">planning and urbanism, including the development of plans;  </w:t>
        <w:br/>
        <w:t xml:space="preserve">subdivision;  </w:t>
        <w:br/>
        <w:t xml:space="preserve">development of programs;  </w:t>
        <w:br/>
        <w:t xml:space="preserve">preparation of the missions necessary for the execution of preliminary projects; consultation of companies,  </w:t>
        <w:br/>
        <w:t xml:space="preserve">preparation of business contracts, coordination and direction of works;  </w:t>
        <w:br/>
        <w:t xml:space="preserve">assistance to project owners;  </w:t>
        <w:br/>
        <w:t xml:space="preserve">advice and expertise;  </w:t>
        <w:br/>
        <w:t>teaching."</w:t>
      </w:r>
    </w:p>
    <w:p>
      <w:r>
        <w:t xml:space="preserve">The profession of architect can only be practiced by natural persons registered with a regional architecture board (Article 9 of the law of January 3, 1977). Registration grants the right to practice throughout the national territory.  </w:t>
        <w:br/>
        <w:t xml:space="preserve">This profession is primarily practiced individually in a liberal capacity (72% of the profession in 1994). However, the legislator has also provided for three other modes of practicing this activity:  </w:t>
        <w:br/>
        <w:t xml:space="preserve">as a partner in an architecture firm (12.5% in 1994);  </w:t>
        <w:br/>
        <w:t xml:space="preserve">as a civil servant or public agent (3.3% in 1994);  </w:t>
        <w:br/>
        <w:t xml:space="preserve">as an employee of study organizations exclusively conducting their activities on behalf of the State or local authorities in the field of planning and urban development, an architect or an architecture firm, a natural or legal person of private law building constructions for their own exclusive use, or a collective interest agricultural society for rural housing (12.2% in 1994).  </w:t>
        <w:br/>
        <w:t xml:space="preserve">Finally, all architects constitute the Order of Architects (Article 21 Title IV of the law of January 3, 1977), whose organization is based on a two-level structure:  </w:t>
        <w:br/>
        <w:t xml:space="preserve">the regional councils responsible for registering architects with the Order, after verifying that they meet the conditions required by law (Article 23);  </w:t>
        <w:br/>
        <w:t>the national council responsible for coordinating the actions of the regional councils and contributing to their information (Article 25).</w:t>
      </w:r>
    </w:p>
    <w:p>
      <w:r>
        <w:t xml:space="preserve">2. The remuneration of architects:  </w:t>
        <w:br/>
        <w:t xml:space="preserve">Architects may be compensated for their services according to four distinct methods:  </w:t>
        <w:br/>
        <w:t xml:space="preserve">as a percentage, the sum paid by the project owner being proportionate to the final amount of the works;  </w:t>
        <w:br/>
        <w:t xml:space="preserve">according to a lump sum, determined before the start of the works in absolute value;  </w:t>
        <w:br/>
        <w:t xml:space="preserve">on an hourly basis, the amount being fixed between the parties;  </w:t>
        <w:br/>
        <w:t xml:space="preserve">on a reimbursable basis, when actual expenses are added to the price of the hourly rate.  </w:t>
        <w:br/>
        <w:t xml:space="preserve">Remunerations based on percentage and lump sum are the most commonly practiced.  </w:t>
        <w:br/>
        <w:t xml:space="preserve">However, it is necessary to distinguish between two distinct remuneration regimes, depending on whether the service is performed on behalf of a public project owner (40% of the profession's turnover today compared to 60% in the 1980s) or for that of a private project owner.  </w:t>
        <w:br/>
        <w:t>In the first case, since the entry into force of the decree of February 28, 1973 relating to the conditions of remuneration for engineering and architecture missions carried out on behalf of public authorities by private law providers, the principle is a priori lump sum remuneration in</w:t>
      </w:r>
    </w:p>
    <w:p>
      <w:r>
        <w:rPr>
          <w:b/>
        </w:rPr>
        <w:t>[Pages 4–6]</w:t>
      </w:r>
    </w:p>
    <w:p>
      <w:r>
        <w:t>based on a definitive "target cost," the content of the mission, and the complexity of the execution (Article 5). Furthermore, this text provides for the definition by decrees of scales for the remuneration of standardized missions (Article 8). Following the intervention of the decentralization law of 1982, the remuneration of public project management was modified by the law of July 12, 1985. This text introduces, through its Article 9, the principle of a contractually fixed lump sum remuneration, based on the three previously retained criteria (scope of the mission, degree of complexity, estimated cost of the works). Decree No. 93-1268 of November 29, 1993, taken for the application of the law of July 12, 1985 and relating to project management missions entrusted by public project owners to private providers, repealed Decree No. 73-207 of February 28, 1973, which established scales.</w:t>
      </w:r>
    </w:p>
    <w:p>
      <w:r>
        <w:t>In the second case, the principle of remuneration for the architect retained by Article 46 of the decree of March 20, 1980, relating to the code of professional duties of architects, is free negotiation. This text also defines the calculation of fees, by reference to the scales annexed to the aforementioned decree of February 28, 1973, based on the difficulties of the mission, the cost of the execution of the projected work, and its complexity (Article 47).</w:t>
      </w:r>
    </w:p>
    <w:p>
      <w:r>
        <w:t>B. - OBSERVED PRACTICES</w:t>
      </w:r>
    </w:p>
    <w:p>
      <w:r>
        <w:t xml:space="preserve">1. The development of the architect contract 1988:  </w:t>
        <w:br/>
        <w:t xml:space="preserve">In 1978, the National Council of the Order of Architects and the National Union of French Architects' Unions signed a charter addressing the respective roles and missions of these two organizations. The National Council of the Order, which "until 1980 published" an "architect contract" containing scales and hourly rates presented as minima below which missions could not be adequately ensured, as noted by decision No. 87-D-53 of the Council, decided, in application of this charter, to entrust the National Union of French Architects' Unions with the task of publishing what was then called the scale contract for services rendered on behalf of private project owners, which bore the mention "approved by the Order of Architects."  </w:t>
        <w:br/>
        <w:t xml:space="preserve">As early as 1982, the application of the charter had been limited following a report from the Finance Inspection requested by the supervisory authority, the Ministry of Equipment, criticizing the existing financial ties between the two organizations; then on November 13, 1986, a protocol ended this agreement on the grounds of a changed economic and professional context.  </w:t>
        <w:br/>
        <w:t xml:space="preserve">However, the National Council of the Order decided to undertake, from the beginning of autumn 1986, a study aimed at developing a new architect contract. The Vice-President of the National Council of the Order, Mr. Yves Bonnel, summoned by letter dated September 26, 1986, the members of the "contract" reflection group composed notably of four architects. Mr. Mazet, a member of this group, transmitted on May 7, 1987, to the National Council of the Order, a document containing "the table allowing the calculation of fees to be annexed to the future architect contract."  </w:t>
        <w:br/>
        <w:t xml:space="preserve">The National Council of the Order specified in a note dated October 19, 1992, that the contract was developed taking into account the intervention of the ordinance of December 1, 1986, and the decision of the Competition Council No. 87-D-53 of December 1, 1987, concerning the situation of competition in the field of architects' fees. This decision considered as prohibited, on the one hand, the publication and dissemination by the UNSFA of the "scale contract" of 1982, which contained clauses leading to the quantified determination of the architect's remuneration, and, on the other hand, the dissemination by the National Council of the Order of this "scale contract." This decision also ordered the National Council of the Order to cease the dissemination of said contract.  </w:t>
        <w:br/>
        <w:t xml:space="preserve">Mr. Lopez, President of the National Council of the Order, justified the development of the new architect contract in his minutes of February 10, 1995, on the grounds that "since the questioning of the standard contracts of the UNSFA by the decision of the Council, project owners, especially the more occasional and sporadic ones, no longer had information regarding the contractual relationships between architects and project owners."  </w:t>
        <w:br/>
        <w:t xml:space="preserve">According to statements by Ms. Gambaro recorded in the minutes of July 28, 1992, once developed, the architect contract was submitted notably to the UNSFA, and was then published and disseminated in 1988 to the twenty-three thousand architects registered with the Order, accompanied by a table of usual remuneration rates, and an "explanatory notice for the exclusive use of the architect."  </w:t>
        <w:br/>
        <w:t>The architect contract was also disseminated for several years on the Minitel server Télarchi operated by the Order, followed by a section titled "calculate your fees." Since 1994, the contract and the fee table no longer appear on the server. According to Mr. Lopez (minutes of February 10, 1995): "Such information on remuneration did not allow 'occasional' project owners to establish the necessary dialogue with the architect; indeed, to use such information, negotiation proved essential before the establishment of the contract."</w:t>
      </w:r>
    </w:p>
    <w:p>
      <w:r>
        <w:t xml:space="preserve">2. The architect contract, the indicative table of usual remuneration rates for the normal architect mission, the explanatory notice for the exclusive use of the architect:  </w:t>
        <w:br/>
        <w:t xml:space="preserve">a) The architect contract:  </w:t>
        <w:br/>
        <w:t xml:space="preserve">The scope of application of the contract is the same as that of the scale contract of the UNSFA and the architect contract published by the Order until 1980, that is to say, that of services rendered to private project owners, mainly real estate developers and individuals.  </w:t>
        <w:br/>
        <w:t xml:space="preserve">The contract is updated by the Order each year.  </w:t>
        <w:br/>
        <w:t>It consists of five titles: general provisions, contract execution, remuneration, additional missions, and special provisions, unavailability, termination.</w:t>
      </w:r>
    </w:p>
    <w:p>
      <w:r>
        <w:t xml:space="preserve">General Provisions: Two obligations are reiterated for the architect, namely, to hold insurance covering their professional liability, and to engage technical control when their intervention is necessary.  </w:t>
        <w:br/>
        <w:t xml:space="preserve">Contract Execution: This section describes the successive phases of the architect's mission from the preliminary study to the acceptance of the works.  </w:t>
        <w:br/>
        <w:t xml:space="preserve">Remuneration:  </w:t>
        <w:br/>
        <w:t xml:space="preserve">The contract provides for four types of remuneration.  </w:t>
        <w:br/>
        <w:t xml:space="preserve">"Mode of remuneration:  </w:t>
        <w:br/>
        <w:t xml:space="preserve">The client shall compensate the architect according to one of the following methods:  </w:t>
        <w:br/>
        <w:t xml:space="preserve">as a percentage at the rate of % of the final inclusive VAT amount of the works.  </w:t>
        <w:br/>
        <w:t xml:space="preserve">At the signing of this contract, this is estimated at the sum of F. inclusive of VAT.  </w:t>
        <w:br/>
        <w:t xml:space="preserve">According to a lump sum of F. excluding VAT.  </w:t>
        <w:br/>
        <w:t xml:space="preserve">It is provided that the lump sum may be revised by a formula based on the evolution of the engineering index.  </w:t>
        <w:br/>
        <w:t xml:space="preserve">At the expense of  </w:t>
        <w:br/>
        <w:t xml:space="preserve">At the hourly rate, which is set by agreement between the parties at:  </w:t>
        <w:br/>
        <w:t xml:space="preserve">F/hour;  </w:t>
        <w:br/>
        <w:t xml:space="preserve">F/half-day;  </w:t>
        <w:br/>
        <w:t xml:space="preserve">F/day."  </w:t>
        <w:br/>
        <w:t xml:space="preserve">Furthermore, the contract proposes (§ 3.2), a breakdown of the payment of fees based on the completion of the work (e.g., building permit file 15% of the fees), as well as a payment schedule in proportion to the completion of the works without quantified indication (e.g., % at the signing of the contract - §3.3).  </w:t>
        <w:br/>
        <w:t xml:space="preserve">The contract also specifies (§3.4) that "the invoices presented by the architect must be settled by the client within thirty days. After this period, late interest will be due." The rate of late interest is not specified.  </w:t>
        <w:br/>
        <w:t xml:space="preserve">Additional missions and special provisions: The normal mission of the architect may be supplemented by the provision of technical studies, by an additional mission of coordination, management, and scheduling of works. In these cases, the contract proposes additional remuneration without quantified indication.  </w:t>
        <w:br/>
        <w:t xml:space="preserve">Only a "note" provides that the additional remuneration may be expressed:  </w:t>
        <w:br/>
        <w:t xml:space="preserve">as a % of the amount of the works of the lot(s) considered;  </w:t>
        <w:br/>
        <w:t xml:space="preserve">as a % of the total amount of the works;  </w:t>
        <w:br/>
        <w:t>or as a % of the amount of the fee for a normal mission.</w:t>
      </w:r>
    </w:p>
    <w:p>
      <w:r>
        <w:rPr>
          <w:b/>
        </w:rPr>
        <w:t>[Pages 7–9]</w:t>
      </w:r>
    </w:p>
    <w:p>
      <w:r>
        <w:t xml:space="preserve">Indisponibility termination: The contract describes the different hypotheses of unavailability and termination.  </w:t>
        <w:br/>
        <w:t xml:space="preserve">b) The indicative table of usual remuneration rates for the normal architect's mission:  </w:t>
        <w:br/>
        <w:t xml:space="preserve">This table presents one hundred and ten fee rates to be applied to the different types of construction and development commonly practiced by architects.  </w:t>
        <w:br/>
        <w:t xml:space="preserve">Based on a scale of the amount of works expressed in ranges (updated each year according to the cost of living), in light of a complexity note defined on usage criteria of the profession according to the sector of activity (housing, tertiary, education...) and the type of construction (individual house, offices, kindergarten...), an average remuneration coefficient is applied. It is given either excluding VAT calculated on the inclusive VAT amounts of the works, or excluding VAT calculated on the excluding VAT amount of the works.  </w:t>
        <w:br/>
        <w:t xml:space="preserve">The usual remuneration rates contained in the table have been regularly updated from 1988 to 1992 based on the cost of living as evidenced by the article published in the magazine "D'ARCHITECTURES" No. 23 of March 1992, published by the National Council of the Order.  </w:t>
        <w:br/>
        <w:t xml:space="preserve">The National Council of the Order specified in a note addressed to the investigators on September 14, 1992, the methods used for the construction of this table:  </w:t>
        <w:br/>
        <w:t xml:space="preserve">"The numerical elements of the indicative table in the contract published in 1988 by the Order of Architects were established by reference to the calculation methods set out in the 1973 decree relating to engineering and architecture.  </w:t>
        <w:br/>
        <w:t xml:space="preserve">The calculation bases were also based on:  </w:t>
        <w:br/>
        <w:t xml:space="preserve">on a survey conducted among architects (1,800 operations analyzed);  </w:t>
        <w:br/>
        <w:t xml:space="preserve">on previous practices regarding public and private fees, updated.  </w:t>
        <w:br/>
        <w:t xml:space="preserve">The coefficients retained do not therefore result from the application of a formula. Each mentioned rate is thus itself an average that is also applied to a very broad range of work amounts (...).  </w:t>
        <w:br/>
        <w:t xml:space="preserve">These indicative ranges allow for real negotiation, as does the definition of the complexity note which is established jointly by the parties.  </w:t>
        <w:br/>
        <w:t xml:space="preserve">The intervals are, moreover, not normative since all the numerical indications are merely indicative."  </w:t>
        <w:br/>
        <w:t xml:space="preserve">It should be noted that at the time of the first dissemination of the standard contract in 1988, the survey conducted among architects had not yet been undertaken. It was only in January 1989 that the ordinal body decided to conduct a semi-annual survey among samples constituted by each regional council in order to prepare the implementation of the application decrees of the law of July 12, 1985 relating to public project management and its relations with private project management, as specified in the letter of January 31, 1989 addressed by the Order to the presidents of the regional councils. The goal pursued by the Order was then to equip itself with means to reliably assess the various methods of calculating the remuneration used by architects. Furthermore, this letter specified "(...) The Order has just published a standard contract (...)".  </w:t>
        <w:br/>
        <w:t xml:space="preserve">In a second letter sent by the Order to the investigation service dated October 19, 1992, it was specified:  </w:t>
        <w:br/>
        <w:t xml:space="preserve">"To establish the indicative data relating to the attached remuneration rates, the working group proceeded - in 1988 - to a synthesis of existing data or collected from architects. In particular, the first studies (attached) for updating the engineering scales (1973 decree) fed the reflection and provided a first series of indications."  </w:t>
        <w:br/>
        <w:t xml:space="preserve">However, the study for updating the engineering scales of 1973 by Mr. Daniel BARRAUD, architect, attached to this letter, is undated and also seems to be subsequent to the first dissemination of the standard contract 1988, as the first page of the annex of this document is based on data from January 1973 and June 1989.  </w:t>
        <w:br/>
        <w:t xml:space="preserve">In fact, it seems that the remuneration rates were essentially established based on the study of Mr. MAZET.  </w:t>
        <w:br/>
        <w:t xml:space="preserve">Since 1994, at the request of the Minister of Economy, the National Council of the Order invited the presidents of the regional councils, by letters dated May 16 and 17, 1994, to cease the dissemination of this table.  </w:t>
        <w:br/>
        <w:t xml:space="preserve">c) The explanatory notice for the exclusive use of the architect:  </w:t>
        <w:br/>
        <w:t xml:space="preserve">Intended to present the architect's contract to the members of the Order, it exclusively accompanied the standard contract 1988, as evidenced by "the note relating to the contract established by the Order of Architects" from the National Council of the Order dated October 19, 1992. This assertion is further supported by the other contracts disseminated subsequently to which no notice is attached.  </w:t>
        <w:br/>
        <w:t xml:space="preserve">This document first specifies in its preamble the purpose of the contract:  </w:t>
        <w:br/>
        <w:t xml:space="preserve">"It should first be recalled that under Article 11 of the decree of March 20, 1980 concerning the code of duties of the architect, any professional engagement of the architect must be subject to a prior written agreement defining the nature and extent of their missions or interventions as well as the terms of their remuneration.  </w:t>
        <w:br/>
        <w:t xml:space="preserve">This is the purpose of the present contract. We wanted it to be simple and adaptable to any type of construction (...).  </w:t>
        <w:br/>
        <w:t xml:space="preserve">This contract serves only as a reference and may be modified or supplemented according to the will of the parties."  </w:t>
        <w:br/>
        <w:t xml:space="preserve">Secondly, the notice presents the content of the different chapters of the contract and the orientations chosen, while specifying that it is only advice:  </w:t>
        <w:br/>
        <w:t xml:space="preserve">(...) "We advise you to consider this margin of uncertainty (provisional estimate of the amount of work within a variation limit of 15%); however, the parties will remain free to modify it" (II CONTRACT EXECUTION).  </w:t>
        <w:br/>
        <w:t xml:space="preserve">It appears, however, that for the chapter "IV ADDITIONAL MISSIONS AND ADDITIONAL PROVISIONS," the note proposes, as an indication, while the architect's contract does not include any remuneration rate, percentages of additional remuneration for the provision of additional technical studies to the normal missions as follows:  </w:t>
        <w:br/>
        <w:t xml:space="preserve">"preliminary structural project (without quantities): 10% of a normal mission;  </w:t>
        <w:br/>
        <w:t xml:space="preserve">preliminary fluids project (plumbing, heating, ventilation, electricity) including descriptive, quantitative, and calculation notes: 20% of the fee for a normal mission;  </w:t>
        <w:br/>
        <w:t xml:space="preserve">quantitative major works and finishing works: 10% of the fee for a normal mission to be adjusted according to the importance and complexity of the lots concerned;  </w:t>
        <w:br/>
        <w:t xml:space="preserve">coordination, management: 20% of the fee for a normal mission."  </w:t>
        <w:br/>
        <w:t xml:space="preserve">II. - Based on the preceding observations, the Council,  </w:t>
        <w:br/>
        <w:t xml:space="preserve">On the prescription,  </w:t>
        <w:br/>
        <w:t xml:space="preserve">Considering that the National Council of the Order of Architects argues that the explanatory notice accompanying the standard contract was only disseminated with it for the year 1988; that with the referral of the investigation service by the central administration dated February 23, 1992, it could not seek facts prior to February 23, 1989 without disregarding Article 27 of the ordinance of December 1, 1986;  </w:t>
        <w:br/>
        <w:t>But considering that if the explanatory notice was exclusively disseminated in 1988, this document, which constitutes a general presentation of the architect's contract, had an indefinite duration and did not require updating, as it recommended, for certain missions, a remuneration representing a fixed percentage of the fee applicable to a normal mission of the architect, a fee determined by the indicative table of usual remuneration rates regularly updated by the National Council of the Order until 1994; that the notice has not been expressly repealed or denounced by the National Council.</w:t>
      </w:r>
    </w:p>
    <w:p>
      <w:r>
        <w:rPr>
          <w:b/>
        </w:rPr>
        <w:t>[Pages 10–12]</w:t>
      </w:r>
    </w:p>
    <w:p>
      <w:r>
        <w:t xml:space="preserve">of the Order, and has thus been able to be used by architects, so that it has retained its purpose and potential effects to this day; that consequently the Council could be seized of it without the three-year limitation period between its dissemination and the first act of establishing the facts being opposed to it;  </w:t>
        <w:br/>
        <w:t xml:space="preserve">On the procedure,  </w:t>
        <w:br/>
        <w:t xml:space="preserve">Considering that the National Council of the Order of Architects argues that the Minister of Culture, the supervising minister, must intervene in the procedure in accordance with the provisions of Article 21 of the ordinance of December 1, 1986, insofar as the investigation concerning the remuneration of architects, conducted by the National Council of the Order among its members in 1989, aimed to collect information intended to establish new regulations replacing those of the decree of February 28, 1973;  </w:t>
        <w:br/>
        <w:t xml:space="preserve">But considering that according to consistent case law, the relevant ministerial department is understood to be the one responsible for applying a text upon which the resolution of the dispute depends; that the decree of February 28, 1973 applies only to services rendered by architects to public authorities and not to services performed by architects on behalf of a private client as referred to in the architect's contract and its annexes; that while the investigation into the remuneration of architects, conducted in 1989 at the initiative of the National Council of the Order, stems from the proposed reform of the decree of February 28, 1973, this is not the case for the architect's contract and its annexes; that consequently, the Minister of Culture cannot be considered an interested minister within the meaning of Article 21 of the ordinance of December 1, 1986;  </w:t>
        <w:br/>
        <w:t xml:space="preserve">On the observed practices,  </w:t>
        <w:br/>
        <w:t xml:space="preserve">Regarding the development and dissemination of the indicative table of usual remuneration rates for the normal mission of an architect:  </w:t>
        <w:br/>
        <w:t xml:space="preserve">Considering that the development and dissemination at the initiative of a professional organization of a document intended for all its members constitutes a concerted action; that while it is permissible for a professional union or a professional group to disseminate information intended to assist its members in the exercise of their activity, the assistance thus provided must not exert direct or indirect influence on the free play of competition within the profession; that in particular, the indications given must not have the effect of diverting companies from a direct understanding of their costs, allowing them to individually set their prices or fees;  </w:t>
        <w:br/>
        <w:t xml:space="preserve">Considering that the National Council of the Order of Architects established and disseminated, to its members from 1988 until 1994, an indicative table of usual remuneration rates for the various types of construction and development carried out by architects within the framework of their current missions, allowing for the establishment of the fee rate to be applied, depending on the importance of the mission defined by amounts of work expressed in ranges and a complexity note developed based on the criteria in use in the profession according to the sector of activity and type of construction; that thus, for example, for the construction of a private house with a work amount of one million francs, corresponding to a complexity note of 6, the table provided in 1992 a usual remuneration rate of 9.5% of the amount of the works, or 95,000 francs; that by suggesting such rates concerning the importance of the mission and the complexity of the operations, the National Council of the Order of Architects went beyond the technical assistance it can legitimately provide to its members and could thus encourage its members not to take into account in determining their fees their specific operating conditions; that in this case, the unique rates thus disseminated could encourage the members of the Order to apply them, whereas it was up to each of them to establish their remuneration based on the situation and data specific to their architecture firm;  </w:t>
        <w:br/>
        <w:t xml:space="preserve">Considering that the National Council of the Order argues first that the indicative table of usual remuneration rates for the normal mission of the architect should not be considered as a scale but as a reference framework from which, depending on the complexity of the operation and the importance of the mission, the negotiation of remuneration between the architect and their client finds its place; that, given the fact that each type of work corresponds to several complexity notes, the remuneration rates contained in the table are not intended to harmonize fees and respond to the diversity of architecture firms regardless of their size and profitability;  </w:t>
        <w:br/>
        <w:t xml:space="preserve">But considering that although titled "indicative table of usual remuneration rates for the normal mission of the architect," this table has an incitative character, as acknowledged in session by the representative of the Order by admitting that the development and dissemination of this type of document aimed to combat the performance of "low-cost" missions; that this table also has a normative value insofar as, if it constitutes, according to the Order, a basis for negotiation between the architect and their client for the latter's remuneration, the amount of the architect's remuneration is in fact directly linked to the complexity note of the work, a note that the representative of the Order acknowledged in session could only be determined by the architect; that finally, the fact that each type of construction corresponds to several complexity notes does not affect the normative character of the rates since the architect, regardless of the work, determines a unique complexity note and consequently a single remuneration rate; that the table thus constitutes a reference framework likely to prevent the architect from relying on their own costs in establishing their fees; that its normative character is reinforced by the fact that it is presented by the National Council of the Order to its members in the magazine "D'ARCHITECTURES" No. 23 of March 1992, published by this body, not only as a "basis for negotiation between the parties" but also as a document likely to be "retained by the courts in case of dispute or in the absence of written proof in the field of private contracts"; that consequently, the development and dissemination of such a document aimed to restrict the play of competition;  </w:t>
        <w:br/>
        <w:t xml:space="preserve">Considering, secondly, that the Order argues that the dissemination of the indicative table had no significant effect on the market in question since the verification by investigators of its implementation only concerned architecture firms in the Île-de-France, Upper and Lower Normandy regions, whereas the dissemination of the table had been national and that for only 20% of the operations recorded, architects applied remuneration rates equal to those recommended by the indicative table;  </w:t>
        <w:br/>
        <w:t xml:space="preserve">Considering, however, that Article 7 of the ordinance of December 1, 1986 prohibits concerted actions, agreements, express or tacit understandings, or coalitions, as long as they have the object or may have the effect of preventing, restricting, or distorting the play of competition; that thus, any concerted practice falls within the scope of these provisions, even if it has no effect, as long as it has an object or may have an anti-competitive effect on a market; that in this case, the table was disseminated in 1988 to the twenty-three thousand architects who are members of the Order; that since that date it has been disseminated in approximately ten thousand copies per year by the regional councils of the Order; that furthermore, the investigation showed that, from a sample of forty-five architects or architecture firms operating in the Île-de-France, Lower and Upper Normandy regions, in 20% of cases the remuneration rates applied were equal to or very close to those recommended by the Order; that while the representative of the Order argued that this percentage revealed a limited application by asserting that architects in the concerned regions were particularly aware of determining their own management costs, this analysis can only suggest a broader application of the indicative table in other regions;  </w:t>
        <w:br/>
        <w:t xml:space="preserve">Considering consequently that the development and dissemination from 1988 to 1994 by the National Council of the Order of Architects of the indicative table of usual remuneration rates constitutes a concerted practice that had the object and could have the effect of distorting the play of competition in the market considered beyond even the cessation of its dissemination, insofar as the National Council of the Order, while it interrupted the dissemination of the usual remuneration table in 1994, did not, however, denounce it to its members, some of whom could therefore continue to use it; that such practices are prohibited by the provisions of Article 7 of the ordinance of December 1, 1986;  </w:t>
        <w:br/>
        <w:t xml:space="preserve">Regarding the dissemination and publication of "the explanatory notice for the exclusive use of the architect":  </w:t>
        <w:br/>
        <w:t xml:space="preserve">Considering that the National Council of the Order of Architects established and disseminated to its members in 1988, "an explanatory notice for the exclusive use of the architect" presenting the content and objectives of the architect's contract and containing indicative rates of fees for certain additional missions to the current missions, and in particular, a remuneration rate of 10% of the fee for a normal mission for "a structural preliminary project regardless of the quantity" and for a "quantity of major and secondary works," as well as an additional remuneration of 20% of a normal mission for "a preliminary project for fluids (plumbing, heating, ventilation, electricity) including descriptive and calculation notes"; that by suggesting such rates, the Order of Architects went beyond the assistance in calculating fees that it can legitimately provide for certain additional architectural missions, and could thus encourage its members not to take into account in determining their fees their particular operating conditions; that in this case, these unique rates could encourage the members of the Order to apply them to establish their fees, whereas it was up to each of them to determine based on their situation and their own data;  </w:t>
        <w:br/>
        <w:t>Considering, first, that the Order of Architects argues that by taking into account exclusively the importance and complexity of the work, the rates proposed by the notice had a purely indicative character and that furthermore the notice had neither the object nor the effect of distorting the play of competition.</w:t>
      </w:r>
    </w:p>
    <w:p>
      <w:r>
        <w:rPr>
          <w:b/>
        </w:rPr>
        <w:t>[Pages 13–15]</w:t>
      </w:r>
    </w:p>
    <w:p>
      <w:r>
        <w:t xml:space="preserve">first, that the Order of Architects argues that by taking into account exclusively the importance and complexity of the work, the rates proposed by the notice had a purely indicative character and that furthermore the notice had neither the object nor the effect of distorting the competition since it does not contain any elements relating to the cost of services provided by architects, to the size, organization, and profitability of firms;  </w:t>
        <w:br/>
        <w:t xml:space="preserve">But considering that the usual remuneration for certain common additional missions was defined in the explanatory notice by a fixed percentage of the fee for a normal mission, which could discourage architects from referring to their costs to establish their fees; that such a notice, therefore, has an anti-competitive character; that this is further reinforced by the fact that the recommended rates were established by reference to the indicative table of usual remuneration rates for the normal mission of an architect, the anti-competitive nature of which has been demonstrated above; that finally it was disseminated in 1988 to the twenty-three thousand architects registered with the Order and was not denounced by this ordinal body to its members; that consequently the potential anti-competitive effect of this document has continued to this day;  </w:t>
        <w:br/>
        <w:t xml:space="preserve">Considering, secondly, that the National Council of the Order of Architects argues that the explanatory notice was intended solely for the use of the architect to assist them in negotiating their fees with their client and vice versa, that the establishment of a fee agreement between the architect and their client corresponds to an essential duty of the architect provided for by Article 11 of the Code of Ethics for Architects and that the development of the standard contract was inspired by the decree of February 28, 1973, which established the principle of a lump-sum remuneration based on a final target cost, the content of the mission, and the complexity of the execution;  </w:t>
        <w:br/>
        <w:t xml:space="preserve">But considering that the development of a standard contract and an explanatory notice concerning the remuneration of services rendered to private clients and containing anti-competitive remuneration rates is not provided for at all by the Code of Ethics for Architects and the decree of February 28, 1973;  </w:t>
        <w:br/>
        <w:t xml:space="preserve">Considering that it follows from the above that the establishment and dissemination by the National Council of the Order of Architects of the explanatory notice for the exclusive use of the architect constitutes concerted practices aimed at and which may have had the effect of distorting competition and, consequently, are prohibited by the provisions of Article 7 of the ordinance of December 1, 1986;  </w:t>
        <w:br/>
        <w:t xml:space="preserve">On the sanctions,  </w:t>
        <w:br/>
        <w:t xml:space="preserve">Considering that under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that pursuant to Article 22, paragraph 2 of the same ordinance, "the permanent commission may impose the measures provided for in Article 13, the sanctions imposed not exceeding 500,000 francs for each of the authors of the practices";  </w:t>
        <w:br/>
        <w:t xml:space="preserve">Considering that it is appropriate, pursuant to the above-mentioned Article 13, to prevent the continuation of such practices by ordering the National Council of the Order of Architects to no longer establish or disseminate fee scales and to denounce "the indicative table of usual remuneration rates for the normal mission of the architect," as well as the "explanatory notice for the exclusive use of the architect, Chapter IV - ADDITIONAL MISSIONS AND ADDITIONAL PROVISIONS," to all architects registered with the Order;  </w:t>
        <w:br/>
        <w:t xml:space="preserve">Considering that the seriousness of the practices must be assessed taking into account the circumstance that the National Council of the Order of Architects had received the decision of the Competition Council No. 87-D-53 of December 1, 1987, which became final, concerning the situation of competition in the field of architects' fees; that this decision had ordered it to cease the dissemination of the fee contract developed by the National Union of French Architects' Unions as it contained clauses leading to a quantified determination of the architect's remuneration, practices prohibited by the provisions of Article 50 of Ordinance No. 45-1483 of June 30, 1945; that the National Council of the Order of Architects, which had begun to develop an architect contract in May 1987, did not interrupt the preparation of this new document despite the fact that the aforementioned decision had been notified to it;  </w:t>
        <w:br/>
        <w:t xml:space="preserve">Considering that, to assess the damage caused to the economy, it should be noted that the Order of Architects disseminated in May 1988 to its twenty-three thousand members the architect contract accompanied by an "indicative table of usual remuneration rates for the normal mission of the architect" as well as an "explanatory notice for the exclusive use of the architect"; that these documents concerned the services rendered by architects to private clients, and notably to the least informed consumers, namely individuals, for the determination of the fees of this profession; that however, from 1994 the dissemination of the indicative table ceased; that furthermore, it should be taken into account that the activity of architects has been affected since 1991 by the recession in the construction and public works sector;  </w:t>
        <w:br/>
        <w:t xml:space="preserve">Considering that regarding the contributory capacities of the National Council of the Order of Architects, the amount of contributions that determines the resources of the Order amounted to 55,770,956 francs for the year 1996 according to the letter from the president of the National Council of the Order dated April 22, 1997; that the examination of the accounting statements reveals a deficit of 14,434,672 francs for the 1996 financial year; that based on the elements stated above, it is appropriate to impose a monetary sanction of 200,000 francs on the National Council of the Order of Architects,  </w:t>
        <w:br/>
        <w:t>DECIDES:</w:t>
      </w:r>
    </w:p>
    <w:p>
      <w:r>
        <w:t xml:space="preserve">Article 1. - It is established that the National Council of the Order of Architects has violated the provisions of Article 7 of the ordinance of December 1, 1986.  </w:t>
        <w:br/>
        <w:t xml:space="preserve">Article 2. - The National Council of the Order of Architects is ordered, on the one hand, to no longer establish or disseminate fee scales and, on the other hand, to denounce within two months from the notification of this decision the "indicative table of usual remuneration rates for the normal mission of the architect" and the "explanatory notice for the exclusive use of the architect - Chapter IV - ADDITIONAL MISSIONS AND ADDITIONAL PROVISIONS" to all architects registered with the Order.  </w:t>
        <w:br/>
        <w:t xml:space="preserve">Article 3. - A monetary sanction of 200,000 francs is imposed on the National Council of the Order of Architects.  </w:t>
        <w:br/>
        <w:t xml:space="preserve">Deliberated, on the report of Ms. Annick Biolley-Coornaert, by Mr. Barbeau, president, Mr. Cortesse, vice-president, and Mr. Jenny, vice-president.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