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https://www.autoritedelaconcurrence.fr/fr/decision/relative-des-pratiques-mises-en-oeuvre-par-le-gafic-dans-le-secteur-de-la-fourniture</w:t>
      </w:r>
    </w:p>
    <w:p>
      <w:r>
        <w:t>Pages translated : 9</w:t>
      </w:r>
    </w:p>
    <w:p/>
    <w:p>
      <w:r>
        <w:rPr>
          <w:b/>
        </w:rPr>
        <w:t>[Pages 1–3]</w:t>
      </w:r>
    </w:p>
    <w:p>
      <w:r>
        <w:t xml:space="preserve">FRENCH REPUBLIC  </w:t>
        <w:br/>
        <w:t xml:space="preserve">Decision No. 16-D-06 of April 13, 2016  </w:t>
        <w:br/>
        <w:t xml:space="preserve">regarding practices implemented by GAFIC in the sector of supply, installation, and maintenance of professional kitchen equipment  </w:t>
        <w:br/>
        <w:t xml:space="preserve">The Competition Authority (section V),  </w:t>
        <w:br/>
        <w:t xml:space="preserve">Having regard to decision No. 10-SOI-04 of June 8, 2010, by which the Competition Authority initiated proceedings ex officio, under number 10/0057 F, concerning practices implemented in the sector of supply, installation, and maintenance of professional kitchen, laundry, and washing equipment;  </w:t>
        <w:br/>
        <w:t xml:space="preserve">Having regard to the decision of November 10, 2014, by the deputy general rapporteur, by which the instruction of the aspect of the referral 10/0057 F concerning the territorial distribution practices implemented by the Group of French Installers (GIF), the Purchasing Group of Suppliers of the Hotel and Community Industry (GAFIC), and the company EUROCHEF was separated, and a distinct file was opened for this matter under number 14/0090 F;  </w:t>
        <w:br/>
        <w:t xml:space="preserve">Having regard to the decision of the general rapporteur dated November 5, 2015, made pursuant to Article L. 463-3 of the Commercial Code, which states that the matter will be subject to a decision by the Competition Authority without prior establishment of a report;  </w:t>
        <w:br/>
        <w:t xml:space="preserve">Having regard to the transaction report dated February 10, 2016, signed by the deputy general rapporteur and GAFIC in accordance with the provisions of III of Article L.464-2 of the Commercial Code.  </w:t>
        <w:br/>
        <w:t xml:space="preserve">Having regard to Book IV of the amended Commercial Code;  </w:t>
        <w:br/>
        <w:t xml:space="preserve">Having regard to the other documents in the file;  </w:t>
        <w:br/>
        <w:t xml:space="preserve">Having regard to the observations presented by GAFIC and the Government Commissioner;  </w:t>
        <w:br/>
        <w:t xml:space="preserve">The rapporteur, the general rapporteur, the Government Commissioner, and GAFIC heard during the session of the Competition Authority on March 30, 2016, opened at 9:30 a.m.;  </w:t>
        <w:br/>
        <w:t>Adopts the following decision:</w:t>
      </w:r>
    </w:p>
    <w:p>
      <w:r>
        <w:t xml:space="preserve">SUMMARY  </w:t>
        <w:br/>
        <w:t xml:space="preserve">I. Findings .................................................................................... 3  </w:t>
        <w:br/>
        <w:t xml:space="preserve">A. THE SECTOR AND THE PARTIES INVOLVED ....................................................................... 3  </w:t>
        <w:br/>
        <w:t xml:space="preserve">1. THE SECTOR OF SUPPLY, INSTALLATION, AND MAINTENANCE OF PROFESSIONAL KITCHEN EQUIPMENT ..................................................................... 3  </w:t>
        <w:br/>
        <w:t xml:space="preserve">2. THE PARTIES INVOLVED: LARGE KITCHEN INSTALLERS ........................... 3  </w:t>
        <w:br/>
        <w:t xml:space="preserve">a) Integrated installers or wholesalers ........................................................ 4  </w:t>
        <w:br/>
        <w:t xml:space="preserve">b) Independent installers affiliated or not to groups ............ 4  </w:t>
        <w:br/>
        <w:t xml:space="preserve">c) Market shares of the different parties ....................................................... 5  </w:t>
        <w:br/>
        <w:t xml:space="preserve">B. PRACTICES IMPLEMENTED BY GAFIC ............................................................ 5  </w:t>
        <w:br/>
        <w:t xml:space="preserve">1. GENERAL CONDITIONS OF MEMBERSHIP ........................................................................ 5  </w:t>
        <w:br/>
        <w:t xml:space="preserve">2. TERRITORIAL DISTRIBUTION CLAUSES OF THE INTERNAL REGULATIONS................... 5  </w:t>
        <w:br/>
        <w:t xml:space="preserve">a) Provisions of the internal regulations ............................................................ 5  </w:t>
        <w:br/>
        <w:t xml:space="preserve">b) Interventions of the board of directors of the group ...................... 6  </w:t>
        <w:br/>
        <w:t xml:space="preserve">C. THE NOTIFIED GRIEVANCE ........................................................................................................................ 7  </w:t>
        <w:br/>
        <w:t xml:space="preserve">II. Discussion ....................................................................................... 7  </w:t>
        <w:br/>
        <w:t xml:space="preserve">A. ON THE IMPLEMENTATION OF THE TRANSACTION PROCEDURE ................................ 7  </w:t>
        <w:br/>
        <w:t xml:space="preserve">B. ON THE EXISTENCE OF A TERRITORIAL MARKET DISTRIBUTION AGREEMENT .................................................................................................................................................... 8  </w:t>
        <w:br/>
        <w:t xml:space="preserve">C. ON THE SANCTION ........................................................................................................................ 8  </w:t>
        <w:br/>
        <w:t xml:space="preserve">1. ON THE SEVERITY OF THE PRACTICE AND THE IMPORTANCE OF THE DAMAGE CAUSED TO THE ECONOMY ............................................................................................................................. 8  </w:t>
        <w:br/>
        <w:t xml:space="preserve">2. ON THE INDIVIDUAL SITUATION OF GAFIC.................................................................... 9  </w:t>
        <w:br/>
        <w:t xml:space="preserve">3. CONCLUSION ON THE FINAL AMOUNT OF THE SANCTION IMPOSED ON GAFIC ............... 9  </w:t>
        <w:br/>
        <w:t>DECISION ........................................................................................................................... 9</w:t>
      </w:r>
    </w:p>
    <w:p>
      <w:r>
        <w:t xml:space="preserve">I. Findings  </w:t>
        <w:br/>
        <w:t xml:space="preserve">A. THE SECTOR AND THE PARTIES INVOLVED  </w:t>
        <w:br/>
        <w:t xml:space="preserve">1. THE SECTOR OF SUPPLY, INSTALLATION, AND MAINTENANCE OF PROFESSIONAL KITCHEN EQUIPMENT  </w:t>
        <w:br/>
        <w:t xml:space="preserve">1. The sector concerned by this matter is that of the supply, installation, and maintenance of equipment referred to as "large kitchen," that is to say, industrial and professional kitchens intended for public authorities, corporate restaurants, and commercial catering chains.  </w:t>
        <w:br/>
        <w:t xml:space="preserve">2. Installers provide several successive or related services. After studying the file and proposing a project, they generally ensure the distribution, maintenance, and after-sales service of kitchens.  </w:t>
        <w:br/>
        <w:t xml:space="preserve">3. The professional branch comprises nearly 3,000 companies involved in the installation and maintenance of professional kitchens. According to the National Union of Cold, Professional Kitchen Equipment, and Air Conditioning Companies (SNEFCCA), the vast majority of installers are small businesses. Thus, over 93% of companies have fewer than 20 employees (SMEs) and generate approximately 55% of the turnover in the market (references 327 and following). Among them, about 400 companies employ no staff.  </w:t>
        <w:br/>
        <w:t xml:space="preserve">4. The clientele of large kitchen installers is broad and diverse. For private markets, it ranges from neighborhood cafés to multinational corporations. For public markets, it concerns the State, local authorities, and public establishments.  </w:t>
        <w:br/>
        <w:t xml:space="preserve">5. Except for the specific case of national tenders that may be organized by catering companies with multiple establishments located throughout the national territory, the market for the supply and installation of professional kitchens is of a local dimension.  </w:t>
        <w:br/>
        <w:t xml:space="preserve">6. This geographical characteristic is even more pronounced concerning after-sales service. Indeed, the collective catering sector (public or private) or commercial catering consists of serving a large number of meals in a just-in-time manner. Any breakdown in any of the elements of professional kitchens is likely to interrupt service, making preventive maintenance and repair of equipment in professional kitchens within the shortest possible time crucial.  </w:t>
        <w:br/>
        <w:t xml:space="preserve">7. Proximity management is therefore essential and determines the organization of the profession. The territorial network is achieved in two ways, either through the national establishment of an integrated group or through networks of independent groups organized in a network.  </w:t>
        <w:br/>
        <w:t xml:space="preserve">2. THE PARTIES INVOLVED: LARGE KITCHEN INSTALLERS  </w:t>
        <w:br/>
        <w:t>8. In the market, there are several types of large kitchen installers: they are either integrated installers or wholesalers, or independent installers affiliated or not to groups.</w:t>
      </w:r>
    </w:p>
    <w:p>
      <w:r>
        <w:rPr>
          <w:b/>
        </w:rPr>
        <w:t>[Pages 4–6]</w:t>
      </w:r>
    </w:p>
    <w:p>
      <w:r>
        <w:t xml:space="preserve">a) Integrated installers or wholesalers  </w:t>
        <w:br/>
        <w:t xml:space="preserve">9. Manufacturers of professional kitchens do not market their products directly nor do they provide maintenance services, but primarily rely on their distribution/installation networks (mainly branches).  </w:t>
        <w:br/>
        <w:t xml:space="preserve">10. The Horis group, which is part of the American conglomerate Illinois Tool Works (ITW), has one of the best territorial presences, with a network in France of over 100 installers under the brands "Bonnet" and "Thirode." The Bonnet/Thirode Grande cuisine network also has 200 technicians (via the company Horis services) dedicated to the maintenance of professional kitchen equipment (reference 488). Additionally, the ITW group controls the Hobart and Foster companies that operate in the market. This group is present in most French departments.  </w:t>
        <w:br/>
        <w:t>11. Regarding wholesalers, the company Métro, a general distributor, holds a significant position in the sector with 15% market share in 2013.</w:t>
      </w:r>
    </w:p>
    <w:p>
      <w:r>
        <w:t xml:space="preserve">b) Independent installers affiliated or not to groups  </w:t>
        <w:br/>
        <w:t xml:space="preserve">12. The market includes a significant number of independent installers who are either isolated (about 2500) or affiliated with groups.  </w:t>
        <w:br/>
        <w:t xml:space="preserve">13. The groups of independent installers act as purchasing and/or referencing centers. They negotiate the purchasing conditions of products or equipment with suppliers, for the benefit of their members. They were established to ensure a presence that allows them to respond to national tenders and to enable members to face market difficulties through their purchasing power.  </w:t>
        <w:br/>
        <w:t xml:space="preserve">14. Not all groups choose the same form of organization. Some are established as public limited companies, while others prefer the form of economic interest groups (GIE) or cooperatives. Generally, they are fairly well distributed across the national territory. The main groups of installers operating in the French market are GIF, GASEL, Eurochef, UFCF, and the group involved in this decision, GAFIC.  </w:t>
        <w:br/>
        <w:t xml:space="preserve">15. The Groupement des Installateurs Français (GIF) is a cooperative public limited company with variable capital, established in 1968, which originally grouped 35 member associates and now includes about 83.  </w:t>
        <w:br/>
        <w:t xml:space="preserve">16. GASEL is a purchasing group of refrigeration and air conditioning installers that includes large kitchen installers and has 103 members.  </w:t>
        <w:br/>
        <w:t xml:space="preserve">17. The company Eurochef was created in 1997. It brings together 44 members present in various French departments.  </w:t>
        <w:br/>
        <w:t xml:space="preserve">18. The Union des Frigoristes et Cuisinistes de France (UFCF) was established in 1999 in the form of a GIE. This group includes 40 independent sites.  </w:t>
        <w:br/>
        <w:t>19. Finally, the party involved, the Groupement d'achat des fournisseurs pour l'industrie hôtelière et des collectivités (GAFIHC, which became GAFIC in 2016), was created in 1965 in the form of a cooperative public limited company whose shareholders are its members. In 2009, GAFIC grouped 54 independent members, and there are now 63. The essential mission of the group is to purchase, store, and create a common catalog of equipment.</w:t>
      </w:r>
    </w:p>
    <w:p>
      <w:r>
        <w:t xml:space="preserve">c) Market shares of the different parties  </w:t>
        <w:br/>
        <w:t xml:space="preserve">20. According to a survey by the magazine "Grandes Cuisines" (references 1764 and following), in 2012 and 2013, the market shares of the different kitchen installers were as follows:  </w:t>
        <w:br/>
        <w:t xml:space="preserve">Actors Market shares  </w:t>
        <w:br/>
        <w:t xml:space="preserve">2013 2012  </w:t>
        <w:br/>
        <w:t xml:space="preserve">HORIS 14% 15%  </w:t>
        <w:br/>
        <w:t xml:space="preserve">HOBART 8% 8%  </w:t>
        <w:br/>
        <w:t xml:space="preserve">METRO 15% 16%  </w:t>
        <w:br/>
        <w:t xml:space="preserve">GROUPS 41% 39%  </w:t>
        <w:br/>
        <w:t>INDEPENDENTS 22% 22%</w:t>
      </w:r>
    </w:p>
    <w:p>
      <w:r>
        <w:t xml:space="preserve">B. PRACTICES IMPLEMENTED BY GAFIC  </w:t>
        <w:br/>
        <w:t xml:space="preserve">1. GENERAL CONDITIONS OF MEMBERSHIP  </w:t>
        <w:br/>
        <w:t xml:space="preserve">21. Article 10 of the GAFIC statutes provides that: "Only individuals or legal entities fulfilling the conditions set by the statutes and the internal regulations may be admitted." The board of directors of the group establishes the internal regulations, has them approved by the general assembly, and ensures their application.  </w:t>
        <w:br/>
        <w:t xml:space="preserve">22. The mandatory nature of the statutes and the internal regulations of GAFIC (references 1899 and following) at the risk of exclusion from the group is recalled by Article 8 of the internal regulations: "Withdrawal or exclusion of a member (...) The exclusion of a member will be incurred for serious reasons or for any causes that would be considered as hindering the achievement of the social objectives, that is to say for any violations of the statutes or the present internal regulations."  </w:t>
        <w:br/>
        <w:t xml:space="preserve">23. One of the reasons for exclusion is notably: "3°) (...) the non-respect of the geographical territory allocated by S.A. GAFIHC (...)."  </w:t>
        <w:br/>
        <w:t>24. The provisions of the internal regulations are therefore mandatory for the members of the group at the risk of being excluded by decision of the general assembly.</w:t>
      </w:r>
    </w:p>
    <w:p>
      <w:r>
        <w:t xml:space="preserve">2. TERRITORIAL DISTRIBUTION CLAUSES OF THE INTERNAL REGULATIONS  </w:t>
        <w:br/>
        <w:t xml:space="preserve">a) Provisions of the internal regulations  </w:t>
        <w:br/>
        <w:t xml:space="preserve">25. During a general assembly on December 20, 1995, GAFIC decided to condition the entry of any new member to the acceptance of "the definition of the reserved geographical sector."  </w:t>
        <w:br/>
        <w:t xml:space="preserve">26. A paragraph 9 was therefore added to Article 2 of the internal regulations, which provides that: "In coordination with GAFIHC, the new associate defines the geographical sector of their activity. This sector must be marked on a geographical map allowing for the visible positioning of the boundary of their reserved territory and must be accepted by both parties. Any dispute arising regarding the application of this measure will be resolved in accordance with Article 44 of the statutes."  </w:t>
        <w:br/>
        <w:t xml:space="preserve">27. In its version of May 27, 2004, the internal regulations add the following mention: "In the event that the geographical territory of the new associate encroaches on an existing territory, this document must be accepted by all three parties, the third being the associate concerned by this encroachment."  </w:t>
        <w:br/>
        <w:t xml:space="preserve">28. The provisions of the internal regulations therefore lead to reserving a geographical area of intervention for each member, and any new application may be refused if one of the members considers that it encroaches on their territory. The sectorization is therefore organized in advance to avoid any subsequent conflict between members.  </w:t>
        <w:br/>
        <w:t xml:space="preserve">29. The internal regulations of May 27, 2004 also add in Article 7 the following provisions on the rights and duties of members: "Rights and duties of members - Business expansion: Members agree to inform S.A. GAFIHC of any change or project for business expansion that could directly or indirectly pose a risk of competition with one or the other of their co-associates (Purchase of business assets or cards, equity stakes, etc.) and to find an agreement on this matter with the interested members, in order not to harm the interests of one or the other."  </w:t>
        <w:br/>
        <w:t xml:space="preserve">30. In case of dispute regarding the rules of the internal regulations, and notably those relating to sectorization, two rules apply concurrently. First, the board of directors will seek an amicable agreement in accordance with Article 9 of the internal regulations, and if no agreement can be reached, then Article 44 of the statutes providing for recourse to arbitration applies. Compliance with the provisions of the statutes and the internal regulations is therefore ensured by the board of directors and, if necessary, by an arbitration tribunal.  </w:t>
        <w:br/>
        <w:t>31. The general director of the group indicated in a letter dated June 4, 2014, that: "The notion of sector has existed since the origin of the group. The term 'sectorization' seems to me to be less and less relevant. In reality, the intervention area of a GAFIHC member corresponds to their natural action radius," and he specified that: "Applications are studied, even when the candidate's natural intervention area overlaps in whole or in part with that of an existing member." (reference 1935).</w:t>
      </w:r>
    </w:p>
    <w:p>
      <w:r>
        <w:t xml:space="preserve">b) Interventions of the board of directors of the group  </w:t>
        <w:br/>
        <w:t xml:space="preserve">32. The reading of the minutes of the board meetings of GAFIC shows that the sectorization of members is a source of conflicts within the group.  </w:t>
        <w:br/>
        <w:t xml:space="preserve">33. Thus, on September 28, 2012, the board of directors addressed the situation of a member who had intervened outside their reserved sector and who was reminded of the rules: "This member from 63 persists despite our injunctions, to deliver to the company [] across the entire territory, to the detriment of other members. A response from our lawyer was provided to him, reminding and demonstrating that he was not respecting the commitments linked to the charter that binds him to the Group. Today this member is only delivered for clients concerning his sector." (reference 1940).  </w:t>
        <w:br/>
        <w:t>34. On the same day, the board of directors examined the practice of another member who had responded to tenders from areas located outside their assigned sector. The board of directors of the group instructed the concerned member to comply with the internal regulations: "There is still a dispute between these two companies,</w:t>
      </w:r>
    </w:p>
    <w:p>
      <w:r>
        <w:rPr>
          <w:b/>
        </w:rPr>
        <w:t>[Pages 7–9]</w:t>
      </w:r>
    </w:p>
    <w:p>
      <w:r>
        <w:t>where the Council has previously been led to note that the company (…) constantly violates the geographical charter and has informed (…). On this day, the Board notes that (…) exceeds the measure by proposing an identical quote to a client of the company (…) at 10% less. The quote is verified by the members of the Board who confirm this violation of the sector, to the detriment of the company (…). The Board decides that a letter will be sent to the company (…) requesting justification regarding these practices. Without a response within a month, a new letter will be sent instructing them to cease delivering small equipment in the sector of the company (…), under penalty of no longer being supplied with small equipment themselves should they persist in this absurd and fratricidal duel.” (reference 1942).</w:t>
      </w:r>
    </w:p>
    <w:p>
      <w:r>
        <w:t xml:space="preserve">C. THE NOTIFIED GRIEVANCE  </w:t>
        <w:br/>
        <w:t>35. By notification of grievances dated November 5, 2015, it is alleged that “the GAFIHC group has organized since 1996 and to this day an agreement among its members aimed at a territorial distribution of the market for the supply and installation of large kitchens.”</w:t>
      </w:r>
    </w:p>
    <w:p>
      <w:r>
        <w:t xml:space="preserve">II. Discussion  </w:t>
        <w:br/>
        <w:t xml:space="preserve">A. ON THE IMPLEMENTATION OF THE TRANSACTION PROCEDURE  </w:t>
        <w:br/>
        <w:t xml:space="preserve">36. III of Article L. 464-2 of the Commercial Code states: “When an organization or a company does not contest the reality of the grievances notified to it, the general rapporteur may submit to it a proposal for a transaction setting the minimum and maximum amount of the contemplated financial penalty. When the company or organization commits to modifying its behavior, the general rapporteur may take this into account in his proposal for a transaction. If, within a timeframe set by the general rapporteur, the organization or company agrees to the proposal for a transaction, the general rapporteur proposes to the Competition Authority, which hears the company or organization and the Government Commissioner without prior establishment of a report, to impose the financial penalty (…) within the limits set by the transaction.”  </w:t>
        <w:br/>
        <w:t xml:space="preserve">37. In this case, GAFIC, due to its own circumstances, does not contest the reality of the grievance that has been notified to it and has requested the general rapporteur of the Authority to benefit from the application of the provisions of III of Article L. 464-2 of the Commercial Code.  </w:t>
        <w:br/>
        <w:t xml:space="preserve">38. By minutes dated February 10, 2016, GAFIC agreed to a proposal for a transaction from the general rapporteur, [confidential].  </w:t>
        <w:br/>
        <w:t>39. During the session of March 30, 2016, the general director of GAFIC confirmed his agreement with the terms of the transaction, of which he accepted, fully aware, the legal consequences, particularly regarding the amount of the financial penalty.</w:t>
      </w:r>
    </w:p>
    <w:p>
      <w:r>
        <w:t xml:space="preserve">B. ON THE EXISTENCE OF A TERRITORIAL MARKET DISTRIBUTION AGREEMENT  </w:t>
        <w:br/>
        <w:t xml:space="preserve">40. It follows from the elements outlined above that, since January 1, 1996, the internal regulations and statutes of GAFIC contain provisions that restrict competition among its members by assigning each of them a geographical area of activity and providing for mechanisms of control, compensation, and sanction in case of non-compliance by the members of the group with the assigned zones.  </w:t>
        <w:br/>
        <w:t xml:space="preserve">41. However, the possibilities of overlapping activities among members, still theoretical when the network is small, become real from a certain level of national territorial coverage or when members are more concentrated in certain regions. It is therefore the very development of the group that ultimately creates possibilities for horizontal competition among members. While GAFIC was created in 1967, it was not until 2004 that clauses regarding the respect of activity zones were introduced into its internal regulations to resolve potential conflicts. These clauses are therefore specifically aimed at limiting horizontal competition among members.  </w:t>
        <w:br/>
        <w:t xml:space="preserve">42. The practices implemented by GAFIC, assessed in the legal and economic context just described, particularly the existence of local markets likely to experience overlapping zones, are anti-competitive by object and contravene the provisions of Article L. 420-1 of the Commercial Code.  </w:t>
        <w:br/>
        <w:t>43. GAFIC does not contest the grievance that has been notified to it, and it is therefore established against it.</w:t>
      </w:r>
    </w:p>
    <w:p>
      <w:r>
        <w:t xml:space="preserve">C. ON THE SANCTION  </w:t>
        <w:br/>
        <w:t xml:space="preserve">44. The third paragraph of I of Article L. 464-2 of the Commercial Code provides that “financial penalties are proportionate to the seriousness of the alleged facts, the importance of the damage caused to the economy, the individual situation of the sanctioned organization or company or the group to which the company belongs, and the possible repetition of prohibited practices. They are determined individually for each sanctioned company or organization and reasoned for each sanction.”  </w:t>
        <w:br/>
        <w:t>45. Article L. 464-5 of the Commercial Code states that the Authority may, when implementing the simplified procedure provided for in Article L. 463-3 of the Commercial Code, impose the sanctions provided for in I of Article L. 464-2 of this code. However, the sanction may not exceed 750,000 euros for the company in question.</w:t>
      </w:r>
    </w:p>
    <w:p>
      <w:r>
        <w:t xml:space="preserve">1. ON THE SERIOUSNESS OF THE PRACTICE AND THE IMPORTANCE OF THE DAMAGE CAUSED TO THE ECONOMY  </w:t>
        <w:br/>
        <w:t xml:space="preserve">46. Agreements aimed at market distribution by competitors are considered by the case law and decision-making practice of the Competition Authority as very serious. In this case, GAFIC has provided in its internal regulations provisions that lead to limiting competition among its active members in neighboring local markets.  </w:t>
        <w:br/>
        <w:t xml:space="preserve">47. However, the seriousness of the practice is mitigated by the fact that the recruitment of members of the group is primarily carried out to cover underserved areas, which tends to prevent or reduce situations in which local horizontal competition may occur among members. Risks arise when the group, as is the case here, reaches a certain size.  </w:t>
        <w:br/>
        <w:t xml:space="preserve">48. Furthermore, the damage to the economy from the practice appears to be of a measured scale, notably due to GAFIC's low national market share and the competition that continues to be exerted on its members by other market players, whether they are member companies of another group or integrated manufacturers.  </w:t>
        <w:br/>
        <w:t>49. The importance of the damage caused to the economy by the practice in question is therefore very low.</w:t>
      </w:r>
    </w:p>
    <w:p>
      <w:r>
        <w:t xml:space="preserve">2. ON THE INDIVIDUAL SITUATION OF GAFIC  </w:t>
        <w:br/>
        <w:t>50. During the session, the general director of GAFIC indicated that procedures for the removal of the disputed clauses by the statutory bodies had been initiated and that sectorization was effectively abandoned.</w:t>
      </w:r>
    </w:p>
    <w:p>
      <w:r>
        <w:t xml:space="preserve">3. CONCLUSION ON THE FINAL AMOUNT OF THE SANCTION IMPOSED ON GAFIC  </w:t>
        <w:br/>
        <w:t>51. In light of all these elements, the amount of the sanction imposed on GAFIC is set at 120,000 euros.</w:t>
      </w:r>
    </w:p>
    <w:p>
      <w:r>
        <w:t xml:space="preserve">DECISION  </w:t>
        <w:br/>
        <w:t xml:space="preserve">Article 1: It is established that GAFIC has violated the provisions of Article L. 420-1 of the Commercial Code.  </w:t>
        <w:br/>
        <w:t xml:space="preserve">Article 2: A sanction of 120,000 euros is imposed on GAFIC.  </w:t>
        <w:br/>
        <w:t xml:space="preserve">Deliberated on the oral report of Ms. Marianne Combaldieu, rapporteur, and the intervention of Ms. Virginie Beaumeunier, general rapporteur, by Mr. Thierry Dahan, vice-president, president of the session, Ms. Laurence Idot, Ms. Pierrette Pinot, Ms. Isabelle de Silva, and Ms. Carol Xueref, members.  </w:t>
        <w:br/>
        <w:t xml:space="preserve">The session secretary, The vice-president,  </w:t>
        <w:br/>
        <w:t xml:space="preserve">Béatrice Déry-Rosot 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