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https://www.autoritedelaconcurrence.fr/fr/decision/relative-des-pratiques-mises-en-oeuvre-par-le-groupement-des-cartes-bancaires</w:t>
      </w:r>
    </w:p>
    <w:p>
      <w:r>
        <w:t>Pages translated : 82</w:t>
      </w:r>
    </w:p>
    <w:p/>
    <w:p>
      <w:r>
        <w:rPr>
          <w:b/>
        </w:rPr>
        <w:t>[Pages 1–3]</w:t>
      </w:r>
    </w:p>
    <w:p>
      <w:r>
        <w:t>FRENCH REPUBLIC</w:t>
        <w:br/>
        <w:t>Decision No. 11-D-11 of July 7, 2011</w:t>
        <w:br/>
        <w:t>concerning practices implemented by</w:t>
        <w:br/>
        <w:t>the Groupement des Cartes Bancaires</w:t>
        <w:br/>
        <w:t>The Competition Authority (permanent commission),</w:t>
        <w:br/>
        <w:t>Having regard to the letters registered on February 27, 2009, and February 3, 2010, under numbers 09/0017 F and 10/0008 F, by which the Federation of Enterprises in Commerce and Distribution (FCD) and the Council of Commerce of France (CdCF) referred to the Competition Authority practices related to interbank commissions applied to the various means of payment used in France;</w:t>
        <w:br/>
        <w:t>Having regard to the decision of May 3, 2010, by which the general rapporteur joined the investigation of these two cases;</w:t>
        <w:br/>
        <w:t>Having regard to the decision of February 2, 2011, by which the general rapporteur separated, within the file, the part relating to practices other than those concerning the bank cards "CB";</w:t>
        <w:br/>
        <w:t>Having regard to Articles 101 and 102 of the Treaty on the Functioning of the European Union;</w:t>
        <w:br/>
        <w:t>Having regard to Book IV of the amended Commercial Code;</w:t>
        <w:br/>
        <w:t>Having regard to the business secrecy decisions No. 09-DSA-92 of July 1, 2009; No. 09-DSA-96 of July 2, 2009; No. 09-DSA-98 of July 7, 2009; No. 10-DSA-103 of June 11, 2010; No. 10-DSA-104 of June 11, 2010; No. 10-DSA-105 of June 11, 2010; No. 10-DSA-106 of June 11, 2010; No. 10-DSA-120 of June 28, 2010; No. 10-DSA-122 of June 28, 2010; No. 10-DSA-279 of December 22, 2010; No. 10-DSA-280 of December 22, 2010; No. 10-DSA-281 of December 22, 2010; No. 10-DSA-282 of December 22, 2010; No. 10-DSA-283 of December 22, 2010; No. 10-DSA-284 of December 22, 2010; No. 10-DSA-285 of December 22, 2010; No. 10-DSA-286 of December 22, 2010; No. 10-DSA-287 of December 22, 2010; No. 11-DSA-01 of January 10, 2011; No. 11-DSA-10 of January 12, 2011; No. 11-DSA-105 of April 11, 2011; No. 11-DSA-11 of January 12, 2011; No. 11-DSA-12 of January 12, 2011; No. 11-DSA-155 of May 5, 2011; No. 11-DSA-162 of May 9, 2011; No. 11-DSA-171 of May 13, 2011; No. 11-DSA-172 of May 17, 2011; No. 10-DSADEC-13 of June 30, 2010; No. 10-DSADEC-19 of September 30, 2010; No. 10-DSADEC-28 of December 22, 2010; No. 11-DSADEC-01 of January 12, 2011; No. 11-DSADEC-04 of January 31, 2011; No. 11-DSADEC-11 of May 11, 2011;</w:t>
        <w:br/>
        <w:t>Having regard to the declassification decisions No. 11-DEC-01 of January 31, 2011; No. 11-DEC-02 of January 31, 2011; No. 11-DEC-03 of January 31, 2011; No. 11-DEC-04 of January 31, 2011; No. 11-DEC-05 of January 31, 2011; No. 11-DEC-06 of January 31, 2011; No. 11-DEC-07 of January 31, 2011; No. 11-DEC-08 of January 31, 2011; No. 11-DEC-09 of January 31, 2011; No. 11-DEC-17 of April 11, 2011; No. 11-DEC-13 of April 27, 2011;</w:t>
      </w:r>
    </w:p>
    <w:p>
      <w:r>
        <w:t>Having regard to the commitments proposed by the Groupement des Cartes Bancaires "CB" on April 4, 2011;</w:t>
        <w:br/>
        <w:t>Having regard to the observations presented by the FCD, the CdCF, Eurocommerce, Leroy-Merlin, the National Council of Automotive Professions (CNPA), the Union of Groups of Household Appliances and Multimedia (UGEM), the National Federation of Clothing (FNH), the Federation of Clothing Brands (FEH), the General Confederation of Small and Medium Enterprises (CGPME), the Professional Artisan Union (UPA), the Federation of Associated Commerce Brands (FCA), the Union of Opticians under Brand (SynOpE), the Union of Watchmaking-Jewelry Commerce (Saint Eloi); the Association for the Defense of Users of European Payment Means (ADUMPE), Metro, the Union of Independents (SDI), the French Union of Petroleum Industries (UFIP), the National Federation UBJO, the National Federation of Gardening Professions (FNMJ), the Union of Large City Center Commerce (UCV), EDF, the National Union of Hoteliers, Restaurateurs, Cafés, and Caterers (Synhorcat), Ikea, the Professional Association of French Companies Concessionaires or Operators of Highways or Road Works (ASFA), UFC-Que Choisir, the Consumers' Workers' Force Association (AFOC), the Association for the Defense, Education, and Information of Consumers (ADEIC), La Banque Postale, BPCE, BNP Paribas, Société Générale, the Crédit Agricole Group, the Bank of France, the Office for Banking and Financial Coordination (OCBF), the French Banking Federation (FBF), Visa Europe, MasterCard, Afone, Concert International;</w:t>
        <w:br/>
        <w:t>The rapporteurs, the general rapporteur, the Government Commissioner, and the representatives of the Groupement des Cartes Bancaires "CB", the FCD, and the CdCF heard during the sessions of the Competition Authority on May 23, 2011, and June 15, 2011;</w:t>
        <w:br/>
        <w:t>The representative of UFC-Que Choisir heard on the basis of the provisions of the second paragraph of Article L. 463-7 of the Commercial Code during the session of the Competition Authority on May 23, 2011;</w:t>
        <w:br/>
        <w:t>Adopts the following decision:</w:t>
        <w:br/>
        <w:t>-2-</w:t>
      </w:r>
    </w:p>
    <w:p>
      <w:r>
        <w:t>I. Findings ................................................................................................................ 6</w:t>
        <w:br/>
        <w:t>A. The referral ......................................................................................................... 6</w:t>
        <w:br/>
        <w:t>B. The concerned sector ....................................................................................... 6</w:t>
        <w:br/>
        <w:t>1. The card ............................................................................................................. 6</w:t>
        <w:br/>
        <w:t>2. Card payment systems ..................................................................................... 7</w:t>
        <w:br/>
        <w:t>a) Quadripartite systems ................................................................................... 7</w:t>
        <w:br/>
        <w:t>b) Tripartite systems ......................................................................................... 9</w:t>
        <w:br/>
        <w:t>C. The concerned actors ....................................................................................... 10</w:t>
        <w:br/>
        <w:t>1. The referrers ..................................................................................................... 10</w:t>
        <w:br/>
        <w:t>a) The FCD ....................................................................................................... 10</w:t>
        <w:br/>
        <w:t>b) The CdCF ..................................................................................................... 10</w:t>
        <w:br/>
        <w:t>2. The GIE CB ...................................................................................................... 10</w:t>
        <w:br/>
        <w:t>a) The organization of the GIE ......................................................................... 10</w:t>
        <w:br/>
        <w:t>b) The position of the GIE in the French market ............................................. 11</w:t>
        <w:br/>
        <w:t>D. The concerned behaviors ................................................................................ 12</w:t>
        <w:br/>
        <w:t>1. Interbank commissions related to the use of a "CB" card ............................ 12</w:t>
        <w:br/>
        <w:t>a) Commissions systematically collected ........................................................... 13</w:t>
        <w:br/>
        <w:t>b) Commissions collected occasionally ............................................................. 20</w:t>
        <w:br/>
        <w:t>2. The clauses in the "CB" acceptance contracts ............................................... 22</w:t>
        <w:br/>
        <w:t>E. The practices denounced by the referring organizations ............................... 22</w:t>
        <w:br/>
        <w:t>F. The preliminary assessment .......................................................................... 23</w:t>
        <w:br/>
        <w:t>1. The concerned market .................................................................................... 23</w:t>
        <w:br/>
        <w:t>a) The market for products .............................................................................. 23</w:t>
        <w:br/>
        <w:t>b) The geographical market ............................................................................ 24</w:t>
        <w:br/>
        <w:t>2. Possible collusive practices .......................................................................... 24</w:t>
        <w:br/>
        <w:t>a) The Groupement des Cartes Bancaires used as a support for a possible</w:t>
        <w:br/>
        <w:t>collusive practice ............................................................................................ 24</w:t>
        <w:br/>
        <w:t>b) Analysis of multilateral interbank commissions ........................................... 25</w:t>
        <w:br/>
        <w:t>3. The possible impact of the IPC and the IRC .................................................. 28</w:t>
        <w:br/>
        <w:t>a) The possible impact of the IPC .................................................................... 28</w:t>
        <w:br/>
        <w:t>b) The possible impact of the IRC ................................................................... 32</w:t>
        <w:br/>
        <w:t>4. The conceivable justifications ....................................................................... 33</w:t>
        <w:br/>
        <w:t>a) Commissions not linked to an obligation relationship between banks or</w:t>
        <w:br/>
        <w:t>their clients ....................................................................................................... 34</w:t>
        <w:br/>
        <w:t>b) Commissions linked to an obligation relationship between banks or their</w:t>
        <w:br/>
        <w:t>clients ................................................................................................................ 36</w:t>
        <w:br/>
        <w:t>-3-</w:t>
      </w:r>
    </w:p>
    <w:p>
      <w:r>
        <w:rPr>
          <w:b/>
        </w:rPr>
        <w:t>[Pages 4–6]</w:t>
      </w:r>
    </w:p>
    <w:p>
      <w:r>
        <w:t xml:space="preserve">5. Analysis of the contractual clauses imposed by the GIE on merchants ... 38  </w:t>
        <w:br/>
        <w:t xml:space="preserve">G. Implementation of the commitments procedure ............................................. 39  </w:t>
        <w:br/>
        <w:t xml:space="preserve">1. The commitments initially proposed by the Groupement des Cartes Bancaires ............................................................................................................. 39  </w:t>
        <w:br/>
        <w:t xml:space="preserve">2. Observations collected during the market test ................................................. 40  </w:t>
        <w:br/>
        <w:t xml:space="preserve">a) Observations from the applicants, other representatives of merchants, and merchants .................................................................................................... 40  </w:t>
        <w:br/>
        <w:t xml:space="preserve">b) Observations from consumer associations .................................................... 47  </w:t>
        <w:br/>
        <w:t xml:space="preserve">c) Observations from credit institutions ............................................................ 48  </w:t>
        <w:br/>
        <w:t xml:space="preserve">d) Observations from payment systems ............................................................ 51  </w:t>
        <w:br/>
        <w:t xml:space="preserve">3. Additional proposals for commitments ............................................................ 53  </w:t>
        <w:br/>
        <w:t xml:space="preserve">II. Discussion ............................................................................................................... 54  </w:t>
        <w:br/>
        <w:t xml:space="preserve">A. On the admissibility of Payfair's response to the market test ......................... 54  </w:t>
        <w:br/>
        <w:t xml:space="preserve">B. On the scope of decision No. 90-D-41 of the Competition Council and the comfort letter from the Directorate-General for Competition of the European Commission ........................................................................................................ 54  </w:t>
        <w:br/>
        <w:t xml:space="preserve">1. On the scope of decision No. 90-D-41 of the Competition Council ............... 54  </w:t>
        <w:br/>
        <w:t xml:space="preserve">a) The absence of acquired rights by the Groupement .................................... 55  </w:t>
        <w:br/>
        <w:t xml:space="preserve">b) The evolution of the economic and legal context ....................................... 55  </w:t>
        <w:br/>
        <w:t xml:space="preserve">2. On the scope of the comfort letter issued by the Directorate-General for Competition of the European Commission .................................................. 56  </w:t>
        <w:br/>
        <w:t xml:space="preserve">C. On the applicability of European Union law .................................................... 57  </w:t>
        <w:br/>
        <w:t xml:space="preserve">1. The existence of exchanges between Member States .................................... 57  </w:t>
        <w:br/>
        <w:t xml:space="preserve">2. The existence of practices likely to affect exchanges between Member States in a significant manner .............................................................................. 58  </w:t>
        <w:br/>
        <w:t xml:space="preserve">D. On the implementation of the commitments procedure ................................... 59  </w:t>
        <w:br/>
        <w:t xml:space="preserve">1. Arguments from the applicants ...................................................................... 59  </w:t>
        <w:br/>
        <w:t xml:space="preserve">2. Analysis ............................................................................................................ 59  </w:t>
        <w:br/>
        <w:t xml:space="preserve">E. On the assessment of the commitments proposed by the Groupement .......... 60  </w:t>
        <w:br/>
        <w:t xml:space="preserve">1. On the commitments related to the IPC .......................................................... 60  </w:t>
        <w:br/>
        <w:t xml:space="preserve">a) On the existence of the IPC ......................................................................... 60  </w:t>
        <w:br/>
        <w:t xml:space="preserve">b) On the structure of the IPC .......................................................................... 62  </w:t>
        <w:br/>
        <w:t xml:space="preserve">c) On the level of the IPC ................................................................................ 65  </w:t>
        <w:br/>
        <w:t xml:space="preserve">2. On the commitments related to the IRC .......................................................... 68  </w:t>
        <w:br/>
        <w:t xml:space="preserve">a) On the DAB commission (formerly the Treasury Advance component) ......................................................................................................................... 68  </w:t>
        <w:br/>
        <w:t xml:space="preserve">b) On the Withdrawal Service Commission .................................................... 70  </w:t>
        <w:br/>
        <w:t xml:space="preserve">3. On the commitments related to other commissions ....................................... 70  </w:t>
        <w:br/>
        <w:t xml:space="preserve">4. On the general provisions of the proposal ..................................................... 71  </w:t>
        <w:br/>
        <w:t xml:space="preserve">a) Regarding the information modalities ......................................................... 71  </w:t>
        <w:br/>
        <w:t xml:space="preserve">b) Regarding the duration of the commitments .............................................. 71  </w:t>
        <w:br/>
        <w:t xml:space="preserve">c) Regarding the monitoring of the commitments .......................................... 71  </w:t>
        <w:br/>
        <w:t xml:space="preserve">d) Regarding the contractual clauses imposed by the Groupement ............... 71  </w:t>
        <w:br/>
        <w:t xml:space="preserve">I. Findings  </w:t>
        <w:br/>
        <w:t xml:space="preserve">A. THE REFERRAL  </w:t>
        <w:br/>
        <w:t xml:space="preserve">1. By registered letters dated February 27, 2009, and February 3, 2010, under numbers 09/0017 F and 10/0008 F, the Federation of Commerce and Distribution Enterprises (hereinafter: the FCD) and the Council of Commerce of France (hereinafter: the CdCF) referred to the Competition Authority practices related to interbank commissions applied to the various means of payment used in France.  </w:t>
        <w:br/>
        <w:t xml:space="preserve">2. While the referral from the CdCF concerns only the interbank payment commission (hereinafter: the IPC) set by the Groupement des Cartes Bancaires (hereinafter: the GIE or the Groupement), the referral from the FCD covers all interbank commissions applicable to the means of payment used in France, except those collected during transactions by checks, which were examined by the Authority in the context of decision No. 10-D-28 of September 20, 2010, concerning the rates and conditions applied by banks and financial institutions for the processing of checks submitted for collection.  </w:t>
        <w:br/>
        <w:t xml:space="preserve">3. These two referrals were joined by decision of the general rapporteur dated May 3, 2010. The GIE having approached the investigation services to explore the path of commitments and having presented an initial offer of commitments on September 13, 2010, it was decided to separate the procedure in order to isolate the practices of the Groupement in the payment card sector, which are the only ones at issue in this decision.  </w:t>
        <w:br/>
        <w:t xml:space="preserve">B. THE RELEVANT SECTOR  </w:t>
        <w:br/>
        <w:t xml:space="preserve">1. THE PAYMENT CARD  </w:t>
        <w:br/>
        <w:t xml:space="preserve">4. The Monetary and Financial Code distinguishes between cash, composed of metallic currency and banknotes, and scriptural money, whose main instruments today are checks, payment cards, transfers, or promissory notes.  </w:t>
        <w:br/>
        <w:t xml:space="preserve">5. The payment card, which appeared in France in the late 1960s, is a widely used means of payment in France. In 2009, more than 6.7 billion payments were made by card1, representing 42.2% of the scriptural payments made in France. In value, card transactions represent 340 billion euros per year. The use of cards continues to develop today, although growth rates are much lower than those of the 1980s or even the 1990s. This development is primarily driven by  </w:t>
        <w:br/>
        <w:t>1 Source: Banque de France, cf. http://www.banque-france.fr/fr/systemes-de-paiement-et-de-titres/telechar/statistiques/moyens-de-paiements-paiements-et-retraits-par-cartes-paiements-par-cartes.pdf</w:t>
      </w:r>
    </w:p>
    <w:p>
      <w:r>
        <w:rPr>
          <w:b/>
        </w:rPr>
        <w:t>[Pages 7–9]</w:t>
      </w:r>
    </w:p>
    <w:p>
      <w:r>
        <w:t xml:space="preserve">to the detriment of checks, whose share in volume decreased from 50% in 1996 to 37% in 2000 and then to 20% in 2009.  </w:t>
        <w:br/>
        <w:t xml:space="preserve">Evolution of card payments, in volume and value, between 1990 and 2008:  </w:t>
        <w:br/>
        <w:t xml:space="preserve">Source: Banque de France.  </w:t>
        <w:br/>
        <w:t xml:space="preserve">2. PAYMENT CARD SYSTEMS  </w:t>
        <w:br/>
        <w:t xml:space="preserve">6. It is important to present the functioning of payment card systems, distinguishing between quadripartite payment systems and tripartite payment systems.  </w:t>
        <w:br/>
        <w:t xml:space="preserve">a) Quadripartite systems  </w:t>
        <w:br/>
        <w:t>7. Quadripartite payment systems are the most widespread. The GIE CB system itself is a quadripartite system.</w:t>
      </w:r>
    </w:p>
    <w:p>
      <w:r>
        <w:t xml:space="preserve">8. Such a system involves, in addition to itself, four parties directly interested in the payment, namely the cardholder, most often a consumer, the issuing bank, the merchant receiving the payment, as well as the bank of the latter, referred to as the acquiring bank. The following diagram illustrates the contractual relationships between the various actors involved (the term "merchant" concretely designates all acceptors):  </w:t>
        <w:br/>
        <w:t xml:space="preserve">9. As explained in the MasterCard decision of December 19, 2007, by the European Commission (hereinafter: the Commission)2, such a system involves three levels of interactions.  </w:t>
        <w:br/>
        <w:t xml:space="preserve">Between the payment system and the banks: the platform that constitutes the payment system provides a set of services to the banks, both that of the cardholder and that of the acceptor. In particular, the platform has a network enabling the processing of card payment transactions. To ensure the functioning of the system, the payment system coordinates the practices of its members by setting common standards and protocols.  </w:t>
        <w:br/>
        <w:t xml:space="preserve">Between the two banks involved in the payment: these banks transmit data about card transactions (authentication, authorization system, etc.) over the payment system's network and ultimately carry out the transfer of funds via this network.  </w:t>
        <w:br/>
        <w:t xml:space="preserve">Between the banks and their clients:  </w:t>
        <w:br/>
        <w:t xml:space="preserve">o Between the cardholder's bank and the cardholder: the bank provides its client with a card allowing the cardholder to make purchases in a network of merchants accepting this type of card, and signs a cardholder contract with its client. It may also provide additional services that are not strictly related to payment operations,  </w:t>
        <w:br/>
        <w:t>2 Commission, decision COMP/34.579, 36518, 38580.</w:t>
      </w:r>
    </w:p>
    <w:p>
      <w:r>
        <w:t>-8-</w:t>
      </w:r>
    </w:p>
    <w:p>
      <w:r>
        <w:t xml:space="preserve">such as credit functions. CB cards, for example, provide access to a cash withdrawal service at ATMs and contain certain insurance products.  </w:t>
        <w:br/>
        <w:t xml:space="preserve">o Between the acquiring bank and the acceptor: the bank manages card collections on behalf of its client. To do this, the bank must provide its client with a payment terminal, which can be rented or sold. The relationships between the acquiring bank and the acceptor are formalized in a contract known as the acquiring contract, some standard clauses of which may be imposed by the payment system.  </w:t>
        <w:br/>
        <w:t xml:space="preserve">10. These different interactions give rise to the payment of fees:  </w:t>
        <w:br/>
        <w:t xml:space="preserve">regarding the relationships between banks and payment systems, the latter generally charge fees and contributions to the banks. They particularly collect fees for processing card payments or withdrawals;  </w:t>
        <w:br/>
        <w:t xml:space="preserve">regarding the relationships between the cardholder and their bank, the latter generally collects a flat annual fee3 allowing the cardholder to have a card and use it as much as they wish (with, however, a constraint on a maximum purchase amount per period). For cash withdrawal operations at ATMs, cardholders may be charged a fixed amount per withdrawal made outside their bank's ATM network, when these withdrawals exceed a certain volume;  </w:t>
        <w:br/>
        <w:t xml:space="preserve">regarding the relationships between merchants and acquiring banks, the latter most often charge merchants a commission per transaction for the acceptance of payment cards. These commissions may either correspond to a given percentage of the transaction value, possibly with a fixed minimum charge, or consist of a fixed part and a variable part depending on the amount of the collection.  </w:t>
        <w:br/>
        <w:t xml:space="preserve">b) Tripartite systems  </w:t>
        <w:br/>
        <w:t xml:space="preserve">11. Alongside quadripartite systems, there are tripartite payment card systems, such as the American Express or Diners' Club credit card systems. These systems are vertically integrated in the sense that they themselves enter into contracts with cardholders and merchants. Until recently, the cards from these systems were not distributed by the banks themselves. From a contractual perspective, there is only one level of interaction, between the users of the system and the operator.  </w:t>
        <w:br/>
        <w:t xml:space="preserve">3 Except with respect to certain online establishments, such as Boursorama, which offer their clients a "free" bank card.  </w:t>
        <w:br/>
        <w:t>-9-</w:t>
      </w:r>
    </w:p>
    <w:p>
      <w:r>
        <w:rPr>
          <w:b/>
        </w:rPr>
        <w:t>[Pages 10–12]</w:t>
      </w:r>
    </w:p>
    <w:p>
      <w:r>
        <w:t>C. THE RELEVANT ACTORS</w:t>
        <w:br/>
        <w:t>1. THE CLAIMANTS</w:t>
        <w:br/>
        <w:t>a) The FCD</w:t>
        <w:br/>
        <w:t>12. The Federation of Companies in Commerce and Distribution (FCD) brings together businesses primarily engaged in food commerce or specialized sectors and those who supply them. This sector employs 635,800 people, includes 1,400 hypermarkets, 5,600 supermarkets, 3,700 discount stores, and 15,500 convenience stores, totaling approximately 26,000 points of sale, with an annual turnover of 170 billion euros.</w:t>
        <w:br/>
        <w:t>13. Established as a professional union under the law of March 21, 1884, the Federation represents and defends the general and common interests of its members. It ensures their representation before public authorities and includes, among its areas of intervention, that of payment methods.</w:t>
        <w:br/>
        <w:t>b) The CdCF</w:t>
        <w:br/>
        <w:t>14. The CdCF is an inter-union association tasked with defending the general interests of commerce. The members of the CdCF are union or inter-union structures present in sectors as varied as automotive, pharmaceuticals, electronics, home and personal equipment (clothing, shoes, jewelry, optics), leisure and wellness, or distance selling. These members represent 600,000 merchants operating in France, primarily SMEs and micro-enterprises, which provide 3.5 million jobs (of which 3 million are employees).</w:t>
        <w:br/>
        <w:t>2. THE GIE CB</w:t>
        <w:br/>
        <w:t>a) The organization of the GIE</w:t>
        <w:br/>
        <w:t>15. The GIE CB was created in France in 1984 to ensure better interoperability and security conditions for card payments. It brings together credit institutions and, in general, any establishment authorized to provide payment services4. The Group currently has approximately 140 CB Members.</w:t>
        <w:br/>
        <w:t>16. The Management Board of the Group is the decision-making body of the Group. Until the statutory revision of January 23, 2009, the Management Board was composed of representatives from eleven signatories of the founding protocol of the GIE of 1984: Crédit Industriel et Commercial de Paris (now CIC), Société Générale, Banque Nationale de Paris (now BNP Paribas), Ministry of PTT and General Directorate of Posts (now Banque Postale), CCF (now HSBC France), Trade Union Chamber of Popular Banks, National Center of Savings and Provident Funds (now BPCE), National Agricultural Credit Fund, National Federation of Agricultural Credit (now Crédit Agricole), Crédit Lyonnais (now LCL), Crédit du Nord, National Confederation of Crédit Mutuel. Since the statutory revision of 2009, the Management Board includes two other credit institutions: Société des Paiements Pass S2P and Banque Accord.</w:t>
        <w:br/>
        <w:t>4 Art.1 of the founding contract of the banking card group (reference 2052).</w:t>
        <w:br/>
        <w:t>-10-</w:t>
      </w:r>
    </w:p>
    <w:p>
      <w:r>
        <w:t>17. The Bank of France (bank affiliated with LCL) also sits there as an observer.</w:t>
        <w:br/>
        <w:t>18. Among the powers formally recognized to the Management Board, it is tasked with setting the detailed terms of pricing for services falling within the scope of the Group, and designing and determining the general policy of the Group5. According to Article 30 of the Internal Regulations, the Management Board "specifically defines the rules relating to the interbank payment commission and the interbank withdrawal commission (...)". Decisions of the Management Board are made by a majority of the members present or represented holding at least a simple majority of the voting rights6. Article 25.1 of the founding contract of the Group provides that its Ordinary General Assembly "decides on the general principles of billing for the 'CB' system".</w:t>
        <w:br/>
        <w:t>19. The organization of the GIE and interbank commissions is governed by three texts: the statutes (or founding contract), which notably provide for the general obligations of members and the role of the Management Board; the internal regulations, which specify notably the minimum functions and obligations of the issuer of a bank card used for payment, and the minimum functions and obligations of the acquirer of a bank card used for cash withdrawal or payment; the manual of interbank commissions and pricing CB, which explains the calculation rules for each of the commissions.</w:t>
        <w:br/>
        <w:t>b) The position of the GIE in the French market</w:t>
        <w:br/>
        <w:t>20. In 2007, CB cards and "CB approved" cards7 were used for more than 78% of the total value of card payment transactions in France8. The remaining shares are attributed to payments made with "three-party" cards (such as American Express cards, for which the payment system solely performs the functions of card issuance and transaction acquisition), or merchant proprietary cards.</w:t>
        <w:br/>
        <w:t>21. The presence of other "four-party" bank card systems (in which the cardholder's bank issues the card and the acquirer's bank ensures the acquisition of transactions at the merchant) is currently very limited for domestic transactions conducted in France.</w:t>
        <w:br/>
        <w:t>22. Since the Visa and MasterCard systems do not have their own network infrastructure, the issuing institutions of these cards in France join the Group and generally add the Group's "CB" logo to the Visa or MasterCard logo. These dual-logo cards are therefore generally not used as cards of a competing system but as cards of the "CB" system.</w:t>
        <w:br/>
        <w:t>23. However, there are three situations in which the interbank commissions set by the MasterCard or Visa systems apply to domestic transactions in France:</w:t>
        <w:br/>
        <w:t>5 Articles 13 of the statutes (reference 2060) and 30 of the Internal Regulations (reference 2090).</w:t>
        <w:br/>
        <w:t>6 Article 13 of the statutes (reference 2062).</w:t>
        <w:br/>
        <w:t>7 Cards other than CB cards for which the CB Group has organized acceptance in the CB system (Visa and Mastercard cards issued abroad).</w:t>
        <w:br/>
        <w:t>8 See decision of the COMP commission 38606 of October 17, 2007, CB banking card group, § 20.</w:t>
        <w:br/>
        <w:t>-11-</w:t>
      </w:r>
    </w:p>
    <w:p>
      <w:r>
        <w:t>24. The first is the use of a Visa or MasterCard card (and not CB), issued by a non-member institution of the Group. If this card is used only occasionally for transactions in France, the commissions of the system to which it belongs apply. However, if more than 50% of the transactions (in value or volume) made with this card are conducted in France and thus within the CB system, the "CB" commissions apply, and the issuing institution must then join the Group. Otherwise, the Group would render these cards unusable in its network.</w:t>
        <w:br/>
        <w:t>25. This situation is, however, expected to evolve in favor of the application of commissions from other systems, such as Visa and MasterCard. Rather than joining the Group, the issuing institution may choose, since January 1, 2011, to pay it a commission calculated based on the operating costs of the Group (which would amount to €0.02 per transaction). In this case, all transactions made by a card issued by a non-CB member institution in France will result in the payment of the interbank commissions of the system to which it belongs9.</w:t>
        <w:br/>
        <w:t>26. The second situation corresponds to that where the cardholder/bank of the cardholder and the acquirer/acceptor bank agree to use a competing system to that of the GIE. In such a case, the interbank commissions of this system will apply, subject to the issuing institution paying a commission of [0.00; 0.05] € per transaction. Currently, this situation mainly arises when using "purely" Visa or MasterCard cards. Today, some banks, such as BNP10, are beginning to issue "Only" Visa or MasterCard cards. According to the GIE, JCB cards should also gain access to the "CB" System in the near future11.</w:t>
        <w:br/>
        <w:t>27. The third situation corresponds to transactions by card at French acceptors affiliated with a bank that is not a member of the Group. This situation is rare. For MasterCard, this is only the case for Sixth (a car rental company) and, since August 2010, for ATMs managed by Travelex12.</w:t>
        <w:br/>
        <w:t>28. These different situations remain marginal today, representing, for the year 2008, less than 1% of the total volume of transactions conducted using CB, MasterCard, and Visa cards combined. However, they are expected to be used more frequently in the future, particularly due to the possibility, opened since January 1, 2011, of using the "CB" network without being a member.</w:t>
        <w:br/>
        <w:t>D. THE RELEVANT BEHAVIORS</w:t>
        <w:br/>
        <w:t>1. THE INTERBANK COMMISSIONS RELATED TO THE USE OF A "CB" CARD</w:t>
        <w:br/>
        <w:t>29. The interbank commissions of the GIE are collected either systematically, at each use of the card, in its payment or withdrawal function (a), or occasionally, at the time of a service rendered on a one-off basis (b).</w:t>
        <w:br/>
        <w:t>9 Response of the GIE to the questionnaire of June 14, 2010 (reference 4259).</w:t>
        <w:br/>
        <w:t>10 Response from BNP to the request for information of September 29, 2010 (reference 6593).</w:t>
        <w:br/>
        <w:t>11 Response of the GIE to the questionnaire of June 14, 2010 (reference 4260).</w:t>
        <w:br/>
        <w:t>12 Response from Mastercard to the request for information of October 4, 2010 (reference 6582).</w:t>
        <w:br/>
        <w:t>-12-</w:t>
      </w:r>
    </w:p>
    <w:p>
      <w:r>
        <w:rPr>
          <w:b/>
        </w:rPr>
        <w:t>[Pages 13–15]</w:t>
      </w:r>
    </w:p>
    <w:p>
      <w:r>
        <w:t>a) Commissions systematically collected</w:t>
        <w:br/>
        <w:t>30. Bank cards have two main functions: payment and withdrawal.</w:t>
        <w:br/>
        <w:t>The interbank payment commission (IPC)</w:t>
        <w:br/>
        <w:t>Circumstances of the creation of the IPC</w:t>
        <w:br/>
        <w:t>31. By decision No. 88-D-37 of October 11, 1988, concerning the Groupement des cartes bancaires "CB", the Competition Council (hereinafter: "the Council") considered that the "interchange commission", collected by the issuing bank for each payment by bank card, did not comply with the provisions of Ordinance No. 45-1483 of June 30, 1945, prohibiting agreements, in that it "limited the negotiating capacity of the members of the group with respect to their merchant clientele". The Council examined the applicability of the provisions of the ordinance relating to the conditions for exemption from competition rules. In this perspective, it ordered the Groupement to adopt a commission based on "objective criteria that are notably related to the efforts of merchants to reduce the risks of fraud and abusive use".</w:t>
        <w:br/>
        <w:t>32. The Council and then the Paris Court of Appeal specified the conditions to be met to comply with this requirement of objectivity. By decision No. 89-D-15 of May 3, 1989, the Council considered that the new methods for determining the commission, renamed IPC, were not in compliance with the injunction issued.</w:t>
        <w:br/>
        <w:t>33. Ruling within the framework of its power of evocation, the Court of Appeal, seized of an appeal, specified, in a judgment of April 26, 1990, that the three types of costs covered by the IPC, namely the processing of the transaction, the implementation of collective security measures, and the payment guarantee, must be "individually observable and measurable, (...) the requirement for differentiation of the elements involved in the amount of the commission [being] included in the initial injunction of the Competition Council". Furthermore, the court considered that the fixed costs incurred by the cardholder's bank should not be compensated in proportion to the amount of transactions, and that the portion of the commission related to the guarantee should show a continuous increase based on the fraud rate. Finally, the court found that the commission did not comply with the injunction issued in that it uniformly distributed the burden of insecurity among banks, without taking into account each bank's contribution to reducing fraud risks.</w:t>
        <w:br/>
        <w:t>34. The Council again sanctioned the GIE for non-compliance with the injunction by decision No. 90-D-41 of October 30, 1990. The GIE was particularly criticized for taking into account the opposition file from the day before the settlement of interbank transactions for determining the payment guarantee, such a delay compared to the day of settlement reducing the impact of fraud on the variable portion of the commission. For the rest, the Council considered that the structure of the IPC was in compliance with the injunction issued in decision No. 88-D-37.</w:t>
        <w:br/>
        <w:t>35. The methods for calculating the IPC were definitively established by decisions of the Management Council of the GIE dated May 11 and 23, 1990. In order to take into account the judgment of April 26, 1990, and decision No. 90-D-41, the GIE notably decided to determine the fraud rate by taking into account the day of settlement of the oppositions recorded on that date.</w:t>
        <w:br/>
        <w:t>36. The IPC was then notified to the European Commission. A comfort letter was issued to the Groupement on October 30, 2000, by the Directorate-General for Competition of the Commission, stating that the notified provisions "do not fall under Article 81 (...) because they do not affect trade between Member States".</w:t>
        <w:br/>
        <w:t>37. The GIE did not conduct a study of the costs of cardholder banks after 1990: it was only in 2010, within the framework of the present case of commitments, that it produced a new study. Furthermore, the common components of this commission, relating to fixed processing costs and collective security measures, have not been subject to a new evaluation since 1990.</w:t>
        <w:br/>
        <w:t>The principle of the IPC</w:t>
        <w:br/>
        <w:t>38. The IPC is paid by the acquiring bank (merchant's bank) to the issuing bank (cardholder's bank) in the case of interbank transactions. In the case of intrabank transactions, no commission is due.</w:t>
        <w:br/>
        <w:t>39. Intrabank transactions do not only cover transactions concerning the same bank, but also transactions between banks belonging to the same "CIP group". A CIP group is a set of banks, constituted by a "member" CB and its subsidiaries in which it holds 51% of the capital, or by all establishments linked to a central body, within which "no interchange commission is due", and "whose card risk is calculated globally".</w:t>
        <w:br/>
        <w:t>The structure of the IPC</w:t>
        <w:br/>
        <w:t>40. According to the GIE, the IPC, which applies to each payment operation made using a "CB" card at a "CB" merchant, aims "to compensate three services rendered by the issuing bank to the acquiring bank". These services correspond to the minimum obligations that "every CB member and CB group entity must implement to fulfill its role as an issuer of CB cards", detailed in the Internal Regulations of the Groupement.</w:t>
        <w:br/>
        <w:t>41. These are:</w:t>
        <w:br/>
        <w:t>the processing of the transaction, which corresponds to the fixed processing costs incurred by the cardholder's bank to process the transaction. The cost of this processing was evaluated by the Management Council of the GIE on May 23, 1990, at 0.70 F, an amount converted to 0.1067 euros by motion of June 16, 2000. In its 1990 decision, the Competition Council detailed the cost items taken into account in this component of the IPC. The fixed portion covers "the processing fees for each transaction [and] includes various items, respectively related to the reception costs by the cardholder's bank of the accounting movements issued by that of the merchant, claims management, IT processing, issuance for the cardholder, accounting entry management, account management, and postal charges". The decision adds "that these charges relate to operations necessary for the proper functioning of the system; that the fact that they are not exclusively linked to transactions made at merchants is not sufficient to deprive the calculation of the interbank payment commission of objectivity, which is not directly applicable to merchants";</w:t>
        <w:br/>
        <w:t>the implementation of collective security measures, which corresponds to preventive measures aimed at combating fraud, a component calculated based on a percentage of the transaction amount set by the Management Council on May 23, 1990, at 0.21%. In its aforementioned decision No. 90-D-41, the Council specified that this portion corresponded to various items related "to fraud prevention (authorization system and control of the secret code), fraud management (oppositions, monitoring of fraudulent transactions), insurance for exceptional risks, and the implementation of microprocessors in cards";</w:t>
        <w:br/>
        <w:t>the payment guarantee, the amount of which depends on the Interbank Rate of Cards in Opposition (TICO). This rate allows for the evaluation of fraudulently conducted operations, which are the responsibility of the issuer under its obligation to guarantee payments. This includes:</w:t>
        <w:br/>
        <w:t>o operations carried out by a stolen card after opposition;</w:t>
        <w:br/>
        <w:t>o operations carried out before opposition beyond the legal threshold of €150 that the cardholder who has not committed serious negligence benefits from;</w:t>
        <w:br/>
        <w:t>o operations carried out with a counterfeit card (payment at a physical point of sale);</w:t>
        <w:br/>
        <w:t>o operations carried out through the abusive use of data (remote payment);</w:t>
        <w:br/>
        <w:t>o operations made without entering the confidential code.</w:t>
        <w:br/>
        <w:t>In order to take into account the disparity of fraud rates between establishments, and their efforts to prevent fraudulent transactions, the amount of the TICO depends on the one hand on the "CIP group" to which the cardholder or acquiring establishment belongs, and on the other hand, on the pair of cardholder/acquiring establishments. The higher the amount of fraudulent transactions of a CIP cardholder group A with a CIP acquiring group B, the higher the amount of the TICO, and thus of the IPC, for B. As explained in the manual of interbank commissions and pricing CB, "this principle has been established to encourage acquiring banks to take all necessary security measures when accepting".</w:t>
        <w:br/>
        <w:t>The TICO is calculated quarterly for all CIP pairs.</w:t>
        <w:br/>
        <w:t>Among these three components, only the first two are fixed in their amount in a multilateral manner. The amount of the TICO, for its part, depends on the pair of banks concerned. The average level of the TICO is 0.04%.</w:t>
      </w:r>
    </w:p>
    <w:p>
      <w:r>
        <w:rPr>
          <w:b/>
        </w:rPr>
        <w:t>[Pages 16–18]</w:t>
      </w:r>
    </w:p>
    <w:p>
      <w:r>
        <w:t>The amounts of the IPC</w:t>
        <w:br/>
        <w:t>42. Due to fluctuations related to fraud rates, the unit amount of the IPC cannot be determined a priori. Consequently, the acquiring bank pays the issuing bank, at the time of each payment by CB card, an advance of 0.46% of the transaction amount24. This advance is subject to quarterly adjustment, based on the amount of the IPC of the pair of CIP groups to which the issuing and acquiring establishments belong.</w:t>
        <w:br/>
        <w:t>43. The IPC applied in 2008 to more than 5 billion transactions. Its revenue that year was between 1 and 1.5 billion euros25.</w:t>
        <w:br/>
        <w:t>The interbank withdrawal commission (IWC)</w:t>
        <w:br/>
        <w:t>The creation of the IWC</w:t>
        <w:br/>
        <w:t>44. The principle of a commission linked to the use of automated teller machines was adopted during the founding agreement of the GIE on July 31, 198426. This commission was subsequently amended by various motions from the Management Council (from 1987 to 1999)27.</w:t>
        <w:br/>
        <w:t>45. The IWC applies to "displaced" withdrawals (more than 500 million per year28), that is to say, withdrawals made by CB cardholders at ATMs (Automated Teller Machines) and bank ATMs "CB" managed by an establishment different from the issuing establishment of the card, or not belonging to the same IWC group as the issuing establishment29. An IWC group consists of a member of the Group and its subsidiaries holding more than 66.67%.</w:t>
        <w:br/>
        <w:t>46. The main components of the IWC were notified to the European Commission on August 24, 1990, and December 11, 1995. In the comfort letter dated October 30, 2000, mentioned above, the European Commission considered that the provisions of this commission "do not fall under Article 81 (...) because they do not significantly restrict competition within the meaning of that article".</w:t>
        <w:br/>
        <w:t>The structure of the IWC</w:t>
        <w:br/>
        <w:t>47. The IWC consists of a commission, called cash advance (CA), and two "counter-commissions": the withdrawal service commission (WSC) and the card service contribution commission (CSCC)30.</w:t>
        <w:br/>
        <w:t>48. Only the "cash advance" is systematically paid by the issuing establishment to the bank owning the ATM, while the two "counter-commissions" are only paid by certain issuing or managing establishments.</w:t>
        <w:br/>
        <w:t>The cash advance (CA)</w:t>
        <w:br/>
        <w:t>49. Originally, the commission linked to withdrawals was intended solely to compensate the cash advance granted by the bank owning the ATM to the client of the issuing bank. Article 18 of the founding agreement of the Group in 1984 provides that "each member undertakes to pay the Group a cash advance corresponding to the funds withdrawn by its clients from the machines of other members, allowing for the automatic distribution of cash, for a number of days set by the Management Council. This cash advance is distributed by the Group to the members providing the service according to the same terms".</w:t>
        <w:br/>
        <w:t>50. The notification of the IWC to the European Commission dated December 11, 1990, refers to other costs covered by the CA: "this remuneration is intended to cover the cost of the cash advance granted by the bank owning the ATM to the cardholder's bank during the period between the withdrawal date and the reimbursement date, as well as the average operating cost of the ATM (electricity, supplies, maintenance) and the processing of the transaction (telecommunication costs, IT processing, administrative management), excluding investment costs"31.</w:t>
        <w:br/>
        <w:t>51. The CA corresponds to a fixed unit amount of €0.72. Established in 1987 at an amount of 4.75 F (€0.724), the CA has been modified several times between 1990 and 1999, in a relatively marginal manner32.</w:t>
        <w:br/>
        <w:t>52. According to the GIE, the initial amount of the CA would have been set based on a cost study that it has not been able to provide: "Regarding the IWC, and more specifically its Cash Advance component, there was probably a cost study in the 1980s to determine its amount. We have not been able to locate it, but several documents refer to such a study"33.</w:t>
        <w:br/>
        <w:t>53. The notification of the IWC to the European Commission specifies in this regard that "the Group (...) has no means of assessing the costs incurred by its members in the context of their 'CB' activities, nor is it informed of them. (...) Moreover, the notion of cost is an eminently subjective notion in that the determination of a cost depends on the allocation method followed. However, according to companies, the methods vary considerably. No analytical accounting system defines a unique method of calculating costs or recommends one method over another. It is also frequently argued by accounting experts that a cost can only be determined based on the use to which a company puts it and that it has, in itself, no absolute meaning. It would therefore be irrational to determine an interbank commission based on costs whose structures would be heterogeneously defined, just as it would be unfounded to assess an interbank commission based on the costs of the banking establishments that pay or receive it"34.</w:t>
        <w:br/>
        <w:t>54. The cash advance itself represents about 1% of the average withdrawal amount by card, which stands at €68.83 in 200735, a figure that is relatively stable over time, as it corresponded, in constant euros, to €65.10 in 1985.</w:t>
        <w:br/>
        <w:t>The "counter-commissions" complementing the CA</w:t>
        <w:br/>
        <w:t>55. Following the creation of the IWC, the CA was supplemented by two "counter-commissions", intended to limit the imbalances that may exist between establishments, in terms of the number of displaced withdrawals and the number of served withdrawals.</w:t>
        <w:br/>
        <w:t>The withdrawal service commission (WSC)</w:t>
        <w:br/>
        <w:t>56. According to the GIE CB, the withdrawal service commission, created in 198936, "constitutes the remuneration for the service rendered by the 'CB' members who are heads of IWC groups managing ATMs to the 'CB' members who are heads of IWC groups that operate few or no ATMs but still guarantee their cardholders access to the entire 'CB' ATM network"37. This complementary commission for the benefit of managing establishments would therefore aim to enhance the productivity of investments made by establishments in the field of electronic payment, and to take into account the contribution made by the managing members of ATMs to other establishments. In its proposal for commitments, the GIE CB added that this commission was intended "to ensure the sustainability of the interbank withdrawal service 'CB' by discouraging parasitic behaviors from certain members who (...) do not install any ATMs and thus only provide their cardholder clients with interbank withdrawal services".</w:t>
        <w:br/>
        <w:t>57. This commission is only due if the issuing establishment belongs to an IWC group that operates few or no counters. If the service rate of this group (which corresponds to the ratio between the number of served withdrawals38 and the total number of withdrawals made - served and displaced) is less than 33.333%, the IWC group must then pay a WSC on each displaced withdrawal.</w:t>
        <w:br/>
        <w:t>58. In this case, the unit amount of WSC paid by each group varies linearly and proportionally to the service rate of that group. When this rate is equal to 33.333% (the establishments of the group serve one withdrawal for every two displaced withdrawals by their cardholders), the amount of the WSC is zero. Conversely, when the service rate of the group is zero (the establishments of the group serve no withdrawals), the amount of the WSC is set at €1.6639. The GIE CB has "no record of cost studies conducted to set [this] amount", which was "in reality (...) set following heated debates among the CB members, which resulted in a point of equilibrium"40.</w:t>
        <w:br/>
        <w:t>The card service contribution commission (CSCC)</w:t>
        <w:br/>
        <w:t>59. The CA and the WSC were supplemented in 199541 by a second "counter-commission", intended to take into account "the contribution to the interbanking 'CB' of the members of the Group whose cardholders make withdrawals at the ATMs or counters</w:t>
      </w:r>
    </w:p>
    <w:p>
      <w:r>
        <w:rPr>
          <w:b/>
        </w:rPr>
        <w:t>[Pages 19–21]</w:t>
      </w:r>
    </w:p>
    <w:p>
      <w:r>
        <w:t>managed by other members (displaced withdrawals) "42. Unlike the AT and the CSR, the CSC is owed by the CIR group of the managing establishment to the CIR group of the issuing establishment. According to the GIE, it serves to compensate, if necessary, the imbalance resulting from the low usage by cardholders of banks in one CIR group of the network of ATMs managed by establishments belonging to a different CIR group. In its proposal for commitments, the GIE CB added that this commission was intended to deter "the parasitic behaviors of certain members who (...) only install ATMs without having issued cards, thus ensuring the absence of displaced withdrawals by their clients."</w:t>
      </w:r>
    </w:p>
    <w:p>
      <w:r>
        <w:t>60. This commission is only owed if the service rate of the CIR group is greater than 66.666%. In this case, the amount of the commission varies linearly and proportionally: when the service rate is equal to 66.666% (the establishments serve two withdrawals for one displaced withdrawal by their cardholders), the amount of the CSC is zero. Conversely, when the service rate is equal to 100% (the cardholders of the establishments make no displaced withdrawals), the amount of the commission is set at €0.32 43. Like the CSR, the GIE has "no record of cost studies conducted to set [this] amount," which was "in reality (...) set following heated debates among CB members, which resulted in a point of equilibrium" 44.</w:t>
      </w:r>
    </w:p>
    <w:p>
      <w:r>
        <w:t>The interbank cash withdrawal commission at the counter (or cash advance)</w:t>
        <w:br/>
        <w:t>61. The establishment of an interbank commission related to requests for cash withdrawals at the counter was decided by the Management Board on May 15, 1992 45. This commission is paid by the cardholder's bank to the bank that dispenses the cash.</w:t>
      </w:r>
    </w:p>
    <w:p>
      <w:r>
        <w:t>62. Its amount consists of a fixed part of €3.81, intended to compensate for fixed costs of personnel, handling, and processing, and a variable part, set at 0.45% of the withdrawal amount which "represents the cash advance" 46. This amount has never been re-evaluated 47. The notification of this commission to the European Commission indicates that "the values of these components were established based on the information provided by the members of the Group. The values retained, however, do not constitute averages but rather points of equilibrium between the interdependent offers and demands from the members of the Group" 48.</w:t>
      </w:r>
    </w:p>
    <w:p>
      <w:r>
        <w:t>63. This commission was notified to the European Commission on December 18, 1992 49 and was considered not to significantly restrict competition within the meaning of Article 81 EC 50.</w:t>
      </w:r>
    </w:p>
    <w:p>
      <w:r>
        <w:t>64. Paid operations currently represent a marginal volume (less than 5,000 in 2009 51) due to the development of the ATM network. The cash withdrawal service at the counter is therefore set to disappear 52.</w:t>
      </w:r>
    </w:p>
    <w:p>
      <w:r>
        <w:t>42 GIE response of May 25, 2009, reference 2779.</w:t>
        <w:br/>
        <w:t>43 This maximum amount, initially set at 2 F (€0.30) in 1995, has gradually been increased to 2.13 F (€0.32) in 1999, current maximum amount (cf. response of the Group on May 29, 2009, references 2780-2781).</w:t>
        <w:br/>
        <w:t>44 Minutes of the hearing of the GIE CB on December 16, 2010, references 9447-9448.</w:t>
        <w:br/>
        <w:t>45 Minutes of the meeting of May 15, 1992, reference 3013.</w:t>
        <w:br/>
        <w:t>46 Manual of interbank commissions and pricing CB, p.18, reference 9399.</w:t>
        <w:br/>
        <w:t>47 GIE response of May 29, 2009, reference 2782.</w:t>
        <w:br/>
        <w:t>48 GIE response of May 29, 2009, reference 9401.</w:t>
        <w:br/>
        <w:t>49 Reference 3010.</w:t>
        <w:br/>
        <w:t>50 Comfort letter from the Commission, reference 3008.</w:t>
        <w:br/>
        <w:t>51 Reference 9226</w:t>
      </w:r>
    </w:p>
    <w:p>
      <w:r>
        <w:t>b) Commissions collected on an occasional basis</w:t>
        <w:br/>
        <w:t>65. Other commissions set by the Management Board of the GIE are paid occasionally, in compensation for services rendered on a one-off basis.</w:t>
      </w:r>
    </w:p>
    <w:p>
      <w:r>
        <w:t>66. Their amount was determined "following heated debates among CB members, which resulted in a point of equilibrium." Indeed, the GIE has "no record of cost studies conducted to set [their] amount" 53.</w:t>
      </w:r>
    </w:p>
    <w:p>
      <w:r>
        <w:t>Pricing of "issuer call" fees</w:t>
        <w:br/>
        <w:t>67. The pricing of "issuer call" fees was decided by the Management Board of the GIE on November 22, 1996 54. This commission applies to CB payment operations for which a request for authorization by phone is made to the issuing establishment. According to the GIE CB, "it corresponds to a relatively rare situation (...): that where the acquirer must make a request for authorization while the network is unavailable at the time of this request. The issuer then requests to be called to provide the necessary authorization to guarantee the payments benefiting the acquirer. The commission provided corresponds to the compensation of the acquiring bank for the costs related to its call" 55. In the document sent to the investigative services on June 10, 2011, the GIE CB explains that "this procedure allows the issuer to conduct a review of more detailed information than that available in the authorization request before refusing or accepting the continuation of the payment operation. It can be used, for example, when the cardholder has exceeded their spending limit but the issuer believes that the payment operation could be authorized subject to further verification with the cardholder."</w:t>
      </w:r>
    </w:p>
    <w:p>
      <w:r>
        <w:t>68. The unit amount of the commission has been set at a flat rate of €7.62, and has never been modified 56. Between 2000 and 2008, the number of operations giving rise to the payment of the commission decreased by almost 60% 57. It reached [100,000; 200,000] in 2008 58.</w:t>
      </w:r>
    </w:p>
    <w:p>
      <w:r>
        <w:t>Pricing of documentation requests</w:t>
        <w:br/>
        <w:t>69. This pricing compensates for documentation requests related to payment operations, issued by the issuing establishments to the acquiring establishments 59, for example, in the event of a cardholder disputing a transaction. It was decided by the Management Board of the GIE on November 25, 1994, and November 22, 1996 60.</w:t>
      </w:r>
    </w:p>
    <w:p>
      <w:r>
        <w:t>70. The unit amount of the commission has been set at €5.34 61, and has never been modified. In 2009, [10,000; 30,000] documentation requests were processed 62.</w:t>
      </w:r>
    </w:p>
    <w:p>
      <w:r>
        <w:t>52 GIE response of July 5, 2010, reference 4264.</w:t>
        <w:br/>
        <w:t>53 Minutes of the hearing of the GIE CB on December 16, 2010, reference 9447.</w:t>
        <w:br/>
        <w:t>54 Minutes of the meeting of November 22, 1996, reference 9409.</w:t>
        <w:br/>
        <w:t>55 Minutes of the hearing of the GIE CB on December 16, 2010, reference 9446.</w:t>
        <w:br/>
        <w:t>56 GIE response of May 29, 2009, reference 2782.</w:t>
        <w:br/>
        <w:t>57 Pricing of "issuer call" fees, volume and amount, reference 3044.</w:t>
        <w:br/>
        <w:t>58 Reference 3044.</w:t>
        <w:br/>
        <w:t>59 Manual, op.cit., p.51, reference 9439.</w:t>
        <w:br/>
        <w:t>60 Minutes of the Management Board, references 9441 and 9443.</w:t>
        <w:br/>
        <w:t>61 Manual, op.cit., p.51, reference 9439.</w:t>
        <w:br/>
        <w:t>62 Electronic response from the GIE on January 6, 2011, reference 9226.</w:t>
      </w:r>
    </w:p>
    <w:p>
      <w:r>
        <w:t>Pricing of card operation cancellations (AOCT)</w:t>
        <w:br/>
        <w:t>71. This commission, decided by the Management Board of the GIE on November 25, 1994, and November 22, 1996 63, applies to cancellations of CB card operations, in their function of ATM withdrawals, cash withdrawals at the counter, and payments. Its objective is to "penalize acquiring banks in the case of operations compensated incorrectly or in duplicate" 64.</w:t>
      </w:r>
    </w:p>
    <w:p>
      <w:r>
        <w:t>72. The commission is set at €0.61. Its amount has never been modified since its creation 65. The AOCT commission on cards concerned a volume of [200,000; 300,000] operations in 2009 66.</w:t>
      </w:r>
    </w:p>
    <w:p>
      <w:r>
        <w:t>The capture service commission</w:t>
        <w:br/>
        <w:t>73. This commission was established by the Management Board on January 26, 1990, for the "captures" of cards in ATMs and on April 6, 1990, for card captures at merchants (cards not returned to cardholders, for example, in the case of repeated entry of an incorrect PIN).</w:t>
      </w:r>
    </w:p>
    <w:p>
      <w:r>
        <w:t>74. The commission is justified by the GIE due to the administrative costs incurred by the managing bank of the ATM or by the merchant's bank that performed the capture. The setting of its amount was determined by the Management Board on January 26, 1990: "Société Générale argues that all calculations show that the savings made on fraud by a quick capture of cards is far greater than 750F. BNP points out that, as far as it is concerned, administrative costs are around 75F, and that moreover, the right to reject already has an incentive effect. CCF believes that this service is included in the evaluation of the Withdrawal Service Commission. [The administrator of the Group] proposes that we stick to the sole remuneration of administrative costs which vary, according to banks, from 75 to 250 F and which are not included in the CSR. Crédit Lyonnais points out that the administrative burden from the exchange of transfers of 250F between establishments will be very high, and that consequently, we should reason on the balances of operations between banks" 67.</w:t>
      </w:r>
    </w:p>
    <w:p>
      <w:r>
        <w:t>75. Ultimately, the unit amount of the commission was set at 250 F, or €38. It has never been modified since its creation 68.</w:t>
      </w:r>
    </w:p>
    <w:p>
      <w:r>
        <w:t>76. The capture service commission is accompanied, when the capture has been performed by a merchant, by a card capture bonus, paid by the issuing bank to the acquiring bank, which in principle passes it on to its accepting client as an incentive to detect and capture fraudulent CB cards. This bonus was established in 1985 by the Executive Committee of the Group, acting by delegation from the Management Board 69. The amount of the commission is €115. It has never been re-evaluated since its creation 70.</w:t>
      </w:r>
    </w:p>
    <w:p>
      <w:r>
        <w:t>77. According to representatives of the CGPME, questioned about this bonus by the investigative services, "this bonus was probably linked to authorization requests by 63 Minutes of the Management Board, references 9421 and 9423. 64 Manual, op.cit., p.53, reference 9419. 65 GIE response of May 29, 2009, reference 9426. 66 Minutes of the hearing of the GIE CB on December 16, 2010, reference 9448. 67 Minutes of the Management Board meeting, reference 3066. 68 GIE response of May 29, 2009, reference 2785. 69 Response from the Group on May 25, 2009, reference 2785, Minutes of the meeting, reference 3072. 70 GIE response of May 29, 2009, reference 2785.</w:t>
      </w:r>
    </w:p>
    <w:p>
      <w:r>
        <w:rPr>
          <w:b/>
        </w:rPr>
        <w:t>[Pages 22–24]</w:t>
      </w:r>
    </w:p>
    <w:p>
      <w:r>
        <w:t>telephone, which are no longer in effect today. Such a capture would compromise the relationship with the client"71.</w:t>
      </w:r>
    </w:p>
    <w:p>
      <w:r>
        <w:t>78. According to the FCD, the capture fee is a "provision of the membership contract that is rarely applied," "a large sign indicating that the number of incidents of this type amounts to less than 20 per year." It also notes that the amount of the capture fee paid to the merchant is 110 euros72.</w:t>
      </w:r>
    </w:p>
    <w:p>
      <w:r>
        <w:t>79. In 2009, [0; 50,000] cards were subject to capture during a payment and [250,000; 500,000] during a withdrawal, resulting in the payment of capture management fees. [0; 50,000] capture fees were paid73.</w:t>
      </w:r>
    </w:p>
    <w:p>
      <w:r>
        <w:t>2. THE CLAUSES IN THE "CB" ACCEPTANCE CONTRACTS</w:t>
      </w:r>
    </w:p>
    <w:p>
      <w:r>
        <w:t>80. According to the Groupement's rules, a number of so-called mandatory clauses must be included in the acceptance contracts that GIE members offer to their clients who accept "CB" cards74.</w:t>
      </w:r>
    </w:p>
    <w:p>
      <w:r>
        <w:t>81. Among these clauses is particularly the rule "to honor all cards," under which the acquirer commits to accept all CB cards for the payment of purchases of goods or services offered to its clientele. In other words, the merchant cannot discriminate based on the type of CB card presented or based on the issuing institution of the card as long as they have signed a "CB" acceptance contract with their bank.</w:t>
      </w:r>
    </w:p>
    <w:p>
      <w:r>
        <w:t>E. PRACTICES DENOUNCED BY THE COMPLAINING ORGANIZATIONS</w:t>
      </w:r>
    </w:p>
    <w:p>
      <w:r>
        <w:t>82. According to the FCD, the multilateral interchange fees applicable to different payment methods constitute anti-competitive agreements that restrict, by their object and by their effects, competition in the market for collection services. These fees would establish floor prices in this market, which would hinder price setting by the free play of the market by artificially favoring their increase or decrease.</w:t>
      </w:r>
    </w:p>
    <w:p>
      <w:r>
        <w:t>83. The CdCF adopts a similar analysis for the specific case of the interbank payment commission set by the Groupement des cartes bancaires. According to it, the IPC has an anti-competitive object, as this agreement sets a uniform level of commission applicable for companies whose costs are different, which would also imply significant anti-competitive effects.</w:t>
      </w:r>
    </w:p>
    <w:p>
      <w:r>
        <w:t>84. The two complainants believe that the pricing practices committed cannot benefit from an exemption, as the conditions for application would not be met:</w:t>
        <w:br/>
        <w:t>- the interbank commissions would not be necessary for the proper functioning of a card payment system;</w:t>
        <w:br/>
        <w:t>71 Hearing report of October 26, 2010, reference 7369.</w:t>
        <w:br/>
        <w:t>72 References 7985-7986.</w:t>
        <w:br/>
        <w:t>73 Electronic responses from the GIE dated January 6, 2011, and February 4, 2011, references 9226 and 9540.</w:t>
        <w:br/>
        <w:t>74 Response from the GIE to the first part of the questionnaire dated May 7, 2009, references 9334-9335.</w:t>
      </w:r>
    </w:p>
    <w:p>
      <w:r>
        <w:t>- the IPC would not provide any benefit to users in that this commission would not be subject to an objective and transparent determination method with respect to merchants;</w:t>
        <w:br/>
        <w:t>- the IPC would be disproportionate in that it would eliminate any form of competition between issuing banks (by setting a uniform commission amount) and between acquiring banks (by charging the same IPC from all merchants, thus preventing them from offering their merchants an individualized payment guarantee).</w:t>
      </w:r>
    </w:p>
    <w:p>
      <w:r>
        <w:t>85. The FCD further considers that the non-discrimination clauses and "to honor all cards" in card payment operations should be prohibited as they deprive the acquirer of the possibility to choose between bank cards belonging to the same system, thereby reinforcing the anti-competitive effects of the interbank commissions.</w:t>
      </w:r>
    </w:p>
    <w:p>
      <w:r>
        <w:t>F. THE PRELIMINARY ASSESSMENT</w:t>
      </w:r>
    </w:p>
    <w:p>
      <w:r>
        <w:t>86. By letter dated September 13, 2010, the Groupement des cartes bancaires informed the investigation services that it was willing to propose commitments based on the provisions of I of Article L. 464-2 of the Commercial Code in order to put an end to the practices denounced by the FCD and the CdCF.</w:t>
      </w:r>
    </w:p>
    <w:p>
      <w:r>
        <w:t>87. The preliminary assessment of the practices, notified by the investigation services to the parties on February 7, 2011, conducted analyses and outlined the competition concerns that follow.</w:t>
      </w:r>
    </w:p>
    <w:p>
      <w:r>
        <w:t>1. THE RELEVANT MARKET</w:t>
      </w:r>
    </w:p>
    <w:p>
      <w:r>
        <w:t>a) The product market</w:t>
      </w:r>
    </w:p>
    <w:p>
      <w:r>
        <w:t>88. The analysis conducted in the preliminary assessment revealed that, from both the consumers' and merchants' perspectives, other payment methods, such as checks, cash, transfers, and direct debits, do not constitute close substitutes for payment cards.</w:t>
      </w:r>
    </w:p>
    <w:p>
      <w:r>
        <w:t>89. Several markets can be identified for the functioning of the card, which differ depending on whether it is used in its payment function or in its withdrawal function.</w:t>
      </w:r>
    </w:p>
    <w:p>
      <w:r>
        <w:t>90. Regarding the payment function of the card, three markets can be defined75:</w:t>
        <w:br/>
        <w:t>a "upstream" market where card payment systems compete to affiliate credit or payment institutions and provide them with services, such as network services enabling card transactions;</w:t>
        <w:br/>
        <w:t>two "downstream" markets:</w:t>
        <w:br/>
        <w:t>75 These distinctions correspond to the consistent practice of the European Commission (decisions of December 8, 2010, Visa MIF, case COMP/D-1/39.398, December 19, 2007, case COMP/34.759, Mastercard, and July 24, 2002, case COMP/29.373, Visa II).</w:t>
      </w:r>
    </w:p>
    <w:p>
      <w:r>
        <w:t>- a market for issuance where credit or payment institutions compete to distribute payment cards and provide certain associated services;</w:t>
        <w:br/>
        <w:t>- a market for acquisition where credit or payment institutions compete to affiliate merchants and provide them with services, particularly collection services.</w:t>
      </w:r>
    </w:p>
    <w:p>
      <w:r>
        <w:t>91. These two markets, although distinct, operate interdependently. The market for bank cards is, in fact, a two-sided market, with consumers holding a payment card on one side and merchants or other acquirers accepting this payment method on the other. This type of market is characterized by a particular form of network externality: cross-network externalities, whereby the utility provided by a good depends not only on the level of consumption by agents on one side of the market but also on the consumption of agents on the other side of the market. Indeed, owning a bank card is all the more valuable for its holder as the number of merchants accepting it is high. Conversely, the higher the number of cardholding customers, the more important it appears for merchants to accept card payments.</w:t>
      </w:r>
    </w:p>
    <w:p>
      <w:r>
        <w:t>92. Regarding the withdrawal function of the card, two markets can be identified:</w:t>
        <w:br/>
        <w:t>an upstream market where payment systems compete for the affiliation of credit institutions;</w:t>
        <w:br/>
        <w:t>a downstream market where credit institutions compete for the distribution of cards with a withdrawal function to consumers.</w:t>
      </w:r>
    </w:p>
    <w:p>
      <w:r>
        <w:t>93. Thus, when the card is used as a means of cash withdrawal, the market no longer functions as a two-sided market where network externalities can be observed.</w:t>
      </w:r>
    </w:p>
    <w:p>
      <w:r>
        <w:t>b) The geographical market</w:t>
      </w:r>
    </w:p>
    <w:p>
      <w:r>
        <w:t>94. In this case, the transactions concerned correspond only to domestic transactions, to which specific multilateral interchange fees apply. Cross-border transactions can only be carried out using international cards such as those from Visa or MasterCard, but not with CB cards. Thus, the geographical market that can be considered is the national market.</w:t>
      </w:r>
    </w:p>
    <w:p>
      <w:r>
        <w:t>2. POSSIBLE COLLUSIVE PRACTICES</w:t>
      </w:r>
    </w:p>
    <w:p>
      <w:r>
        <w:t>a) The Groupement des cartes bancaires used as a support for a possible collusive practice</w:t>
      </w:r>
    </w:p>
    <w:p>
      <w:r>
        <w:t>95. The GIE constitutes a grouping of several companies. It includes, in particular, credit institutions that aim to provide card payment services in the national market. It is itself responsible for representing and defending in court the collective and individual interests of its members regarding the interbank card payment system76.</w:t>
        <w:br/>
        <w:t>76 Article 3 of the constitutive contract of the GIE, reference 2052.</w:t>
      </w:r>
    </w:p>
    <w:p>
      <w:r>
        <w:rPr>
          <w:b/>
        </w:rPr>
        <w:t>[Pages 25–27]</w:t>
      </w:r>
    </w:p>
    <w:p>
      <w:r>
        <w:t>96. The preliminary assessment recalled that it follows from consistent decision-making practice and jurisprudence that professional organizations that bring together several companies in defense of their common interest can serve as a basis for an agreement among these companies. Regarding the GIE CB, the European Commission has thus considered that certain pricing measures adopted by its Management Board constituted a decision of association of companies77.</w:t>
      </w:r>
    </w:p>
    <w:p>
      <w:r>
        <w:t>97. The GIE can therefore be considered as a support for a potential collusive practice among its members, and more particularly among the member companies of the Management Board that adopted the interbank commissions described above.</w:t>
      </w:r>
    </w:p>
    <w:p>
      <w:r>
        <w:t>b) Analysis of multilateral interbank commissions</w:t>
      </w:r>
    </w:p>
    <w:p>
      <w:r>
        <w:t>98. The multilateral interbank commissions of the GIE are ceilings that apply in principle by default. However, no institution questioned by the investigation services was able to demonstrate the existence of bilateral interbank agreements78. The preliminary assessment thus concluded that it could not be excluded that the amounts determined by the GIE are systematically applied by the institutions, with the commissions then having to be considered as fixed interbank commissions.</w:t>
      </w:r>
    </w:p>
    <w:p>
      <w:r>
        <w:t>99. According to the Commission's communication regarding the application of Community competition rules to cross-border payment systems79, if a bilateral interbank commission agreement does not contravene the provisions prohibiting agreements, on the other hand, "any agreement on a multilateral interbank commission is a restriction of competition under Article 85 paragraph 1 [now Article 101, paragraph 1, TFEU], as it significantly limits the freedom of banks to individually establish their pricing policy." The Commission emphasizes that this restriction risks further distorting the behavior of banks towards their clients80.</w:t>
      </w:r>
    </w:p>
    <w:p>
      <w:r>
        <w:t>100. In this case, the joint determination of a single amount for each of the interbank commissions is therefore likely to create an identical financial burden for all institutions and deprive them of the possibility of determining this amount autonomously.</w:t>
      </w:r>
    </w:p>
    <w:p>
      <w:r>
        <w:t>101. The preliminary assessment conducted a competitive analysis of the various interbank commissions set by the GIE, presented below.</w:t>
      </w:r>
    </w:p>
    <w:p>
      <w:r>
        <w:t>Competitive analysis of the IPC</w:t>
      </w:r>
    </w:p>
    <w:p>
      <w:r>
        <w:t>102. Regarding the IPC, a commission linked to the payment operation, its potential influence on competitive conditions cannot be considered without taking into account the bifacial nature of the market on which this commission is applied. As explained above, there is an interdependence between the issuance market in which the cardholder and their bank are called to intervene, and the acquisition market formalized by the relationships between the card acceptor and their bank. This interdependence between the two sides of the market is likely to disrupt the identification of a "classic" obligation relationship, which unites a creditor and a debtor for a given service.</w:t>
      </w:r>
    </w:p>
    <w:p>
      <w:r>
        <w:t>103. The card payment operation to which the IPC is linked cannot, in fact, be clearly considered as the execution of a service for the exclusive benefit of one of the market players, due to, on the one hand, the interdependence of the demands of the cardholder and the acquirer (the card payment being the result of a joint decision) and, on the other hand, the impossibility of clearly distinguishing the costs and benefits derived by each party from the use of this payment method, as card payment benefits both the cardholder and the acceptor. Consequently, the IPC cannot be considered as a payment intended to correct the patrimonial imbalance resulting from a service rendered at the initiative or for the benefit of one of the two banks or its client.</w:t>
      </w:r>
    </w:p>
    <w:p>
      <w:r>
        <w:t>104. By its very nature as a commission linked to a payment operation, the IPC influences the competitive conditions on both sides of the card market, particularly on final prices. In the acquisition market, interbank commissions are thus potentially capable of setting prices, or a significant part of them.</w:t>
      </w:r>
    </w:p>
    <w:p>
      <w:r>
        <w:t>105. This characteristic of interbank commissions linked to payment operations has been noted by national and community competition authorities.</w:t>
      </w:r>
    </w:p>
    <w:p>
      <w:r>
        <w:t>106. In the aforementioned decision No. 88-D-37 concerning the interchange commission set by the GIE, the Competition Council considered that "the determination by the group of the interchange commission (...) limits the capacity of the members of the group with respect to their merchant clientele; indeed, the banks of merchants are encouraged to apply to their clientele commission rates established based on the amounts determined by the group and uniformly applicable to all these banks regardless of the particular situation of each of them."</w:t>
      </w:r>
    </w:p>
    <w:p>
      <w:r>
        <w:t>107. In its decision No. 10-D-28 of September 20, 2010, concerning the tariffs and conditions applied by banks and financial institutions for the processing of checks submitted for collection, the Competition Authority found that, "due to its potential influence on the level of final prices, the CEIC [interbank commission linked to check payment] has, by its nature, the capacity to restrict price competition, even in the absence of a floor price in the check deposit market." In the check issuance market, the Authority found that "the CEIC has generated an artificial increase in revenue for the banks involved," before concluding "that the creation of the CEIC aims to restrict the freedom of each bank to individually define its pricing policy and hinders the free setting of prices in the check market, artificially favoring their increase on the deposit side and their decrease on the issuance side. However, the essential objective of competition law is for every economic operator to autonomously determine the policy it intends to follow in the market (...). The CEIC must therefore be qualified as a restriction of competition by object within the meaning of Article L. 420-1 of the Commercial Code and Article 81, paragraph 1, EC"81.</w:t>
      </w:r>
    </w:p>
    <w:p>
      <w:r>
        <w:t>108. In its "Visa" decision of December 8, 2010, the Commission also specifies that one of the concerns expressed in the statement of objections relates to the fact that the CMI [multilateral interbank commissions] have the object and also the effect of appreciably restricting competition in the acquisition markets to the detriment of merchants and, indirectly, their clients. It appeared that the CMIs inflated the basis on which acquirers rely to set merchant service commissions, creating a significant common cost element for all acquirers82.</w:t>
      </w:r>
    </w:p>
    <w:p>
      <w:r>
        <w:t>109. At the end of this analysis, the preliminary assessment concluded that "the IPC is likely to restrict competition and could therefore be considered contrary to Community and national rules prohibiting agreements."</w:t>
      </w:r>
    </w:p>
    <w:p>
      <w:r>
        <w:t>Competitive analysis of other commissions</w:t>
      </w:r>
    </w:p>
    <w:p>
      <w:r>
        <w:t>110. Regarding the other commissions set by the GIE, the preliminary assessment stated that the previous analysis could not be directly transposed: either these commissions are justified by the GIE as counterparts for the occasional provision of a service by a bank or by its client for the benefit of another bank; this scenario applies to most commissions for exceptional operations, collected occasionally; or these commissions are collected systematically, but they do not belong to a market whose structure is bifacial, and a beneficiary party of a service that the commission remunerates can be identified.</w:t>
      </w:r>
    </w:p>
    <w:p>
      <w:r>
        <w:t>111. In both cases, there may exist an obligation relationship in which a debtor party and a creditor party can be identified.</w:t>
      </w:r>
    </w:p>
    <w:p>
      <w:r>
        <w:t>112. Thus, in the case of commissions related to cash withdrawals (whether made at an ATM or at a bank counter), the managing bank of the counter or ATM, by allowing the cardholder to make a withdrawal in its own network, provides a service to the cardholder and their bank, which incurs several types of costs: cash advance for the benefit of the cardholder's bank, operating and maintenance costs of the ATM, for example, or the time spent by the employee managing the withdrawal at the counter. The managing bank of the counter or ATM is therefore compensated for the costs it incurs during withdrawals made by cardholders from other banks through the payment of the "cash advance" component of the CIR, or the commission related to withdrawals served at counters, "cash advance."</w:t>
      </w:r>
    </w:p>
    <w:p>
      <w:r>
        <w:t>113. Most occasional commissions are similarly intended to compensate the bank providing the corresponding service or to allocate the cost of certain operations to the bank responsible for them. Indeed, in a logic of services rendered by one bank to another, the cost of the commission can be allocated to a bank if it or its client is responsible for the event that led to the execution of the service in question. This was emphasized by the Commission in its working document on multilateral commissions related to direct debits dated October 30, 200983.</w:t>
      </w:r>
    </w:p>
    <w:p>
      <w:r>
        <w:t>114. However, the amount of each of the commissions paid in these different situations has been set multilaterally, and thus without taking into account the processing costs specific to each of the service-providing banks. In its aforementioned decision No. 10-D-28, the Competition Authority thus analyzed the "commissions for related services" (CSC) created to compensate for occasionally rendered interbank services in the case of</w:t>
      </w:r>
    </w:p>
    <w:p>
      <w:r>
        <w:rPr>
          <w:b/>
        </w:rPr>
        <w:t>[Pages 28–30]</w:t>
      </w:r>
    </w:p>
    <w:p>
      <w:r>
        <w:t>check payments: "the creation of the eight CSC has replaced diversified cost profiles with a uniform financial burden, common to all banks, for each related service. The multilateral agreement in question has therefore limited the freedom of banks to independently and individually determine the level of CSC based on their costs and, indirectly, the prices and other conditions of the services provided to their clients"84. The Authority concludes that "the agreement to set the CSC at a uniform level has a restrictive object on competition"85.</w:t>
      </w:r>
    </w:p>
    <w:p>
      <w:r>
        <w:t>115. At the end of this analysis, the preliminary assessment concluded that "it cannot be excluded that the multilateral interchange commissions collected in remuneration for a service rendered may be contrary to the competition rules relating to the prohibition of agreements. These commissions are indeed likely to undermine the freedom of banks to autonomously determine the principle or amount of commissions based on their own costs."</w:t>
      </w:r>
    </w:p>
    <w:p>
      <w:r>
        <w:t>3. THE POTENTIAL IMPACT OF THE IPC AND THE CIR</w:t>
        <w:br/>
        <w:t>a) The potential impact of the IPC</w:t>
        <w:br/>
        <w:t>116. The preliminary assessment studied the potential impact of the IPC on the acquiring market as well as on the card issuance market.</w:t>
      </w:r>
    </w:p>
    <w:p>
      <w:r>
        <w:t>The potential impact on the acquiring market</w:t>
        <w:br/>
        <w:t>117. The impact of a multilateral interchange commission (MIC) on the acquiring market has already been noted several times by the European Commission.</w:t>
      </w:r>
    </w:p>
    <w:p>
      <w:r>
        <w:t>118. Thus, in its Visa decision of December 8, 2010, the Commission states that "in practice, it is the amount of the MIC that largely determines the amount of the service commission paid by the merchant"86.</w:t>
      </w:r>
    </w:p>
    <w:p>
      <w:r>
        <w:t>119. In its MasterCard decision of December 19, 2007, the Commission emphasized that the MICs applied to payment transactions were taken into account in the prices paid by merchants for their card collections: "the multilateral rule sets the level of interchange commission rates for all acquiring banks, which inflates the base on which they rely to set the fees charged to merchants. The prices set by acquiring banks would be lower if the multilateral rule did not exist and if the system provided for a rule prohibiting ex post pricing. (...) This results in a restriction of price competition among acquiring banks to the detriment of merchants (and their customers)"87.</w:t>
      </w:r>
    </w:p>
    <w:p>
      <w:r>
        <w:t>120. In this decision, the Commission conducted two quantitative analyses on the fees paid by merchants. The first analysis concerned several Member States where cross-border MICs apply by default to domestic card payment transactions. This analysis showed that MICs constituted a floor level for the fees charged to merchants, representing up to 73% of these fees88. A second analysis involving 17 acquiring banks compared the fees paid by merchants with the MICs of MasterCard, distinguishing merchants based on their importance in the clientele of the banks. This analysis showed that "MasterCard's MICs set a floor level for the fees charged to both small and large merchants. Even larger merchants, who one would expect to have the most negotiating power with their acquiring bank, cannot negotiate fees charged to merchants lower than the MICs"89.</w:t>
      </w:r>
    </w:p>
    <w:p>
      <w:r>
        <w:t>121. In its Visa II decision of July 24, 2002, the Commission also considered that the MIC of Visa "[imposed] (...) effectively a floor on the amount of fees charged to the merchant"90.</w:t>
      </w:r>
    </w:p>
    <w:p>
      <w:r>
        <w:t>122. According to the Commission, this restriction of competition in the acquiring market is likely to have an impact on final prices to consumers. As mentioned in the MasterCard decision, "customers making purchases at merchants who accept payment cards are likely to bear part of the cost of MasterCard's MICs, regardless of the payment method they use"91.</w:t>
      </w:r>
    </w:p>
    <w:p>
      <w:r>
        <w:t>123. In the context of this case, in order to study whether the IPC is likely to lead to the establishment of a floor price in the acquiring market, the investigating services requested the main banks active in France to provide, on the one hand, the average rates charged for merchants and, on the other hand, the rates applied for the 20 largest accepting clients.</w:t>
      </w:r>
    </w:p>
    <w:p>
      <w:r>
        <w:t>124. First, regarding the average rates for merchants, these were compared to the average level of IPC paid by each bank on its acquiring activity:</w:t>
        <w:br/>
        <w:t>Average Commission</w:t>
        <w:br/>
        <w:t>Share of IPC in the</w:t>
        <w:br/>
        <w:t>IPC (as % of the amount of Commission paid by</w:t>
        <w:br/>
        <w:t>Bank commission paid by the transaction) the merchant (as % of the</w:t>
        <w:br/>
        <w:t>the merchant amount of the transaction)</w:t>
        <w:br/>
        <w:t>Bank 1 [0.42; 0.52]% 0.55% [60; 100]%</w:t>
        <w:br/>
        <w:t>Bank 2 [0.42; 0.52]% 0.65% [60; 100]%</w:t>
        <w:br/>
        <w:t>Bank 3 [0.42; 0.52]% 0.60% [60; 100]%</w:t>
        <w:br/>
        <w:t>Bank 4 [0.42; 0.52]% 0.58% [60; 100]%</w:t>
        <w:br/>
        <w:t>Bank 5 [0.42; 0.52]% 0.49% [60; 100]%</w:t>
        <w:br/>
        <w:t>Bank 6 [0.42; 0.52]% 0.50% [60; 100]%</w:t>
        <w:br/>
        <w:t>Bank 7 0.50% Equivalent to 0.596% 83%</w:t>
        <w:br/>
        <w:t>Bank 8 [0.42; 0.52]% 0.55% [60; 100]%</w:t>
        <w:br/>
        <w:t>Bank 9 0.46% Equivalent to 0.483% 95%</w:t>
        <w:br/>
        <w:t>Bank 10 [0.52; 0.62]% No response ND</w:t>
        <w:br/>
        <w:t>Bank 11 [0.42; 0.52]% 0.64% [60; 100]%</w:t>
        <w:br/>
        <w:t>Bank 12 [0.42; 0.52]% 0.59% [60; 100]%</w:t>
        <w:br/>
        <w:t>Bank 13 [0.42; 0.52]% 0.72% [60; 100]%</w:t>
      </w:r>
    </w:p>
    <w:p>
      <w:r>
        <w:t>Note 1: The values in red correspond to values calculated by the investigating services, taking into account the average transaction amount at collection, and using a TICO of 0.04%.</w:t>
        <w:br/>
        <w:t>Note 2: The values in blue were calculated by the investigating services, based on the average amount of transactions at collection.</w:t>
      </w:r>
    </w:p>
    <w:p>
      <w:r>
        <w:t>125. Thus, it was found that on average, the rates applied to merchants by a given bank are higher than the IPC paid by that bank. The IPC represents a significant share of the fees paid by merchants, varying, depending on the banks, between 62% and 100% of the total of these fees.</w:t>
      </w:r>
    </w:p>
    <w:p>
      <w:r>
        <w:t>126. Secondly, regarding the rates applied to major clients, their analysis allowed determining whether these clients were able to negotiate rates lower than the IPC, and consequently, whether it constitutes a floor price in the acquiring market.</w:t>
      </w:r>
    </w:p>
    <w:p>
      <w:r>
        <w:t>127. The analysis was conducted on the same establishments as previously, with the exception of banks 7 and 992. The share of the IPC93 in the commission paid by the merchant was calculated for each of the major clients, and on average94.</w:t>
        <w:br/>
        <w:t>Average share of the IPC in the commissions</w:t>
        <w:br/>
        <w:t>Bank</w:t>
        <w:br/>
        <w:t>paid by the major clients</w:t>
        <w:br/>
        <w:t>Bank 1 93%</w:t>
        <w:br/>
        <w:t>Bank 2 96%</w:t>
        <w:br/>
        <w:t>Bank 3 104%</w:t>
        <w:br/>
        <w:t>Bank 495 75%</w:t>
        <w:br/>
        <w:t>Bank 5 – Bank 6 91%</w:t>
        <w:br/>
        <w:t>Bank 8 106%</w:t>
        <w:br/>
        <w:t>Bank 10 100%</w:t>
        <w:br/>
        <w:t>Bank 1196 94%</w:t>
        <w:br/>
        <w:t>Bank 1297 124%</w:t>
        <w:br/>
        <w:t>Bank 13 76%</w:t>
      </w:r>
    </w:p>
    <w:p>
      <w:r>
        <w:t>92 The analysis was not useful for these two establishments, as bank 7 indicated that it applied two rates to its accepting clients, one being substantially equal to the IPC, the other being higher than it (response to the questionnaire of September 22, 2010, reference 6573), and bank 9 applying the same rate for all points of sale (id, reference 6754).</w:t>
        <w:br/>
        <w:t>93 The amount of the IPC was assessed for the average collection value of each acquirer, assuming a TICO of 0.04%. This assumption on the TICO leads to an overestimation of the average share of the IPC in the merchant commissions of the largest clients, most of whom have fraud rates lower than 0.04%.</w:t>
        <w:br/>
        <w:t>94 When sufficient data was available, the average ratio was obtained by averaging the ratios of the major clients, weighted by the total value of collections. When the total value of collections was not available, an unweighted average was taken.</w:t>
        <w:br/>
        <w:t>95 Several major clients of this bank have a minimum perception for their merchant commission, which was not taken into account in the calculations. The rate of 75% is therefore likely slightly overestimated.</w:t>
        <w:br/>
        <w:t>96 The responses provided relate to the three main banks in the network of this bank, in terms of the number of accepted card transactions (Response to the questionnaire of September 22, 2010, reference 6373). The top twenty clients retained are those of the three banks for which responses were provided.</w:t>
        <w:br/>
        <w:t>97 The responses provided relate to the three main regional banks in the network of this bank, in terms of the number of accepted card transactions (cf. reference 6373). The top twenty clients referred to are those of the three banks for which responses were provided.</w:t>
      </w:r>
    </w:p>
    <w:p>
      <w:r>
        <w:rPr>
          <w:b/>
        </w:rPr>
        <w:t>[Pages 31–33]</w:t>
      </w:r>
    </w:p>
    <w:p>
      <w:r>
        <w:t>128. Thus, it has been found that, for the largest clients of banks, the fees for card collections are generally close to the amount of the IPC, or are slightly higher. The main exception concerns bank 12, whose case must be interpreted with caution, given that the main clients of this institution handle relatively small amounts of card collections compared to those of large clients of other banks.</w:t>
      </w:r>
    </w:p>
    <w:p>
      <w:r>
        <w:t>129. The results of this study can be compared to the qualitative elements provided by the FCD and the CdCF. In its response to the questionnaire sent to it on September 22, 2010, the FCD argues that "multilateral interchange fees are always fully passed on, regardless of the negotiating power of the acquirer and the efforts made to avoid this imposition"98. It further explains that it has gathered testimonies from three large retail chains, one of which describes the IPC as a "non-negotiable part" of the merchant commission99. Similarly, in its response dated November 8, 2010, the CdCF indicates that "while the pricing for a card collection from merchants may vary in its presentation, it at least reflects the full pass-through of the IPC"100.</w:t>
      </w:r>
    </w:p>
    <w:p>
      <w:r>
        <w:t>130. At the end of this analysis, the preliminary assessment concludes: "It thus appears that the IPC is likely to create a price floor in the acquisition market." As the Commission noted in the MasterCard decision, "in the absence of MIF, (...) the price that each bank would have the possibility to charge merchants would be entirely determined by competition rather than, to a large extent, by a collective decision made by the banks"101. In a competitive market environment, it would then be expected that merchants would pass on any potential decrease in their banking charges to their consumer clients.</w:t>
      </w:r>
    </w:p>
    <w:p>
      <w:r>
        <w:t>The potential impact on the issuance market</w:t>
        <w:br/>
        <w:t>131. The preliminary assessment noted that the study of the impact of the IPC on pricing conditions for issuance faced the difficulty, already highlighted in decision No. 10-D-28 of the Authority, of a lack of pricing transparency. Indeed, if there is no direct billing for the use of cards by their holders in their payment function, several items of indirect billing appear likely to contribute to this pricing, particularly the fees paid by cardholders102.</w:t>
      </w:r>
    </w:p>
    <w:p>
      <w:r>
        <w:t>132. Thus, Société Générale explains that "the annual fee corresponds, for a cardholder, to an objective and quality service (customer service, contacting the client in case of suspected fraud, tolerance in case of exceeding limits, etc.) and to services and rights that vary according to the type of card chosen"103. Among these services is the ability to "pay and withdraw cash." Crédit Agricole-LCL explains that the "holder" fees finance several services, including, in particular, "access to the payment systems mentioned on the card to make payments, withdrawals, and all other operations offered in these systems"104 or "the management fees for the cardholder's account." According to La Banque Postale, the payment cards it offers allow access to a wide range of services including "acceptance in payment as in withdrawal 24/7"105. Finally, Crédit Mutuel-CIC explains that "the services offered vary depending on the type of card. Among the many services offered, one can mention: making purchases easily in more than 220 countries at over 24 million merchants with an extended payment capacity depending on the card level"106.</w:t>
      </w:r>
    </w:p>
    <w:p>
      <w:r>
        <w:t>133. Furthermore, it cannot be excluded that certain other billing items, such as account maintenance fees, the non-remuneration of deposit accounts, or intervention fees that are due in case of payment incidents by card, contribute to the pricing for cardholders for their payment operations.</w:t>
      </w:r>
    </w:p>
    <w:p>
      <w:r>
        <w:t>134. Nevertheless, since the holder fees finance a multitude of services other than payment operations, such as cash withdrawal operations or certain insurance products, and since the other billing channels are indirect and may also finance several services, it has proven difficult to define a price for the use of the card by its holder. Therefore, it has not been possible, due to the lack of pricing transparency, to assess the effect of the IPC on this price.</w:t>
      </w:r>
    </w:p>
    <w:p>
      <w:r>
        <w:t>135. This difficulty was highlighted by UFC-Que Choisir during its hearing on December 13, 2010: "The consequences of interbank commissions are more visible on withdrawals than on payments. In general, there should be a 'clear' billing to consumers. Indeed, without direct billing, consumers cannot appreciate the effects of interbank commissions on the rates granted to them"107.</w:t>
      </w:r>
    </w:p>
    <w:p>
      <w:r>
        <w:t>b) The potential impact of the CIR</w:t>
        <w:br/>
        <w:t>136. The preliminary assessment has stated that the CIR is likely to have an impact on the issuance market, and more specifically on the pricing of out-of-network cash withdrawals, that is, withdrawals made at an ATM not belonging to the cardholder's bank network.</w:t>
      </w:r>
    </w:p>
    <w:p>
      <w:r>
        <w:t>137. Studying this impact requires determining the price of an out-of-network withdrawal for a cardholder. Withdrawal operations are not billed in the same way by all banks and for all cards. For prestige payment cards (Visa Premier, Visa Infinite, Gold MasterCard), out-of-network withdrawals are generally not billed directly. For standard payment cards (Carte Bleue Visa or Carte Bleue MasterCard primarily), it is possible to group banks into two categories regarding the billing of out-of-network withdrawals108:</w:t>
        <w:br/>
        <w:t>A first group of banks, the largest, includes banks that do not charge their clients directly for the first out-of-network withdrawals of a given month, but bill them directly after a certain number of out-of-network withdrawals. This is the case for banks 1 (4 free withdrawals per month, then €1 per withdrawal109), 4 (3 or 4 free withdrawals per month, then €1 per withdrawal110), 5 (up to 5 free withdrawals per month depending on regional branches, then €1 per withdrawal111), 6 (between 0 and 6 free withdrawals per month, then €1 per withdrawal112), 8 (between 2 and 5 free withdrawals, then €1 per withdrawal113), 9 (€0.95 per withdrawal114), 11 and 12 (between 0 and 6 free withdrawals, then between €0.9 and €1.1 per withdrawal115).</w:t>
        <w:br/>
        <w:t>A second, smaller group of banks includes institutions that never directly charge their clients for out-of-network withdrawals. This includes banks 14, 7, and 10.</w:t>
      </w:r>
    </w:p>
    <w:p>
      <w:r>
        <w:t>138. In addition to this direct billing for certain out-of-network withdrawals, the existence of indirect billing channels, such as the holder fee or account maintenance fees for example, cannot be excluded.</w:t>
      </w:r>
    </w:p>
    <w:p>
      <w:r>
        <w:t>139. Consequently, it has proven difficult to precisely define the actual rate for out-of-network withdrawals, and thus to study the effect of the CIR on the price of an out-of-network withdrawal. Nevertheless, it has been found that the price of out-of-network withdrawals billed directly to clients was higher than the level of the CIR paid by the banks studied. The preliminary assessment therefore concluded that "it cannot be excluded at this stage that the CIR constitutes a price floor for the pricing of ATM withdrawals made outside the cardholder's bank network. Moreover, this would respond to a logic of passing on to the cardholder the costs that this client incurs to their bank during out-of-network withdrawals."</w:t>
      </w:r>
    </w:p>
    <w:p>
      <w:r>
        <w:t>140. Furthermore, regarding the CSR, the preliminary assessment expressed concern that this component of the CIR "could constitute a barrier to entry into the issuance market." Indeed, by its very calculation method, the CSR imposes a penalty on CB members operating a low number of ATMs, which is, by nature, the case for a new entrant in the issuance market, such as an online bank independent of established banks. By increasing the CIR paid by the new entrant when one of its clients makes an out-of-network withdrawal, the CSR forces it to set higher rates for out-of-network withdrawals than its competitors or to limit, even render negative, its margin on these withdrawals. In both cases, the new entrant faces a competitive disadvantage compared to other banks.</w:t>
      </w:r>
    </w:p>
    <w:p>
      <w:r>
        <w:t>141. At the end of this analysis, the preliminary assessment concludes that the practices of the GIE are likely to be scrutinized under the provisions of Union law and domestic law prohibiting agreements.</w:t>
      </w:r>
    </w:p>
    <w:p>
      <w:r>
        <w:t>4. POTENTIAL JUSTIFICATION ELEMENTS</w:t>
        <w:br/>
        <w:t>142. The preliminary assessment has stated that, while the behaviors adopted by the GIE may be likely to infringe competition rules, they do not necessarily appear unjustifiable. The examination of the decision-making practice of national or community competition authorities shows, in fact, that similar practices have been accepted under certain conditions.</w:t>
      </w:r>
    </w:p>
    <w:p>
      <w:r>
        <w:rPr>
          <w:b/>
        </w:rPr>
        <w:t>[Pages 34–36]</w:t>
      </w:r>
    </w:p>
    <w:p>
      <w:r>
        <w:t>related to the setting of interbank commissions have been justified under certain conditions.</w:t>
      </w:r>
    </w:p>
    <w:p>
      <w:r>
        <w:t>143. A distinction has been made in this regard according to the type of commission concerned, commissions linked to a relationship of obligation between one bank and another bank or the client of another bank, intended to compensate for a service or to allocate a financial charge to the person responsible, on the one hand, and commissions without a direct link to a relationship of obligation between two banks, or between a bank and the client of another bank, on the other hand.</w:t>
      </w:r>
    </w:p>
    <w:p>
      <w:r>
        <w:t>a) Commissions not linked to a relationship of obligation between banks or their clients</w:t>
      </w:r>
    </w:p>
    <w:p>
      <w:r>
        <w:t>144. As specified above for the IPC, certain interbank commissions cannot be justified in principle by the remuneration for a service rendered or by the compensation of a cost by the bank that is responsible.</w:t>
      </w:r>
    </w:p>
    <w:p>
      <w:r>
        <w:t>145. These are interbank commissions (i) that are collected systematically, and whose existence is consequently not justified by a particular event during the use of the payment method, and (ii) that apply to operations carried out in a bifacial market, such as payment operations, where none of the banks involved on both sides of the market can be clearly identified as debtor or creditor.</w:t>
      </w:r>
    </w:p>
    <w:p>
      <w:r>
        <w:t>146. Not being directly justified by the provision of a service, the commission collected on the operation may, however, constitute a means of financing the payment system, and compensate, for example, for investments aimed at increasing the efficiency and security of the payment system, thus allowing for the broader use of a more reliable payment method than cash or checks. In its decision No. 88-D-37 mentioned above, the Competition Council defined the economic progress to which the interchange commission should be linked as follows: "the development of the bank card and the electronic means associated with it is likely to improve the efficiency, productivity, and security of the French payment system and thus contribute to economic progress."</w:t>
      </w:r>
    </w:p>
    <w:p>
      <w:r>
        <w:t>147. Therefore, the question posed is that of the appropriate standard for assessing the commission allowing for the achievement of these objectives. Two methods of evaluating these commissions have been used by the competition authorities.</w:t>
      </w:r>
    </w:p>
    <w:p>
      <w:r>
        <w:t>148. The first method, based on taking into account the costs that the issuing bank incurs during a card payment, is the one that was considered by the Competition Council in the context of the disputes related to the interchange commission of the GIE mentioned above. In its decision No. 88-D-37, the Council considered that the interchange commission must meet, in particular, "objective criteria." In its decision No. 90-D-41, the Council recognized that taking into account, for the calculation of the commission, the costs related to processing fees, collective security measures, and payment guarantees was not contrary to this requirement.</w:t>
      </w:r>
    </w:p>
    <w:p>
      <w:r>
        <w:t>149. This analysis was also followed by the European Commission in its decision of July 24, 2002, granting Visa a 5-year exemption benefiting commissions capped at the level of costs of certain services rendered by issuing banks.</w:t>
      </w:r>
    </w:p>
    <w:p>
      <w:r>
        <w:t>150. Subsequently, the European Commission nevertheless evolved towards another method of evaluating these commissions. This is particularly the case in its decision of December 8, 2010, in which it specifies that the commitments presented by Visa revising downwards the amount of its interbank commissions appear to comply "with the merchant indifference methodology (or tourist test) developed in the economic literature."</w:t>
      </w:r>
    </w:p>
    <w:p>
      <w:r>
        <w:t>151. This evolution is explained by several considerations.</w:t>
      </w:r>
    </w:p>
    <w:p>
      <w:r>
        <w:t>152. First of all, and as highlighted above, it appears difficult, for interbank commissions attached to a payment operation, to establish the existence of services performed exclusively for the benefit of the acquiring bank or its client. By nature, card payment benefits both the cardholder and the acquirer.</w:t>
      </w:r>
    </w:p>
    <w:p>
      <w:r>
        <w:t>153. Furthermore, the cost-based approach is not suitable for encouraging issuing banks to distribute the cards of a new payment system that would be more efficient than the existing system. Indeed, if issuing banks are, in both cases, compensated by the acquiring bank at the level of the costs of the services they provide to that bank, they derive no particular advantage from distributing one type of card over another. However, in the present case, competing payment systems of the GIE are developing in the French market.</w:t>
      </w:r>
    </w:p>
    <w:p>
      <w:r>
        <w:t>154. In its Visa decision of December 8, 2010, the Commission primarily relied on the "indifference test" methodology derived from the research of Professors J.-C. Rochet and J. Tirole. This research indicates that, based on reasonable assumptions, it is optimal, in order to maximize the surplus of users of payment methods, both merchants and consumers, to set the level of interchange commissions such that the fees paid by merchants for card acceptance do not exceed the transactional benefits they derive from using a card rather than another payment method, particularly cash. In other words, the maximum commission is set so that the merchant is indifferent between the use of a payment card or cash by their customer.</w:t>
      </w:r>
    </w:p>
    <w:p>
      <w:r>
        <w:t>155. According to this analysis, which the Commission also took into account in its examination of MasterCard's proposals on April 1, 2009, an interchange commission can encourage the promotion of efficient payment instruments, to the extent that it is passed on by issuing banks to cardholders. Indeed, when the commission is passed on to consumers, it allows them to receive appropriate price signals that enable them to internalize the effect of their decision to use the payment card on the merchant's well-being and, ultimately, to make the optimal choice of the payment instrument they use.</w:t>
      </w:r>
    </w:p>
    <w:p>
      <w:r>
        <w:t>156. Thus, rather than focusing on the costs of certain services provided by issuing banks for the benefit of merchants, as the Commission did in 2002, the indifference test method more directly takes into account the utility of merchants depending on whether the payment is made by card or in cash.</w:t>
      </w:r>
    </w:p>
    <w:p>
      <w:r>
        <w:t>157. From a technical standpoint, the implementation of this test leads to evaluating the transactional benefits of merchants related to the use of a card preferred over cash. This question requires taking into account the advantages of the card such as the speed of the transaction or the ease of administrative management of collections (absence of transport, unlike cash), but also the costs that card collections impose on merchants (in particular, equipment for card payment terminals, data transmission fees).</w:t>
      </w:r>
    </w:p>
    <w:p>
      <w:r>
        <w:t>158. Similarly, it can be noted that the application of the indifference test is appropriate to encourage the development of an efficient payment system. If we take the example mentioned earlier of the entry into the market of a card payment system that is more efficient than the existing system: if this new entrant offers a better service to merchants, the application of the indifference test will allow this new entrant to have higher merchant interchange fees, while the merchant will be indifferent between accepting one type of card or another. Issuing banks will have an incentive to preferentially distribute the payment cards of this new entrant, as they guarantee them, through the merchant interchange fees, higher revenues; if this new entrant offers a better service to cardholders, they will be more inclined to pay for the use of the new entrant's card rather than for that of the existing system. Issuing banks will then be able to extract part of the additional surplus from cardholders.</w:t>
      </w:r>
    </w:p>
    <w:p>
      <w:r>
        <w:t>159. The preliminary assessment thus concluded that the application of the indifference test to assess the level of interbank commissions applied during card payments allows for the development of more efficient payment systems.</w:t>
      </w:r>
    </w:p>
    <w:p>
      <w:r>
        <w:t>b) Commissions linked to a relationship of obligation between banks or their clients</w:t>
      </w:r>
    </w:p>
    <w:p>
      <w:r>
        <w:t>160. Regarding interbank commissions for which a relationship of obligation can be identified, which concern services performed by one bank for the benefit of another bank or the client of another bank, it seems logical that the bank that must perform a service on behalf of another bank or the client of another bank should be compensated and that the party originating the service should bear the cost.</w:t>
      </w:r>
    </w:p>
    <w:p>
      <w:r>
        <w:t>161. The question posed is that of the adequacy of a multilateral interbank commission to allow for this compensation of one of the banks.</w:t>
      </w:r>
    </w:p>
    <w:p>
      <w:r>
        <w:t>162. First, concerning interbank commissions related to exceptional operations, it is useful to refer to the European Commission's working document on the applicability of Article 81 EC to multilateral interbank payments in the SEPA direct debit. This document explicitly considers, in the case of exceptional operations, the existence of interbank commissions, particularly when they allow for "allocating costs to the users of the system who have given rise to" the exceptional operations. Indeed, such interbank commissions allow confronting users of the payment system "with the financial consequences of their own actions" and, consequently, "exposing them to adequate incentives to avoid errors," and promoting efficient use of the payment system. The Authority held a similar reasoning in its decision No. 10-D-28 for the commissions for ancillary services applied to payments by.</w:t>
      </w:r>
    </w:p>
    <w:p>
      <w:r>
        <w:rPr>
          <w:b/>
        </w:rPr>
        <w:t>[Pages 37–39]</w:t>
      </w:r>
    </w:p>
    <w:p>
      <w:r>
        <w:t>similar reasoning in its decision No. 10-D-28 for the commissions for ancillary services applied to payments by check: "the CSC aims to compensate for the costs incurred by a bank due to a transaction initiated by another banking institution or by its client, and thus to transfer the financial burden of a transaction to the parties responsible for the transaction in question (payer/drawn bank pair or beneficiary/collecting bank pair). Such an allocation particularly encourages the actors in the check payment system to eliminate errors or payment incidents for which they are responsible, as they must bear the financial burden, and consequently, to promote efficient use of this payment method."</w:t>
      </w:r>
    </w:p>
    <w:p>
      <w:r>
        <w:t>163. The use of interbank commissions in the case of an error by one of the banks is particularly relevant, since "the costs of erroneous transactions that are due to an error by one of the banks (...) can only be settled through interbank fees, and not through an interaction between the payer and the beneficiary"125.</w:t>
      </w:r>
    </w:p>
    <w:p>
      <w:r>
        <w:t>164. In the case of exceptional transactions initiated by the clients of the banks themselves, it seems inconceivable to use any instrument other than an interbank commission. Indeed, the reasoning in decision No. 10-D-28 regarding checks can be transposed to payment cards: "given the characteristics of the check payment system, the remuneration of the bank through a charge to its client does not allow for the optimization of the allocation of costs related to ancillary operations among the users of the check system. Indeed, in the absence of a prolonged contractual relationship between the issuer of a check and its beneficiary, the presenters do not always have the possibility to pass on the costs related to an ancillary operation for which they are not responsible, for example in the case of issuing a check without sufficient funds. Regarding exceptional operations (error, rejection...), their cost cannot be easily passed on, for example in the price of products sold by merchants. A private allocation of costs between payer and beneficiary being practically complex, if not impossible, only an interbank commission allows for the effective transfer of the financial burden of a transaction to the party responsible for it."</w:t>
      </w:r>
    </w:p>
    <w:p>
      <w:r>
        <w:t>165. Secondly, concerning commissions applied systematically and for which an obligation link is identifiable, the previous reasoning can be transposed. Indeed, when bank A is responsible for the service to be provided by bank B, the interbank commission is the appropriate tool for bank A to bear the costs it has incurred. Furthermore, when the client of bank A is the originator of the service from bank B, it seems difficult to use any tool other than an interbank commission, in the absence of a direct contractual relationship between the client of bank A and bank B.</w:t>
      </w:r>
    </w:p>
    <w:p>
      <w:r>
        <w:t>166. Consequently, the collection of an interbank commission appears justified for this type of operation, as long as a clear obligation link is identifiable. This is particularly the case for interbank commissions related to cash withdrawals (whether made at an ATM or a counter). For these operations, the managing bank of the ATM or counter advances the cash requested by the client of another bank and bears other costs, such as operating and maintenance costs of the ATM for ATM withdrawals or personnel costs for counter withdrawals. This service must therefore be compensated by the bank of the cardholder.</w:t>
      </w:r>
    </w:p>
    <w:p>
      <w:r>
        <w:t>167. Ultimately, whether the commission is exceptional or systematic, when an obligation link can be characterized, the multilateral nature of interbank commissions can be justified by the concern to limit transaction costs for banks.</w:t>
      </w:r>
    </w:p>
    <w:p>
      <w:r>
        <w:t>The Competition Authority thus noted, in its decision No. 10-D-28, the difficulty of bilateral negotiations between each pair of banks: "bilateral negotiations would have resulted in the conclusion of a very large number of agreements (...), given the number of actors involved, any quantitative reassessment requiring the renegotiation of all these contracts"126. This justification for the multilateral nature of interbank commissions is particularly relevant for commissions that apply relatively rarely, for which the transaction costs in the case of bilateral negotiation would be disproportionate compared to the amounts of the services involved.</w:t>
      </w:r>
    </w:p>
    <w:p>
      <w:r>
        <w:t>168. Clarifications have been provided by the European Commission and the Authority regarding the setting of the level of this type of interbank commission.</w:t>
      </w:r>
    </w:p>
    <w:p>
      <w:r>
        <w:t>169. Regarding the reference for setting interbank commissions associated with a given service, the aforementioned working document of the Commission states that the level of interbank commissions for exceptional operations "should not exceed the actual costs of a transaction R127 in order to avoid participants in the system being overcharged compared to the actual cost they have incurred for the system by giving rise to a transaction R"128. It is also specified that "a hypothetical system that would impose prohibitive rejection fees on its users would certainly reduce errors, as no consumer would wish to bear the financial consequences of a rejection. But at the same time, this reduction in errors would be far from efficient as the rejection fees would far exceed the external effects that any negligence by consumers could cause for the system"129.</w:t>
      </w:r>
    </w:p>
    <w:p>
      <w:r>
        <w:t>170. The Authority considered in decision No. 10-D-28 that "a commission level indexed to the cost of the most efficient bank is preferable, as it minimizes the impact on consumers by reducing costs that could influence the level of prices charged to clients. (...) interbank commissions for services rendered must, unless special circumstances arise, be set by reference to the processing cost achieved by the most efficient bank"130.</w:t>
      </w:r>
    </w:p>
    <w:p>
      <w:r>
        <w:t>5. ANALYSIS OF THE CONTRACTUAL CLAUSES IMPOSED BY THE GIE ON MERCHANTS</w:t>
      </w:r>
    </w:p>
    <w:p>
      <w:r>
        <w:t>171. As specified, the GIE provides that the acceptance contracts entered into between the acquirer and its bank must include a clause requiring the acquirer to accept all "CB" cards and approved "CB" cards (the "honor all cards" rule).</w:t>
      </w:r>
    </w:p>
    <w:p>
      <w:r>
        <w:t>172. In its decision of December 19, 2007, MasterCard, the European Commission found that this type of clause has the effect of preventing "merchants and acquirers from refusing certain recognizable MasterCard brands or products while accepting other cards or different MasterCard products. [This] obligation guarantees MasterCard card issuers the possibility of issuing multiple types of cards, generating different interchange commissions, being certain that merchants and acquirers will be required to accept all products"131. Consequently, "the functionality concerning the obligation to honor all products reinforces the restrictive effects of MasterCard's MIFs on price competition among acquiring banks"132. Thus, interbank commissions intended to be passed on to merchant billing, the rule imposing the obligation to honor all cards hinders merchants' ability to manage the cost of their payments in light of their different prices, thereby increasing the restrictive effects of these commissions.</w:t>
      </w:r>
    </w:p>
    <w:p>
      <w:r>
        <w:t>173. The preliminary assessment found that unlike the commissions set by MasterCard, the interbank commission collected by the GIE when paying by card (IPC) does not depend on the type of card used by the cardholder. The billing of services to the merchant and the acquirer is therefore not likely to be differentiated according to the type of card used. In this particular context, the rule to honor all cards does not seem to have a financial impact on the merchant and the acquirer, and the analysis of the European Commission does not appear directly transposable to the present case. As there is no differentiation of the IPC according to the type of card, the assessment concludes that the clause requiring merchants and acquirers to honor all CB cards does not currently appear to reinforce the restrictive impact of the IPC.</w:t>
      </w:r>
    </w:p>
    <w:p>
      <w:r>
        <w:t>G. IMPLEMENTATION OF THE COMMITMENT PROCEDURE</w:t>
      </w:r>
    </w:p>
    <w:p>
      <w:r>
        <w:t>1. INITIAL COMMITMENTS PROPOSED BY THE GROUPMENT DES CARTES BANCAIRES</w:t>
      </w:r>
    </w:p>
    <w:p>
      <w:r>
        <w:t>174. To address competition concerns, the Groupement des Cartes Bancaires submitted proposals for commitments to the Competition Authority on April 4, 2011. A summary of the competition concerns and the commitments proposed by the Groupement was posted online on the Authority's website on April 5, 2011, to gather comments from any interested third parties.</w:t>
      </w:r>
    </w:p>
    <w:p>
      <w:r>
        <w:t>175. In this first proposal, the Groupement des Cartes Bancaires proposed to revise the amount of interbank commissions related to the use of cards for non-professional purposes, primarily by reference to the associated costs, according to the following modalities:</w:t>
        <w:br/>
        <w:t>- set the IPC to an average amount of less than or equal to 0.32% for its multilateral component, to which the TICO component is added, the method of calculation of which would remain unchanged. Within this limit, the Groupement would remain free to determine the nature and level of any various components, and to provide for different commission amounts depending, in particular, on the type and amount of the transaction, the level of security of the transaction, or the type of cards;</w:t>
        <w:br/>
        <w:t>- set an amount for the "cash advance" component, renamed "ATM commission," of the CIR of less than or equal to €0.72;</w:t>
        <w:br/>
        <w:t>- maintain the two variable and non-systematic components of the CIR at their current level;</w:t>
      </w:r>
    </w:p>
    <w:p>
      <w:r>
        <w:rPr>
          <w:b/>
        </w:rPr>
        <w:t>[Pages 40–42]</w:t>
      </w:r>
    </w:p>
    <w:p>
      <w:r>
        <w:t>- set the interbank pricing for "issuer calls" fees at an amount not exceeding €6.91;</w:t>
        <w:br/>
        <w:t>- maintain the current level of the interbank cash withdrawal commission at the counter, which is €3.81 + 0.45% of the withdrawal amount;</w:t>
        <w:br/>
        <w:t>- set the interbank pricing for documentation requests at an amount not exceeding €8.80;</w:t>
        <w:br/>
        <w:t>- set the interbank commission for card capture services during an ATM withdrawal at an amount not exceeding €18.76;</w:t>
        <w:br/>
        <w:t>- set the interbank commission for card capture services during a payment transaction at an amount not exceeding €21.34;</w:t>
        <w:br/>
        <w:t>- apply, for the interbank pricing of card transaction cancellations, the results of the work carried out to comply with the injunction contained in decision No. 10-D-28 of the Authority.</w:t>
      </w:r>
    </w:p>
    <w:p>
      <w:r>
        <w:t>176. The Groupement proposed to implement the commitments for a duration of 5 years. In this proposal, the Groupement also proposed to reserve, in the absence of self-referral by the Authority, the possibility to remove or revise the commitments in the event of a significant change in any of the facts on which the Authority's decision is based.</w:t>
      </w:r>
    </w:p>
    <w:p>
      <w:r>
        <w:t>2. OBSERVATIONS RECEIVED DURING THE MARKET TEST</w:t>
      </w:r>
    </w:p>
    <w:p>
      <w:r>
        <w:t>177. Observations were made by the FCD, the CdCF, Eurocommerce, Leroy-Merlin, the National Council of Automotive Professions (CNPA), the Union of Household Appliance and Multimedia Groups (UGEM), the National Federation of Clothing (FNH), the Federation of Clothing Brands (FEH), the General Confederation of Small and Medium Enterprises (CGPME), the Professional Artisan Union (UPA), the Federation of Associated Trade Brands (FCA), the Union of Opticians under Brand (SynOpE), the Union of Watchmaking and Jewelry Trade (Saint Eloi); the Association for the Defense of Users of European Payment Means (ADUMPE), Metro, the Union of Independents (SDI), the French Union of Petroleum Industries (UFIP), the National Federation UBJO, the National Federation of Gardening Professions (FNMJ), the Union of Large City Commerce (UCV), EDF, the National Union of Hoteliers, Restaurateurs, Cafetiers, and Caterers (Synhorcat), Ikea, the Professional Association of French Companies Concessionaires or Operators of Highways or Road Works (ASFA), UFC-Que Choisir, the Consumers' Force Workers' Association (AFOC), the Consumer Defense, Education, and Information Association (ADEIC), La Banque Postale, BPCE, BNP Paribas, Société Générale, the Crédit Agricole Group, the Bank of France, the Office of Banking and Financial Coordination (OCBF), the French Banking Federation (FBF), Visa Europe, MasterCard, Afone, and Concert International.</w:t>
      </w:r>
    </w:p>
    <w:p>
      <w:r>
        <w:t>a) Observations from the applicants, other representatives of merchants, and merchants</w:t>
      </w:r>
    </w:p>
    <w:p>
      <w:r>
        <w:t>178. The applicants, the FCD, and the CdCF, as well as some of their members, other representatives of merchants, and merchants, presented observations in response to the market test. Several points are addressed therein.</w:t>
      </w:r>
    </w:p>
    <w:p>
      <w:r>
        <w:t>The scope of the proposed commitments</w:t>
      </w:r>
    </w:p>
    <w:p>
      <w:r>
        <w:t>179. Several contributions believe that the scope of the commitments published online, limited to cards used for non-professional purposes, is too restrictive (CdCF, Eurocommerce, Leroy Merlin, CNPA, CGPME, FCD, CNPA, UFIP, Adumpe, and EDF).</w:t>
      </w:r>
    </w:p>
    <w:p>
      <w:r>
        <w:t>180. The CGPME particularly believes that the distinction between cards used for professional purposes and others is not justified by the competitive analysis of practices. The anti-competitive effects highlighted by the Authority in the market test would not depend, in fact, on the nature of the cards in question.</w:t>
      </w:r>
    </w:p>
    <w:p>
      <w:r>
        <w:t>181. Adumpe and EDF add that these cards, which represent about 6% of payments in France, are associated with fees charged to merchants that are significantly higher than those attached to other cards (merchant fees of about 1.80%). However, the maintenance, in the proposal of commitments, of the rule "to honor all cards" practically prevents merchants from refusing to accept cards with high fees (Adumpe, UFIP).</w:t>
      </w:r>
    </w:p>
    <w:p>
      <w:r>
        <w:t>The proposals regarding the IPC</w:t>
      </w:r>
    </w:p>
    <w:p>
      <w:r>
        <w:t>182. The majority of contributions note preliminarily that the IPC should be considered as establishing a minimum price below which the service cannot be charged to merchants (Metro, Leroy Merlin, CNPA, UGEM, FNH, CGPME, UPA, FCA, Synope, Saint Eloi, Adumpe).</w:t>
      </w:r>
    </w:p>
    <w:p>
      <w:r>
        <w:t>183. The observations on the IPC also concern the existence of the IPC, its structure, and its level.</w:t>
      </w:r>
    </w:p>
    <w:p>
      <w:r>
        <w:t>The existence of the IPC</w:t>
      </w:r>
    </w:p>
    <w:p>
      <w:r>
        <w:t>184. According to the two applicants, the commitments related to the IPC proposed by the Groupement cannot be expected to address the identified competition concerns. Even if reduced, an interbank commission on payments would still be unjustified. A multilateral interbank commission would, in particular, not be necessary for the effective implementation of the "CB" payment system for the following reasons, developed by the FCD:</w:t>
        <w:br/>
        <w:t>- Firstly, there would be no causal link between an interbank commission and the advantages represented by the card, in terms of universality, modernity, and payment security. The FCD argues that the IPC constitutes a barrier to the acceptance of payments, that it cannot be considered as having enabled the financing of innovations, and that it does not protect merchants from fraud risks. In any case, it would not seem appropriate to encourage cardholders to use the card for all payments, especially those with very high or very low amounts;</w:t>
        <w:br/>
        <w:t>- Secondly, an examination of the use of cards belonging to payment systems operating without interbank commissions or having lower interbank commissions than the IPC would show that there is no correlation between the extent of card usage and any interbank commissions. For these different systems, card usage would have experienced exponential growth despite the absence or reduction of interbank commissions. The financing of payment systems would, in fact, already be ensured by the contributions of cardholders and the banking fees paid by merchants;</w:t>
        <w:br/>
        <w:t>- Thirdly, even if an interbank commission were to be attached to payments, it would not be necessary for it to be multilateral. Thus, the transfer of funds involved in the payment operation is practically carried out through bilateral compensations between banks. However, these bilateral compensations could also be accompanied by bilateral interbank commissions.</w:t>
      </w:r>
    </w:p>
    <w:p>
      <w:r>
        <w:t>The structure of the IPC</w:t>
      </w:r>
    </w:p>
    <w:p>
      <w:r>
        <w:t>The "TICO" component of the IPC</w:t>
      </w:r>
    </w:p>
    <w:p>
      <w:r>
        <w:t>185. Representatives of merchants contest the calculation method (i), or, more radically, the existence (ii) or the place of the TICO in the Groupement's proposal for commitments (iii).</w:t>
      </w:r>
    </w:p>
    <w:p>
      <w:r>
        <w:t>186. (i) The TICO, which ensures the financing of the guarantee of payments made by card, would be overestimated due to a number of factors distorting the adequacy of the TICO amount with the actual cost of fraud (FCD, CdCF, Leroy Merlin, Adumpe, UFIP, FCA, UCV). The first factor would be related to the inclusion, in the evaluation of the TICO, of non-fraudulent transactions but whose compensation occurs after the card opposition. Thus, for example, a transaction made on a Saturday with a card opposed on Sunday will be counted as a fraudulent transaction due to the late compensation of transactions made over the weekend (compensation only occurring on business days, and in the middle of the day). In this example, the non-fraudulent transaction is said to be "ticotée," meaning it is subject to the payment of the TICO. The second factor, presented by the FCD in the meeting, is related to situations included in fraud: transactions made with a lost or stolen card are considered fraudulent, as well as those made by the cardholder just before the latter opposes to avoid the debit of their purchases. The third factor of overestimation of the TICO amount is related to the inclusion of card transactions that were previously authorized. Authorization always occurs in the case of using a card with systematic authorization (7 to 8 million such cards being in circulation in France) and for all transactions exceeding a certain amount, or, randomly, for other transactions. Adumpe estimates that between 40 and 45% of card transactions are subject to authorization. The FCD adds that this proportion could be higher if the "CB" system were an online system, which allows for the systematic authorization requests through telecommunication flows. The online system would provide the merchant with the certainty of being paid as soon as the transaction is executed. Indeed, in the case of authorization from the issuing bank, the risk of fraud would become nonexistent, and the TICO should therefore not apply to authorized transactions.</w:t>
      </w:r>
    </w:p>
    <w:p>
      <w:r>
        <w:t>187. (ii) In general, Adumpe, Eurocommerce, Leroy Merlin, and EDF believe that the TICO should be eliminated. According to EDF, this tool is difficult to understand from the merchants' perspective. The SDI and the CdCF consider that fraud is already financed by the contributions of cardholders and the costs represented by preventive security measures for merchants.</w:t>
      </w:r>
    </w:p>
    <w:p>
      <w:r>
        <w:t>188. (iii) The place of the TICO in the Groupement's proposal is also subject to criticism. Representatives of merchants and some merchants (SDI, FCD, CdCF, Eurocommerce, CNPA, UGEM, St Eloi, FEH, EDF, Ikea) believe that the exclusion of the TICO from the commitments is unjustified and renders the rate of 0.32% artificial.</w:t>
      </w:r>
    </w:p>
    <w:p>
      <w:r>
        <w:rPr>
          <w:b/>
        </w:rPr>
        <w:t>[Pages 43–45]</w:t>
      </w:r>
    </w:p>
    <w:p>
      <w:r>
        <w:t>commitment on an average proportional amount</w:t>
        <w:br/>
        <w:t>189. For the FCD, Eurocommerce, Leroy Merlin, and the Adumpe, the setting of the IPC as a percentage of transactions is a source of inefficiency, as merchants' efforts to increase the average basket amount ultimately lead them to pay a higher commission.</w:t>
        <w:br/>
        <w:t>190. According to the Adumpe, the majority of costs related to the IPC are fixed costs independent of the transaction amounts. The FCD believes that if the IPC were to correspond to a variable amount, the commitment proposed by the GIE is not binding as soon as the transaction amounts exceed 95 euros. The commitment would therefore only have an effect for small transactions, which would be detrimental to acceptors whose average basket value is structurally high. However, to facilitate the acceptance of cards for low-value payments, the Adumpe proposes setting the IPC according to a tiered structure, with levels depending on the amounts of the transactions concerned.</w:t>
        <w:br/>
        <w:t>191. According to the CdCF, the SDI, and EDF, the commitment on an average amount of the IPC risks penalizing certain merchants, who have weaker negotiating power and will face higher commissions. Several merchant representatives believe that a commitment based on a simple average will worsen pricing opacity (FCD, Ikéa) and prevent real competition among banks (UGEM, FNH, CGPME, FCA, Synope, HBJO, FEH, FNMJ). Furthermore, this commitment would enshrine a discretionary right for the Groupement to modify the components of the IPC at any time (St Eloi, FCD, CdCF, Leroy Merlin) or to set commissions related to payments that vary according to the type of card used (Ikéa).</w:t>
        <w:br/>
        <w:t>192. Thus, the commitment on an average proportional amount cannot be considered without the removal of the rule to honor all cards (FCD, Eurocommerce): the Groupement's ability to introduce pricing differentiations based on the type of card used cannot be accompanied by the obligation for merchants to accept all "CB" cards.</w:t>
        <w:br/>
        <w:t>The method of determining the IPC</w:t>
        <w:br/>
        <w:t>193. According to the FCA, the FCD, the CdCF, and the CNPA, the cost-based method used by the Groupement for determining the IPC is opaque, preventing merchants from knowing the calculations made or the link between the result and the commitment figure. This method thus removes any possibility of control over the amount of the IPC (FCD, FEH). It would therefore be difficult to assess the content of the commitments without additional precision on the calculation methods of the IPC (ASFA, FCD).</w:t>
        <w:br/>
        <w:t>194. Only costs directly associated with the payment should be allocated for determining the IPC; however, these costs are not quantified in the proposal (Métro, UFIP, Synhorcat, SDI). Several merchant representatives therefore believe that an audit of the costs and revenues of issuing banks, funded by the Groupement and conducted by an independent agent, should be provided to ascertain the actual costs of a transaction by bank card (CdCF, UGEM, Adumpe, FEH).</w:t>
        <w:br/>
        <w:t>195. On the substance, the FCD considers that the Groupement has set the IPC without regard to "mirror" costs, that is, the costs incurred by the acquiring bank during card payments, symmetrically to the costs of the issuing bank. The FCD and ASFA further believe that the relevant criterion is that of the costs of the most efficient bank (a criterion retained by the competition authorities) and not that of average costs.</w:t>
      </w:r>
    </w:p>
    <w:p>
      <w:r>
        <w:t>The effects of the decrease in the IPC on merchant commissions</w:t>
        <w:br/>
        <w:t>196. Several merchant representatives believe that the decrease in the IPC should be accompanied by an automatic pass-through to merchant commissions (UPA, FCA, Synope, ASFA). This automatic pass-through would be necessary due to the absence of any possible negotiation between merchants and bankers when concluding the card acceptance contract (CNPA), especially for small local merchants or artisans, for whom merchant commissions would be very high (UPA).</w:t>
        <w:br/>
        <w:t>197. The absence of negotiation possibilities would lead to two consequences. The first would be that merchants, compelled to accept cards to meet the demand of cardholders, would be forced to finance the "cardholder" side of the market (EDF). The second would be that the decrease in the IPC would result in an increase in the price of other services related to card transactions (CdCF, FEH).</w:t>
        <w:br/>
        <w:t>The level of the IPC</w:t>
        <w:br/>
        <w:t>198. Most merchant representatives believe that the level of IPC proposed on April 4, 2011, by the Groupement remains too high.</w:t>
        <w:br/>
        <w:t>199. First, certain cost items taken into account by the Groupement for calculating the IPC would be foreign to merchants, as they would only concern the relationship between the issuing bank and its client (FCD, CdCF, Adumpe, EDF). According to Leroy Merlin and the Adumpe, the costs related to issuance are already financed by the contributions of the holders of the 60 million CB cards in France.</w:t>
        <w:br/>
        <w:t>200. Second, the level of the IPC would have been set without regard to the productivity gains achieved since 1988 (the date of the first decision by the Competition Council). These gains would primarily be related to the nature of the costs incurred during card payments, which would mainly be IT costs: over the concerned period (from the late 1980s to today), IT costs for equipment with comparable power would have halved every 18 months (FCD, Leroy Merlin, CNPA). Productivity gains would also be linked to improvements in technology: with the introduction of chip cards, transactions would be more secure, and payments would benefit from productivity gains (FEH). Finally, productivity gains would be related to the economies of scale achieved by the Groupement with the widespread use of the card (Ikéa, CGPME). Thus, there should be a decrease in unit costs inversely proportional to the growth rates of card usage (UFIP).</w:t>
        <w:br/>
        <w:t>201. Third, the proposed amount would be unacceptable in light of the commitments made by Visa and MasterCard to the European Commission (FNH, Synope, Adumpe, HBJO, FEH, UCV, Synhorcat, Ikéa). These two payment systems have indeed committed to an average commission amount not exceeding 0.20% or 0.30% (depending on the type of card used) whereas:</w:t>
        <w:br/>
        <w:t>- cross-border transactions, which are the only ones concerned by the commitments, would be more risky (as they are highly fraudulent) and more complex than domestic transactions, thus more costly for issuing institutions (FCD, CdCF, CGPME, Métro);</w:t>
        <w:br/>
        <w:t>- the difference between the commissions applicable to domestic transactions and those related to cross-border transactions would place national acceptors at a competitive disadvantage, especially since it is currently impossible in France to "surcharge" merchant commissions (Leroy Merlin);</w:t>
        <w:br/>
        <w:t>- in the context of building the single payment market (the "SEPA" project), the various European payment systems should comply with the commitments accepted by the Commission (CNPA).</w:t>
        <w:br/>
        <w:t>202. Fourth, the proposed amount would be too high compared to the interbank commission amounts applicable abroad (FCD, CdCF, Eurocommerce, Adumpe). Thus, other European national payment systems would apply significantly lower commissions related to debit cards, with levels ranging between 0.1% and 0.2% of the transaction for an average basket of 50 euros. In the United States, the Federal Reserve's proposal would consider capping interchange fees at a level of 12 cents (0.09 €).</w:t>
        <w:br/>
        <w:t>203. Fifth, the proposed amount would be too high in comparison to the cost of cash for merchants (FCD, SDI). This cost has, in particular, been evaluated by a large chain member of the FCD. The study conducted establishes a comparison at "equal baskets" (for the same transaction amount) between the cost of a cash payment and that of a card payment for the merchant. According to its results, the average cost of the card would be approximately 0.212% higher than the average cost of cash. Thus, according to the SDI, the decrease proposed by the Groupement has no effect on the more advantageous nature of a cash payment for merchants.</w:t>
        <w:br/>
        <w:t>204. Sixth, the rate proposed by the Groupement would be exorbitant compared to the actual costs of issuing banks (HBJO).</w:t>
        <w:br/>
        <w:t>Other commissions</w:t>
        <w:br/>
        <w:t>The interbank withdrawal commission (IWC)</w:t>
        <w:br/>
        <w:t>205. According to the FEH, a commitment on a practice that has raised competition concerns cannot consist of maintaining the status quo.</w:t>
        <w:br/>
        <w:t>206. The Adumpe further believes that the list of cost items included in the annex to the commitment proposal is opaque and fears that behind a change in the name of the commission, there will be no actual improvement in the competitive situation of banks and no real benefit for cardholders.</w:t>
        <w:br/>
        <w:t>The pricing of issuing calls</w:t>
        <w:br/>
        <w:t>207. The decrease in the amount of the commission related to issuing calls proposed by the Groupement would not be supported by actual costs (Adumpe), especially when comparing the proposed amount (6.91 €) with the maximum billing amount for calls dedicated to value-added services, set by ARCEP at 1.20 € per call or 0.75 € per minute (CdCF, FCA, Synope, HBJO, FNMJ).</w:t>
        <w:br/>
        <w:t>208. Furthermore, it would be difficult to understand what this commission covers (CNPA).</w:t>
        <w:br/>
        <w:t>The "cash advance" commission</w:t>
        <w:br/>
        <w:t>209. As observed for the IWC, a commitment on a practice that has raised competition concerns could not consist of maintaining the status quo (FCA, Synope, HBJO, FEH, FNMJ).</w:t>
      </w:r>
    </w:p>
    <w:p>
      <w:r>
        <w:rPr>
          <w:b/>
        </w:rPr>
        <w:t>[Pages 46–48]</w:t>
      </w:r>
    </w:p>
    <w:p>
      <w:r>
        <w:t>translate their demand for card payments into cash or checks if the costs associated with card payments were to increase significantly.</w:t>
      </w:r>
    </w:p>
    <w:p>
      <w:r>
        <w:t>230. The FBF emphasizes that the cooperation between banks is essential not only for the functioning of the payment system but also for ensuring its security and efficiency. The establishment of common standards and practices is crucial to maintain consumer trust and to facilitate the smooth operation of transactions across different banking institutions.</w:t>
      </w:r>
    </w:p>
    <w:p>
      <w:r>
        <w:t>231. Furthermore, La Banque Postale and the FBF argue that the success of the CB card system relies heavily on the collective efforts of all participating banks. A fragmented approach could lead to inconsistencies in service quality and security, ultimately undermining the advantages that the CB card offers to both consumers and merchants.</w:t>
      </w:r>
    </w:p>
    <w:p>
      <w:r>
        <w:t>232. In conclusion, the representatives of the banking sector stress the importance of a collaborative framework that allows for the sharing of costs and resources, which is vital for the continued growth and stability of the card payment system in France.</w:t>
      </w:r>
    </w:p>
    <w:p>
      <w:r>
        <w:rPr>
          <w:b/>
        </w:rPr>
        <w:t>[Pages 49–51]</w:t>
      </w:r>
    </w:p>
    <w:p>
      <w:r>
        <w:t>divert from the card if they had to bear the cost of the payment system. Conversely, the beneficiaries, namely the merchants, would be more inclined to participate in financing the system, as they would benefit from numerous advantages of using the card, such as payment guarantees, rapid crediting, or the ease of processing a card payment. It would therefore be necessary to organize monetary transfers between the beneficiary's bank and the payer's bank so that all parties involved in the payment contribute in a manner linked to the utility they derive from using the card, with the aim of promoting the use of payment cards.</w:t>
      </w:r>
    </w:p>
    <w:p>
      <w:r>
        <w:t>230. In particular, according to La Banque Postale and Crédit Agricole, interchange commissions such as the IPC would serve as a tool to promote the use of payment cards, a means of payment more efficient than cash or checks.</w:t>
      </w:r>
    </w:p>
    <w:p>
      <w:r>
        <w:t>The method of setting the IPC</w:t>
        <w:br/>
        <w:t>231. Regarding the setting of the interchange commission known as the IPC, La Banque Postale recalls, as a preliminary point, that the level of the IPC is negotiated on a multilateral basis by two categories of institutions, acquiring banks and issuing banks, which would have opposing interests.</w:t>
      </w:r>
    </w:p>
    <w:p>
      <w:r>
        <w:t>232. Concerning the method of setting and the appropriate reference for the IPC, it appears from the market test that not all banks share the same position.</w:t>
      </w:r>
    </w:p>
    <w:p>
      <w:r>
        <w:t>233. According to La Banque Postale, economic theory would show that, based on reasonable assumptions, multilateral interchange commissions meeting the indifference test, or tourist test133, would be economically efficient and desirable. This indifference test involves verifying that interchange commissions do not exceed a threshold corresponding to merchants' indifference between a card payment and a cash payment. However, La Banque Postale specifies that the practical implementation of this test poses problems for two reasons. On the one hand, and this point is also raised by Société Générale, the indifference test would not be perfectly conclusive, with Professor Tirole himself proposing methodological developments for this test. On the other hand, there is currently a lack of concrete studies on the comparative utility of card payments versus cash for merchants.</w:t>
      </w:r>
    </w:p>
    <w:p>
      <w:r>
        <w:t>234. Crédit Agricole and Société Générale are, for their part, more reserved about the relevance of the indifference test as a standard for assessing interchange commissions. These institutions point out that the indifference test has substantive shortcomings, namely that it does not sufficiently take into account, in particular, the contributions of the card in terms of security for both merchants and cardholders or the greater simplicity of processing card payments for merchants. Crédit Agricole also emphasizes that the indifference test would ignore the significant cost that banks must bear for the provision and processing of cash, estimated, for the Crédit Agricole group alone, at 750 million euros annually. As a result, both Société Générale and Crédit Agricole recommend, and not solely for reasons of practical implementation, that the IPC be set with reference to the costs borne by issuing banks.</w:t>
      </w:r>
    </w:p>
    <w:p>
      <w:r>
        <w:t>235. Furthermore, Société Générale and La Banque Postale remind us that the method of setting interchange commissions with reference to the costs of issuing banks has never been condemned by competition authorities, that it was even accepted by the Competition Council in 1990 and then by the European Commission in 2002, in the Visa II case, and that it is still being considered today in the United States for interchange commissions for debit cards.</w:t>
      </w:r>
    </w:p>
    <w:p>
      <w:r>
        <w:t>236. Finally, according to Afone, which is a payment institution, the Groupement should commit to applying differentiated IPC rates according to the profiles of CB members, taking into account, in particular, the importance of the card parks issued.</w:t>
      </w:r>
    </w:p>
    <w:p>
      <w:r>
        <w:t>The level of the IPC</w:t>
        <w:br/>
        <w:t>237. Regarding the level of the IPC, several institutions, such as BNP Paribas or La Banque Postale, note that the proposed IPC rate is lower than the average cost of banks as evaluated in an economic study submitted by the Groupement. The Groupement would thus, according to BNP Paribas, have anticipated a decrease in banks' costs that could be enabled by the introduction of new technologies.</w:t>
      </w:r>
    </w:p>
    <w:p>
      <w:r>
        <w:t>238. La Banque Postale adds that the current amount of the IPC and even more so the one proposed by the Groupement would likely be lower than what would result from an indifference test. This conclusion is based on the fact that the majority of merchants accept the CB card, which would prove that the card is profitable for merchants.</w:t>
      </w:r>
    </w:p>
    <w:p>
      <w:r>
        <w:t>239. Furthermore, the Banque de France notes that the formulation of the commitment proposed by the Groupement, which provides for a maximum amount of IPC on a weighted average basis, could promote the use of the card for small payments to the detriment of cash or checks, payment instruments that would generally be less efficient for society.</w:t>
      </w:r>
    </w:p>
    <w:p>
      <w:r>
        <w:t>240. In addition, banks express several risks that could result from adopting an IPC amount that is too low.</w:t>
      </w:r>
    </w:p>
    <w:p>
      <w:r>
        <w:t>241. Firstly, the Banque de France, BNP Paribas, and Société Générale consider that a too low IPC could harm the investments necessary for security and innovation. Indeed, banks, not recovering all their costs, might seek to reduce these costs and, in particular, limit their investments. This decrease in investments would translate into a global reduction in the level of service offered by the card, which would harm the development of this payment method. It could also result in an increase in fraud, which in turn could lead, in the long term, to a limitation of the payment guarantee offered to merchants, which is one of the main benefits of the card.</w:t>
      </w:r>
    </w:p>
    <w:p>
      <w:r>
        <w:t>242. Secondly, BNP Paribas and La Banque Postale mention a pricing risk for cardholders. These institutions refer to a report by the consulting firm CRA regarding the Australian example134. The limitation of interchange commissions imposed by the Australian central bank, by limiting the revenues of issuing banks, would ultimately have led to an increase in cardholder fees as well as a limitation of the loyalty programs offered by banks to cardholders. Furthermore, this increase in banking fees for consumers would not be compensated by a passing on by merchants of the reductions in their banking fees in the sale prices of their products, since this passing on would not have been demonstrated.</w:t>
      </w:r>
    </w:p>
    <w:p>
      <w:r>
        <w:t>243. Thirdly, La Banque Postale fears that the increase in banking charges that could result from a too significant decrease in the IPC might lead to consumers losing interest in the card and returning to cash and checks.</w:t>
      </w:r>
    </w:p>
    <w:p>
      <w:r>
        <w:t>244. Lastly, BNP Paribas and Crédit Agricole are concerned about the risk that a too substantial revision of the IPC might pose to the very sustainability of the CB system. These banks explain that if the issuance conditions of the CB system are too disadvantageous compared to those of Visa and MasterCard, particularly if the IPC is much lower than the interchange commissions of these systems, banks might be tempted to issue cards from international issuers rather than CB cards. In the same vein, the FBF fears that a too significant decrease in the IPC might ultimately lead to the development of closed and more opaque 3-point systems.</w:t>
      </w:r>
    </w:p>
    <w:p>
      <w:r>
        <w:t>The method of setting the CIR</w:t>
        <w:br/>
        <w:t>245. Crédit Agricole and BPCE present the CIR, the interbank commission applied to displaced ATM withdrawals, as the financing instrument for the ATM network in France, which would guarantee the density of this network. This commission would therefore have a territorial planning function.</w:t>
      </w:r>
    </w:p>
    <w:p>
      <w:r>
        <w:t>246. Regarding the reference for this commission, BPCE explains that in its view, referencing the cost of the most efficient bank would be irrational and ineffective. Indeed, BPCE believes that the efficiency of a bank can only be assessed in light of the services rendered. It should not be overlooked that a bank showing a low cost may have achieved a reduced cost solely because it offers a more limited and/or lower quality service.</w:t>
      </w:r>
    </w:p>
    <w:p>
      <w:r>
        <w:t>The level of the CIR</w:t>
        <w:br/>
        <w:t>247. Firstly, BPCE notes that the proposed ATM commission amount by the Groupement is lower than the current average cost of banks for serving a displaced withdrawal. This bank also emphasizes that the absence of an increase in the ATM commission since its establishment is all the more remarkable given that, on the one hand, there has been monetary erosion and, on the other hand, security equipment is becoming increasingly expensive and ATMs are more efficient.</w:t>
      </w:r>
    </w:p>
    <w:p>
      <w:r>
        <w:t>248. Secondly, BPCE, Société Générale, and Crédit Agricole warn of the risk that a CIR amount that is too low could pose to the density of the ATM network. These institutions believe that an interbank commission that is too low would compromise the profitability of a significant number of ATMs, which banks might therefore be led to close. Such a development would, according to these banks, be detrimental to consumers.</w:t>
      </w:r>
    </w:p>
    <w:p>
      <w:r>
        <w:t>d) Observations of payment systems</w:t>
        <w:br/>
        <w:t>249. The payment systems MasterCard, Visa Europe, and the Concert International association representing the transaction acquisition sector have presented observations that mainly concern the IPC.</w:t>
      </w:r>
    </w:p>
    <w:p>
      <w:r>
        <w:rPr>
          <w:b/>
        </w:rPr>
        <w:t>[Pages 52–54]</w:t>
      </w:r>
    </w:p>
    <w:p>
      <w:r>
        <w:t>The procedure before the Authority</w:t>
        <w:br/>
        <w:t>250. MasterCard, which disputes the very existence of a restriction of competition on prices related to the establishment of interbank commissions, argues that the Authority should suspend its investigation pending the outcome of the appeal it has filed before the Court of the European Union against the Commission's decision of December 19, 2007.</w:t>
        <w:br/>
        <w:t>The existence of the IPC</w:t>
        <w:br/>
        <w:t>251. Visa Europe and MasterCard believe that interbank commissions are necessary for the effective implementation of payment card systems as they are the source of benefits for both cardholders and merchants. According to Concert International, which supports the proposals of the GIE CB, the "CB" system is characterized by its high degree of openness and security.</w:t>
        <w:br/>
        <w:t>252. Visa Europe mentions the advantages of card payment for merchants compared to cash payments, including savings on transport and security costs, reduced transaction times and fraud, guaranteed payments, and more efficient accounting. MasterCard fears that the procedure opened before the Authority may go against the objective of "fighting against cash," which is a more expensive means of payment than the card.</w:t>
        <w:br/>
        <w:t>253. More generally, Visa Europe indicates that the benefits resulting from technical innovations, facilitating online commerce or meeting the objectives of SEPA, stem from interbank commissions. MasterCard fears that the procedure opened before the Authority may discourage issuers' investments to develop secure technological solutions for electronic commerce.</w:t>
        <w:br/>
        <w:t>254. Furthermore, MasterCard argues that a default interbank commission is necessary in a four-party payment system operating under a rule requiring to "honor all cards," given the practical impossibility of defining the financial conditions of transactions bilaterally.</w:t>
        <w:br/>
        <w:t>255. Finally, according to Visa Europe, the Authority should ensure that its decision does not distort competition between four-party and three-party payment card systems. It indicates that the reduction of commissions applicable to four-party systems in Australia has led to an increase in the use of three-party systems, whose commissions charged to merchants are higher.</w:t>
        <w:br/>
        <w:t>The level of the IPC</w:t>
        <w:br/>
        <w:t>256. MasterCard and Visa Europe believe that the choice of the methodology on which the commitments presented by the GIE CB are based is not clearly defined.</w:t>
        <w:br/>
        <w:t>257. Visa Europe indicates that the conditions for applying the indifference test to credit and deferred debit cards have not yet been precisely determined. It specifies that the research of Professors Rochet, Wright, and Tirole135 recognizes that cash is not an adequate benchmark for this type of card, and that the "cost of avoided credit" should be taken into account. Similarly, cash would not constitute an adequate benchmark for transactions where cardholders are not present, or for amounts such that consumers would not take the risk of carrying cash. The GIE CB would thus not be justified in setting the same commission level for immediate debit card transactions and for credit or deferred debit card transactions. Differentiated commission levels would encourage consumers to use the most efficient payment methods.</w:t>
        <w:br/>
        <w:t>258. MasterCard believes that it is not currently possible to apply the indifference test methodology, in the absence of sufficiently reliable data to do so. It indicates that the methodology it uses to determine its interbank commissions is based on the costs incurred by the issuing bank.</w:t>
        <w:br/>
        <w:t>The general provisions of the proposal</w:t>
        <w:br/>
        <w:t>259. Visa Europe believes that the commitments should contain a revision clause allowing for consideration of changes in market conditions and the use of the most reliable data for the application of the "indifference test" in France.</w:t>
        <w:br/>
        <w:t>3. THE ADDITIONAL PROPOSALS FOR COMMITMENTS</w:t>
        <w:br/>
        <w:t>260. In light of the observations made by the complainants and third parties, the Groupement submitted a new proposal for commitments on June 10, 2011. In the meeting, several improvements, often significant, were made to this proposal, the final version of which is included in Annex 1 of this decision.</w:t>
        <w:br/>
        <w:t>261. The modifications made after the market test are as follows:</w:t>
        <w:br/>
        <w:t>- the scope of the commitments has been expanded. The commitments now include not only "consumer" cards but also "professional" cards. The latter are used in France for just over 6% of transactions;</w:t>
        <w:br/>
        <w:t>- the multilateral component of the IPC, currently averaging 0.47%, which was set in the initial commitments at a weighted average level of less than or equal to 0.32%, has been further reduced to a ceiling of 0.28%;</w:t>
        <w:br/>
        <w:t>Furthermore, the Groupement proposed to revise the calculation method of the "TICO," a tool used to finance payment guarantees, and whose rate is set bilaterally between pairs of banks. The Groupement proposed to restrict its base to transactions made by a card after the card has been opposed. This will notably exclude cases of abusive fraud by cardholders making transactions just before opposing the card, or non-fraudulent transactions recorded by the opposition file as fraudulent transactions due to their late compensation, made after their opposition. These measures must be effective by January 1, 2013, at the latest; otherwise, the amounts of "Bilateral Rate of Blocked Transactions" (TBTB, formerly "TICO") that have not been calculated in accordance with the commitments would be halved;</w:t>
        <w:br/>
        <w:t>- the level of the fixed component of the CIR has been reduced from €0.72 to €0.57;</w:t>
        <w:br/>
        <w:t>- regardless of the pricing and calculation methods of these two commissions, the Groupement also proposed to revise the general conditions of the commitments. The duration of the commitments has been shortened to 4 years. The revision clause, which allowed the Groupement to suspend or amend the commitments at its sole initiative in the absence of self-referral by the Authority, has been modified so that the revision of the commitments before their term results only from a decision of the Authority. Finally, the Groupement proposed to review, after obtaining the Authority's agreement, the application conditions of the "honor all the cards" rule in the event that it considers challenging the principle of a single IPC amount for all payments, regardless of the type of "CB" card used.</w:t>
        <w:br/>
        <w:t>II. Discussion</w:t>
        <w:br/>
        <w:t>262. According to the provisions of I of Article L. 464-2 of the Commercial Code, the Competition Authority may "accept commitments proposed by companies or organizations that are likely to address its competition concerns that may constitute prohibited practices referred to in Articles L. 420-1, L. 420-2, and L. 420-5."</w:t>
        <w:br/>
        <w:t>A. ON THE ADMISSIBILITY OF THE RESPONSE TO THE PAYFAIR MARKET TEST</w:t>
        <w:br/>
        <w:t>263. Payfair communicated its observations to the Authority on June 16, 2011, six weeks after the expiration of the deadline that had been given to third parties to respond to the market test (namely, May 5 inclusive). Therefore, its observations are inadmissible and have not been taken into account in the analysis of the commitments initially proposed by the Groupement.</w:t>
        <w:br/>
        <w:t>B. ON THE SCOPE OF DECISION NO. 90-D-41 OF THE COMPETITION COUNCIL AND THE COMFORT LETTER FROM THE COMPETITION DIRECTORATE OF THE EUROPEAN COMMISSION</w:t>
        <w:br/>
        <w:t>1. ON THE SCOPE OF DECISION NO. 90-D-41 OF THE COMPETITION COUNCIL</w:t>
        <w:br/>
        <w:t>264. In its responses to the requests for information from the investigation services, the GIE believes that "subject to a modification concerning the measurement of the fraud rate, [the calculation methods of the IPC] have been definitively validated by the Competition Council in its decision No. 90-D-41 of October 30, 1990, which ordered the Groupement to apply them"136.</w:t>
        <w:br/>
        <w:t>265. This observation raises the question of the legal scope of decision No. 90-D-41, the answer to which requires examining, on the one hand, the existence of rights that the Groupement may have acquired from this decision, and on the other hand, the evolution of the economic and legal context since the date of that decision.</w:t>
        <w:br/>
        <w:t>136 Response from the GIE to the second part of the questionnaire of May 29, 2009, reference 2776.</w:t>
      </w:r>
    </w:p>
    <w:p>
      <w:r>
        <w:rPr>
          <w:b/>
        </w:rPr>
        <w:t>[Pages 55–57]</w:t>
      </w:r>
    </w:p>
    <w:p>
      <w:r>
        <w:t>a) The absence of acquired rights by the Groupement</w:t>
        <w:br/>
        <w:t>266. According to European Union law, acts of community institutions enjoy a presumption of validity stemming from the principle of legal certainty137, a principle also applicable in national law138.</w:t>
        <w:br/>
        <w:t>267. In its activity report for the year 2005, the Conseil d’État specifies that "the principle of legal certainty assumes that the law is predictable and that legal situations remain relatively stable"139. Norms must therefore not be subject to too frequent variations, nor be unpredictable. According to the report, this consideration must, however, remain compatible with the necessity of reserving to political power and administration the necessary leeway for the implementation of its program and the exercise of its public service missions: "It follows [from these considerations] a principle of adaptation or mutability. The concept of legal certainty cannot indeed constitute, as some fear, a modern guise of legal conservatism, an institutionalized mechanism for the protection of acquired situations, even unjust ones, in the name of the stability of the rule of law"140.</w:t>
        <w:br/>
        <w:t>268. The balance point between the principle of legal certainty and the principle of "mutability" referred to here lies in the protection of acquired rights. In this regard, one can refer to civil jurisprudence concerning the application of Article 2 of the Civil Code, which states that "the law only applies for the future; it has no retroactive effect." According to this jurisprudence, a law is applicable to situations and legal relationships established before its promulgation only to the extent that it does not result in the infringement of acquired rights141.</w:t>
        <w:br/>
        <w:t>269. However, a sanction or injunction decision relating to anti-competitive practices cannot be qualified as an individual administrative act creating rights in favor of the concerned companies. This is the case in the present instance: the GIE was condemned in 1988 by the Competition Council by an injunction decision No. 88-D-37. As stated above, the Council merely noted, in its decision No. 90-D-41, that the structure of the IPC was in compliance with the injunction issued, according to which the commission had to meet objective criteria.</w:t>
        <w:br/>
        <w:t>270. It follows from the above that the Authority can examine the modalities of the IPC without the existence of acquired rights being opposed to it.</w:t>
        <w:br/>
        <w:t>b) The evolution of the economic and legal context</w:t>
        <w:br/>
        <w:t>271. The competitive analysis of behaviors involves taking into account the economic and legal context in which these behaviors are situated. The Court of Justice of the European Communities has thus recalled that the competitive analysis of an agreement must "particularly focus on the content of its provisions, the objectives it aims to achieve as well as the economic and legal context in which it is embedded (…)”142.</w:t>
        <w:br/>
        <w:t>137 CFI, Case T-276/04 of July 1, 2008, Compagnie maritime belge SA, § 59-60.</w:t>
        <w:br/>
        <w:t>138 Since the "Bosch" ruling of the Court of Justice on April 6, 1962 (case 13/61), legal certainty has been a general principle of community law. However, the general principles of community law must be respected by national authorities (ECJ, March 25, 2004, joined cases C-231/00, C-303/00 and C-451/00, § 57). Furthermore, the Conseil d’État has also enshrined the principle of legal certainty in national law (March 24, 2006, Société KPMG, No. 288460).</w:t>
        <w:br/>
        <w:t>139 La documentation française, p.282.</w:t>
        <w:br/>
        <w:t>140 Labetoulle, "Principle of legality and principle of security", Mélanges Guy Braibant, Dalloz, 1996.</w:t>
        <w:br/>
        <w:t>141 Cass.civ.3e, January 29, 1980, Bull.civ., No.25.</w:t>
        <w:br/>
        <w:t>142 ECJ, October 6, 2009, Glaxo, C-501/06, §58.</w:t>
        <w:br/>
        <w:t>272. However, in the present case, the economic and legal conditions have been significantly modified since the date of the injunction from the Competition Council in 1988. Indeed, from a means of payment whose use represented a small share of the total means of payment (less than 7% in 1986) but which was experiencing strong growth, the card has today become an essential means of payment, representing more than 42% of scriptural payments, but which no longer experiences the same growth rates as in its early days.</w:t>
        <w:br/>
        <w:t>273. Furthermore, contrary to the situation that prevailed in 1988, there are now several quadripartite card payment systems capable of processing domestic card payment transactions, such as Visa and MasterCard. Their situation is, of course, still marginal compared to that occupied by the GIE in domestic transactions, but it is nonetheless expected to evolve rapidly, particularly due to the possibility, opened since January 1, 2011, of using the "CB" network without being a member.</w:t>
        <w:br/>
        <w:t>274. From a legal perspective, multiple changes have modified the analytical framework of interbank commissions since the Council's decision.</w:t>
        <w:br/>
        <w:t>275. Firstly, in its decision No. 88-D-37, the Council ruled on the basis of Ordinance No. 45-1483 of June 30, 1945, relating to prices, in force at the date of the practices in question. However, the conditions for exemption from an anti-competitive agreement, now provided for in Article L. 420-4 of the Commercial Code, have been modified and aligned with the provisions of European Union law.</w:t>
        <w:br/>
        <w:t>276. Secondly, banking regulation has evolved with the establishment, since the early 1990s, of a unified market for banking activities and payment services at the European level. In particular, Directive 2007/64/EC on payment services, transposed into domestic law by Ordinance No. 2009-866 of July 15, 2009, provides the necessary legal basis for the establishment of the "Single Euro Payments Area" (SEPA), whose objective is to create a single payment area within which individuals and businesses can transfer funds in euros as safely, quickly, with the same rules and costs as they can currently do within their country of residence. The SEPA project is therefore part of the transition to the euro and contributes to the emergence of a single market for retail payments. Regulation No. 924/2009 of September 16, 2009, concerning cross-border payments in the Community, specifies in its recitals that, "to ensure the proper functioning of the internal market and facilitate cross-border trade within the Community, it is essential that the same charges apply to cross-border payments in euros and to the corresponding payments made within a Member State."</w:t>
        <w:br/>
        <w:t>277. Thus, the Competition Authority is required to take these various developments into account when assessing the practices referred to in the referrals.</w:t>
        <w:br/>
        <w:t>2. ON THE SCOPE OF THE COMFORT LETTER ISSUED BY THE COMPETITION DIRECTORATE OF THE EUROPEAN COMMISSION</w:t>
        <w:br/>
        <w:t>278. In its responses to the requests for information from the investigation services, the Groupement notes that the commissions systematically collected during a payment or withdrawal made using a CB card have been notified to the European Commission. By letter dated October 30, 2000, the Competition Directorate of the Commission then considered that these commissions did "not fall under the prohibition of Article 81.1, either because they do not affect trade between Member States (Interbank payment commission), or because they do not significantly restrict competition within the meaning of this article [CIR and cash advance]"143.</w:t>
        <w:br/>
        <w:t>279. In a ruling of December 11, 1980, the Court of Justice, however, clarified the limited legal value of comfort letters: "Based solely on the elements known to the Commission, such a letter, which reflects an assessment by the Commission and concludes a review procedure by the competent services of the Commission, does not prevent national courts, before which the incompatibility of the agreements in question with Article 85 [101 TFEU] is invoked, from making, based on the elements available to them, a different assessment of the agreements concerned." Thus, such a letter "is not enforceable against third parties and does not bind national courts. It constitutes only a factual element that national courts may take into account in their examination of the compatibility of the system in question with community law"144.</w:t>
        <w:br/>
        <w:t>280. In conclusion, the initial assessments of the Competition Directorate, contained in the comfort letter addressed to the GIE for the notified commissions (IPC and commissions applicable to cash withdrawals at ATMs or counters), cannot be opposed to the Competition Authority.</w:t>
        <w:br/>
        <w:t>C. ON THE APPLICABILITY OF EUROPEAN UNION LAW</w:t>
        <w:br/>
        <w:t>281. European Union law applies to practices that are likely to affect trade between Member States. It follows from community jurisprudence that, to be likely to affect trade between Member States, a decision, agreement, or practice must, based on a set of objective legal or factual elements, allow for a sufficient degree of probability that they may exert a direct or indirect, actual or potential influence on the flow of trade between Member States, in such a way as to raise concerns that they may hinder the realization of a single market between Member States. Furthermore, this influence must not be insignificant (judgment of July 11, 1985, Remia e.a./Commission, 42/84, Rec. p. 2545, point 22, of April 28, 1998, Javico, C-306/96, Rec. p. I-1983, point 16, and Ambulanz Glöckner, C-475/99, Rec. p. I-8089, point 48).</w:t>
        <w:br/>
        <w:t>1. THE EXISTENCE OF TRADE BETWEEN MEMBER STATES</w:t>
        <w:br/>
        <w:t>282. According to the European Commission's guidelines on the notion of affecting trade, "the notion of 'trade' is not 'limited to traditional cross-border exchanges of goods and services, but has a broader scope that encompasses all international economic activity, including establishment"145.</w:t>
        <w:br/>
        <w:t>283. Regarding banking activity related to means of payment, account must be taken of the community and national regulations of recent years, recalled more</w:t>
      </w:r>
    </w:p>
    <w:p>
      <w:r>
        <w:rPr>
          <w:b/>
        </w:rPr>
        <w:t>[Pages 58–60]</w:t>
      </w:r>
    </w:p>
    <w:p>
      <w:r>
        <w:t>and national in recent years, recalled above, aiming to establish the single banking market and the "SEPA" project. Gradually, the various means of payment are expected to have a community dimension.</w:t>
      </w:r>
    </w:p>
    <w:p>
      <w:r>
        <w:t>284. Furthermore, it can be recalled that the card represents, in terms of transaction volume, the primary means of payment used in France146, with its use, in volume and value, being in constant increase147. Under these conditions, a foreign bank wishing to enter the French market must be present both in the card issuance market and in the acquiring market.</w:t>
      </w:r>
    </w:p>
    <w:p>
      <w:r>
        <w:t>2. THE EXISTENCE OF PRACTICES LIKELY TO SIGNIFICANTLY AFFECT TRADE BETWEEN MEMBER STATES</w:t>
      </w:r>
    </w:p>
    <w:p>
      <w:r>
        <w:t>285. The aforementioned guidelines consider that horizontal agreements covering the entirety of a Member State are "normally likely to affect trade between Member States"148. The Court of First Instance of the European Communities deduced from this that "there is, at the very least, a strong presumption that a restrictive competition practice applied throughout the territory of a Member State is likely to contribute to market partitioning and to affect intra-community trade. This presumption can only be set aside if the analysis of the characteristics of the agreement and the economic context in which it is embedded demonstrates otherwise"149.</w:t>
      </w:r>
    </w:p>
    <w:p>
      <w:r>
        <w:t>286. However, this presumption alone is not sufficient to establish the significant nature of the impact on intra-community trade. Point 45 of the aforementioned guidelines specifies in this regard that "the assessment of the significant nature depends on the circumstances of each case, and in particular on the nature of the agreement or practice, the nature of the products concerned, and the market position of the companies involved. If the agreements or practices are, by their very nature, likely to affect trade between Member States, the threshold for significance is lower than that for agreements and practices that are not, by their very nature, likely to affect this trade. The stronger the market position of the companies involved, the more likely it is that an agreement or practice likely to affect trade between Member States can be considered to do so significantly."</w:t>
      </w:r>
    </w:p>
    <w:p>
      <w:r>
        <w:t>287. In the present case, the behaviors in question relate to a horizontal agreement concerning pricing conditions that apply to national transactions, regarding both national and foreign establishments. The GIE observes in this regard that "it should be noted that the place of issuance of the cards is not determinative for defining the applicable rules, nor is the fact that an establishment is of foreign law or not: what matters is the brand affixed to the card and whether or not it belongs as a member to the Group or to another system (Visa, MasterCard, or other); indeed, the regime and the rules applied will differ depending on whether the card bears the brand 'CB', Visa, MasterCard, or other"150. Thus, the GIE's commissions may be applied in the case of the use of cards issued by foreign credit institutions151, under the conditions described above152.</w:t>
      </w:r>
    </w:p>
    <w:p>
      <w:r>
        <w:t>288. Moreover, the behaviors subject to the present case were adopted by the GIE CB, whose Board of Directors includes the main credit institutions established in France, and concern the banking card sector, whose use has been steadily increasing since its creation.</w:t>
      </w:r>
    </w:p>
    <w:p>
      <w:r>
        <w:t>289. It follows from the above that EU law is applicable to the present case, which is not contested by the parties.</w:t>
      </w:r>
    </w:p>
    <w:p>
      <w:r>
        <w:t>D. ON THE IMPLEMENTATION OF THE COMMITMENT PROCEDURE</w:t>
      </w:r>
    </w:p>
    <w:p>
      <w:r>
        <w:t>1. ARGUMENTS OF THE COMPLAINANTS</w:t>
      </w:r>
    </w:p>
    <w:p>
      <w:r>
        <w:t>290. In their observations on the preliminary assessment of the investigation services and the GIE's commitment proposal, the complainants contest the use of the commitment procedure regarding the IPC.</w:t>
      </w:r>
    </w:p>
    <w:p>
      <w:r>
        <w:t>291. The FCD argues that the IPC constitutes a "price cartel" among banking institutions, falling into the categories of particularly serious agreements for which the Authority has indicated it does not apply the commitment procedure in its procedural communication of March 2, 2009, regarding commitments in competition matters.</w:t>
      </w:r>
    </w:p>
    <w:p>
      <w:r>
        <w:t>292. Similarly, the CdCF argues that the joint setting of the IPC constitutes an unjustifiable agreement. It contends that the commitments proposed by the GIE reflect a "diversion" of the commitment procedure, given the unjustifiable nature of the behavior implemented.</w:t>
      </w:r>
    </w:p>
    <w:p>
      <w:r>
        <w:t>293. Furthermore, the FCD argues that by adopting a commitment decision, the Authority would not fully rule on its referral, in which it requests the prohibition of the IPC system.</w:t>
      </w:r>
    </w:p>
    <w:p>
      <w:r>
        <w:t>2. ANALYSIS</w:t>
      </w:r>
    </w:p>
    <w:p>
      <w:r>
        <w:t>294. According to the provisions of I of Article L. 464-2 of the Commercial Code, the Competition Authority may "accept commitments proposed by companies or organizations that are likely to address its competition concerns that may constitute prohibited practices referred to in Articles L. 420-1, L. 420-2, and L. 420-5."</w:t>
      </w:r>
    </w:p>
    <w:p>
      <w:r>
        <w:t>295. Furthermore, Article 5 of Regulation No. 1/2003 of the Council of December 16, 2002, concerning the implementation of the competition rules provided for in Articles [101] and [102 TFEU] provides that the competition authorities of the Member States are competent to "accept commitments."</w:t>
      </w:r>
    </w:p>
    <w:p>
      <w:r>
        <w:t>296. The Commercial Code and Regulation No. 1/2003 do not prohibit the use of the commitment procedure for certain particular categories of behaviors likely to harm competition. In its procedural communication of March 2, 2009, the Competition Authority indicated that it does not apply this procedure "in cases where, in any event, the harm to the economic public order requires the imposition of financial penalties, which excludes a priori particularly serious agreements such as cartels and certain abuses of dominant position that have already caused significant damage to the economy" (point 11).</w:t>
      </w:r>
    </w:p>
    <w:p>
      <w:r>
        <w:t>297. In the present case, the practice implemented by the GIE CB, lacking a secret character and whose preliminary assessment note of February 7, 2011, has exposed the possible justifications (see above, points 142 et seq.), does not constitute a particularly serious agreement assimilable to a cartel.</w:t>
      </w:r>
    </w:p>
    <w:p>
      <w:r>
        <w:t>298. It should be emphasized that other competition authorities have resorted to the commitment procedure in the case of multilateral interbank commissions similar to the IPC. This is notably the case of the European Commission, which accepted the commitments proposed by Visa Europe in its decision of December 8, 2010, considering that these were appropriate and necessary to resolve the competition issues outlined in its statement of objections, without being disproportionate153.</w:t>
      </w:r>
    </w:p>
    <w:p>
      <w:r>
        <w:t>299. Furthermore, regarding the FCD's argument concerning its request for the prohibition of the IPC, it should be emphasized that the Authority's mission to defend the economic public order empowers it to make commitment decisions, not to satisfy the request of a complaining party, but to put an end to situations that may be detrimental to competition. The Paris Court of Appeal has thus noted that the commitment procedure "aims not to gain the approval of the complainant whose requests may exceed what is strictly necessary to address competition concerns, but solely to provide a satisfactory response from the public authority to these concerns" (October 6, 2009, Canal 9 SAS).</w:t>
      </w:r>
    </w:p>
    <w:p>
      <w:r>
        <w:t>300. It is solely for the Authority, within the framework of this decision, to verify that the commitments proposed by the GIE are necessary and sufficient to address all the competition concerns identified in the preliminary assessment note. The proportionality of the proposed commitments must thus be assessed in light of the justifications for the IPC that have been presented. This analysis is the subject of the developments outlined below.</w:t>
      </w:r>
    </w:p>
    <w:p>
      <w:r>
        <w:t>301. Thus, the use of the commitment procedure is particularly appropriate in the present case.</w:t>
      </w:r>
    </w:p>
    <w:p>
      <w:r>
        <w:t>E. ON THE ASSESSMENT OF THE COMMITMENTS PROPOSED BY THE GROUP</w:t>
      </w:r>
    </w:p>
    <w:p>
      <w:r>
        <w:t>1. ON THE COMMITMENTS RELATING TO THE IPC</w:t>
      </w:r>
    </w:p>
    <w:p>
      <w:r>
        <w:t>302. The complainants and other representatives of merchants who participated in the market test criticized several points of the GIE's initial commitments relating to the IPC.</w:t>
      </w:r>
    </w:p>
    <w:p>
      <w:r>
        <w:t>a) On the existence of the IPC</w:t>
      </w:r>
    </w:p>
    <w:p>
      <w:r>
        <w:t>303. According to the complainants, the commitments proposed by the Group are not proportionate to the competition concerns expressed in the assessment.</w:t>
      </w:r>
    </w:p>
    <w:p>
      <w:r>
        <w:rPr>
          <w:b/>
        </w:rPr>
        <w:t>[Pages 61–63]</w:t>
      </w:r>
    </w:p>
    <w:p>
      <w:r>
        <w:t>the initial commitments of the GIE relating to the IPC.</w:t>
        <w:br/>
        <w:t>a) On the existence of the IPC</w:t>
        <w:br/>
        <w:t>303. According to the complainants, the commitments proposed by the Groupement are not proportional to the competition concerns expressed in the preliminary assessment, as they should consist of eliminating the interbank payment commission, rather than merely reducing it.</w:t>
        <w:br/>
        <w:t>304. The IPC, they argue, cannot be considered a justifiable interbank commission: it would be unnecessary in principle and in its multilateral form.</w:t>
        <w:br/>
        <w:t>On the usefulness of the IPC</w:t>
        <w:br/>
        <w:t>305. According to the observations of the complainants and representatives of merchants, the IPC cannot be considered to have enabled the financing of innovations and does not protect merchants from the risks of fraud. Moreover, this commission would hinder the acceptance of payments, without correspondingly allowing for increased use of the card by cardholders. An examination of the use of cards belonging to payment systems operating without interbank commission or having lower interbank commissions than the IPC would show that there is no correlation between the extent of card usage and any potential interbank commissions. The financing of payment systems would, in fact, already be ensured by the contributions of cardholders and the banking fees paid by merchants.</w:t>
        <w:br/>
        <w:t>306. However, it results from the hearings conducted by the investigating services that card payments are considered, notably by merchants154, to improve the efficiency, productivity, and security of payments. In its response to the market test, Synhorcat provides details on the speed of this payment method: "the settlement period is mostly one day for card payments (...). For check payments, the most common settlement period is 2 days"155. ASFA specifies, for its part, that payment by card at tolls "reduces the operating costs of machines (vandalism, breakdown of the coin mechanism), increases the availability rate of the machine, reduces collection costs, and secures the revenue"156. Furthermore, a study conducted by a major retail chain, attached to the observations of the FCD, shows that the rate of unpaid checks is about 8 times higher than that of cards.</w:t>
        <w:br/>
        <w:t>307. For these various reasons, merchants generally have an interest in the acceptance of card payments. Consumers, for their part, represent a heterogeneous population, and not all share the same interest in using the card. According to the hearing report of UFC-Que Choisir, the advantages associated with card payment are, thus, different depending on the consumer profile concerned. Some consumers may particularly have reservations about using the card for subjective reasons (natural preference for cash) or objective reasons (face value of other available payment methods, such as checks, and the dangerous nature of the card for certain consumers who are in a precarious financial situation). However, the choice of payment by card relies more on the cardholders, who take the initiative to pay by this means, than on the merchants, who only have the option to accept or refuse the proposed payment method. Therefore, it is on the cardholders that incentives to use the card can act.</w:t>
        <w:br/>
        <w:t>308. By its very nature, an interbank commission linked to payments can avoid a risk of underutilization by allowing the "cardholder" side to be subsidized by the "merchant" side. By increasing the revenues of issuing banks, such a commission can only decrease, in fact, the billing of cardholders. Thus, an interbank commission linked to payments allows, in principle, to limit the billing of cardholders, and therefore to avoid a potential underutilization of the card.</w:t>
        <w:br/>
        <w:t>On the multilateral nature of the IPC</w:t>
        <w:br/>
        <w:t>309. The FCD considers that an interbank commission attached to payments does not necessarily have to be multilateral.</w:t>
        <w:br/>
        <w:t>310. However, the establishment of a single multilateral commission simplifies the payment procedure and reduces transaction costs related to the numerous bilateral negotiations that would be necessary without such a commission. The multilateral nature of an interbank commission can therefore be justified for the reasons that have already been explained in paragraph 167.</w:t>
        <w:br/>
        <w:t>b) On the structure of the IPC</w:t>
        <w:br/>
        <w:t>On the "TICO" or "TBTB" component of the IPC</w:t>
        <w:br/>
        <w:t>311. The complainants and other representatives of merchants raise several criticisms regarding the "TICO" component, referred to in the Groupement's latest proposal as "Blocked Transaction Bilateral Rate" (TBTB), of the IPC.</w:t>
        <w:br/>
        <w:t>On the place of this component in the commitments</w:t>
        <w:br/>
        <w:t>312. The representatives of merchants believe that the exclusion of the TICO from the commitments is unjustified and renders the proposed rate artificial.</w:t>
        <w:br/>
        <w:t>313. The particular nature of the "TICO," or "TBTB," explains the place of this component in the commitments of the Groupement. The principle of setting the TICO is multilateral, but its amount is set bilaterally, in order to take into account the disparity of fraud rates among institutions (some recording high fraud rates, others low). In its amount, the TICO does not appear as the result of a joint setting of a unique amount likely to create an identical financial burden for all institutions.</w:t>
        <w:br/>
        <w:t>314. It therefore seems justified to distinguish, within the IPC, between the components of this commission imposing a unique amount on institutions and the TICO, whose amount depends on the pair of banks concerned.</w:t>
        <w:br/>
        <w:t>On the existence of this component</w:t>
        <w:br/>
        <w:t>315. According to the observations of the complainants and representatives of merchants, the TICO (or TBTB) offers no particular advantage to merchants. The payment guarantee that this component remunerates would, in reality, be limited to a simple irrevocability of the payment order imposed by Directive 2007/64 on payment services. Moreover, the fraud, the financing of which would already be ensured by the contributions of cardholders and the cost represented by preventive security measures for merchants, would not require any specific remuneration.</w:t>
        <w:br/>
        <w:t>316. However, there is a distinction between the irrevocability of the payment order made by the cardholder and the payment guarantee provided by the issuing bank. Irrevocability relates to the consent of the cardholder: once the payment order is transmitted and the payment operation's deadline has expired, the cardholder cannot revoke their consent. The payment guarantee relates to the assurance of the proper execution of the payment operation by the issuing bank, once the payment order has been transmitted.</w:t>
        <w:br/>
        <w:t>317. The TICO thus mitigates the disadvantages associated with the absence of the liberating power of the card. It can be likened to an insurance premium, covering the risk associated with transactions carried out fraudulently. It concretely allows the merchant to be credited even in the case of fraudulent operations, particularly those carried out after the cardholder's opposition.</w:t>
        <w:br/>
        <w:t>318. Furthermore, the contributions of cardholders and the financing of preventive security measures by merchants are not fundamentally allocated to the financing of the payment guarantee. The contributions of cardholders remunerate insurance products and the various services related to holding a card. The preventive security measures finance ex ante measures to prevent fraud but are not attached to the financing of the ex post guarantee, allowing for payment even in the case of a fraudulent transaction.</w:t>
        <w:br/>
        <w:t>On the calculation methods of this component</w:t>
        <w:br/>
        <w:t>319. According to the observations of the complainants and representatives of merchants, the TICO is overvalued due to a number of factors distorting the adequacy of its amount with the actual cost of fraud. The TICO would be evaluated notably by taking into account previously authorized fraudulent transactions. However, in the case of prior authorization by the issuing bank, the risk of fraud would become nonexistent, and the merchant should have the certainty of being paid as soon as the transaction is executed. Non-fraudulent transactions whose compensation occurs after the card opposition would also be taken into account in the calculation of the TICO. Finally, transactions carried out with a lost or stolen card would be considered fraudulent, as well as abusive transactions carried out by the cardholder just before they oppose to avoid the debit of their purchases.</w:t>
        <w:br/>
        <w:t>320. These various criticisms were taken into account during the session. The college indeed requested the Groupement to modify the basis of the TICO in order to limit it to transactions that were actually fraudulent. The Groupement therefore proposed in the session to impose on its members to only retain transactions carried out after the registration, by the opposition file (OPPOTOTA), of an opposition or blocking of the card. Transactions previously authorized for which the issuing bank has verified that the card had not been reported as stolen or lost will be excluded from the scope of fraudulent transactions, no later than January 1, 2013 (taking into account the time necessary to adapt the IT applications):</w:t>
        <w:br/>
        <w:t>- transactions prior to the registration of an opposition, and thus even those whose compensation occurs after an opposition;</w:t>
        <w:br/>
        <w:t>- transactions that have been the subject of an abusive opposition by cardholders who dispute the payments they themselves made.</w:t>
      </w:r>
    </w:p>
    <w:p>
      <w:r>
        <w:rPr>
          <w:b/>
        </w:rPr>
        <w:t>[Pages 64–66]</w:t>
      </w:r>
    </w:p>
    <w:p>
      <w:r>
        <w:t>no direct comparability between the commitments made by the Groupement and those made by MasterCard and Visa.</w:t>
      </w:r>
    </w:p>
    <w:p>
      <w:r>
        <w:t>339. In conclusion, the proposed level of the CIP by the Groupement, while higher than the commitments made by MasterCard and Visa, reflects the specific context of the French market and the structure of the payment systems in place. The Groupement's commitment to maintain the CIP at a weighted average level not exceeding 0.28% is a step towards ensuring a competitive environment while also addressing the concerns raised by merchants regarding the costs associated with card acceptance.</w:t>
      </w:r>
    </w:p>
    <w:p>
      <w:r>
        <w:rPr>
          <w:b/>
        </w:rPr>
        <w:t>[Pages 67–69]</w:t>
      </w:r>
    </w:p>
    <w:p>
      <w:r>
        <w:t>there is no inconsistency between the commission levels proposed by MasterCard and Visa to the Commission, and the levels proposed by the Groupement.</w:t>
      </w:r>
    </w:p>
    <w:p>
      <w:r>
        <w:t>On the adequacy of the proposed amount in relation to the interbank commission amounts applicable abroad</w:t>
        <w:br/>
        <w:t>339. The FCD believes that the proposed amount is too high compared to the interbank commission amounts applicable abroad. Thus, other European national payment systems would apply significantly lower commissions related to debit cards, with levels ranging between 0.1% and 0.2% of the transaction for an average basket of 50 euros.</w:t>
      </w:r>
    </w:p>
    <w:p>
      <w:r>
        <w:t>340. However, the comparisons made by the representatives of merchants only take into account the commissions for domestic transactions set by national systems on debit cards.</w:t>
      </w:r>
    </w:p>
    <w:p>
      <w:r>
        <w:t>341. Now, firstly, the comparison with the commissions applied abroad cannot ignore the interchange commissions applied by MasterCard and Visa. Several countries, such as Greece or Hungary, do not have a national payment system offering debit cards, and only Spain, among the major European countries, has a national system offering credit cards. Any comparison with countries that do not have a national system can therefore only be made by also taking into account the commissions of Visa and MasterCard. By limiting this comparison to debit cards alone, the CompassLexecon study produced by the GIE on June 8, 2011, shows that the rate proposed by the Groupement places this system at a level close to the European average158.</w:t>
      </w:r>
    </w:p>
    <w:p>
      <w:r>
        <w:t>342. Secondly, and as mentioned above, the commitment proposed by the Groupement concerns a ceiling on the interchange commission, in weighted average annual terms, applicable to all cards in the CB system. Assuming it is relevant, the comparison of the proposed rate with the levels of all domestic commissions (related not only to debit cards but also to credit cards), as revealed in the aforementioned study, shows that the Groupement's rate after commitments ranks fifth among the lowest interbank commission rates159.</w:t>
      </w:r>
    </w:p>
    <w:p>
      <w:r>
        <w:t>343. Ultimately, the revised amount proposed by the Groupement cannot be considered too high compared to the commission amounts applicable abroad.</w:t>
      </w:r>
    </w:p>
    <w:p>
      <w:r>
        <w:t>On the assessment of the IPC in relation to the costs of the issuing bank</w:t>
        <w:br/>
        <w:t>344. In order to set the amount of the IPC proposed in its revised commitments, the GIE referred to the costs of banks, as evaluated in a study provided by its services. The rate initially proposed to the instructing services by reference to this method was higher than that submitted to the market test. During the market test, the Groupement proposed a rate of 0.32% before ultimately reducing the rate in session to 0.28% of the transaction amounts.</w:t>
      </w:r>
    </w:p>
    <w:p>
      <w:r>
        <w:t>345. As stated above (points 327 et seq.), the Authority only assesses the GIE's commitment regarding the amount of the IPC in relation to the costs incurred by the issuing bank as a subsidiary consideration. The identification of these costs is not relevant in the context of the comparison of the transactional benefits derived by merchants from the use of the card rather than cash, a methodology relevant for assessing the adequacy of the IPC amount.</w:t>
      </w:r>
    </w:p>
    <w:p>
      <w:r>
        <w:t>346. During the Groupement's first offer, the instructing services noted that certain cost items incurred by the issuing bank did not appear to be directly related to the payment operation itself. These included cost items related to managing relationships with cardholders and issuing cards. The GIE therefore proposed an initial reduction after the market test, followed by a second reduction in session. It can thus be considered that the Groupement took these remarks into account.</w:t>
      </w:r>
    </w:p>
    <w:p>
      <w:r>
        <w:t>2. ON THE COMMITMENTS RELATING TO THE CIR</w:t>
        <w:br/>
        <w:t>a) On the ATM commission (formerly the Cash Advance component)</w:t>
        <w:br/>
        <w:t>347. The ATM commission, corresponding to the former "cash advance" component of the CIR, responds to a logic of service compensation. Indeed, when a bank provides, through one of its ATMs, a withdrawal to a cardholder from another bank, it undeniably renders a service to the cardholder's bank and to the cardholder himself. Therefore, it is logical that the bank/client pair that initiated the service and benefits from it bears a charge for this service.</w:t>
      </w:r>
    </w:p>
    <w:p>
      <w:r>
        <w:t>348. In this regard, it can be noted that in the absence of a contractual relationship between the managing bank of the ATM and cardholders who are not its clients, the alternative to interbank billing, which would be a direct billing of the cardholder by the managing bank of the ATM, would not be easy to implement. Moreover, it would present a certain complexity for the cardholder, who could potentially be subject to as many withdrawal fees as there are different banks managing ATMs.</w:t>
      </w:r>
    </w:p>
    <w:p>
      <w:r>
        <w:t>349. Therefore, it should be clarified that the issue posed by the ATM commission does not relate to the existence of interbank pricing for withdrawals, but to the multilateral nature of this pricing.</w:t>
      </w:r>
    </w:p>
    <w:p>
      <w:r>
        <w:t>On the multilateral nature of the setting of the Cash Advance component</w:t>
        <w:br/>
        <w:t>350. The contributions to the market test do not mention any reservations regarding the multilateral nature of the setting of the ATM commission.</w:t>
      </w:r>
    </w:p>
    <w:p>
      <w:r>
        <w:t>351. Generally, as explained in decision No. 10-D-28 of the Authority in the case of commissions for ancillary services applied to check transactions160, the multilateral setting of interbank commissions allows for a reduction in transaction costs. Indeed, it substitutes the conclusion of thousands of bilateral agreements161 with an agreement on a single rate.</w:t>
      </w:r>
    </w:p>
    <w:p>
      <w:r>
        <w:t>On the appropriate cost reference</w:t>
        <w:br/>
        <w:t>352. This reduction in transaction costs is intended to benefit not only the members of the Groupement but also their clients. To this end, it is necessary to verify in particular that the multilateral setting of the interbank commission does not lead to inflation in the billing of clients for the services considered.</w:t>
      </w:r>
    </w:p>
    <w:p>
      <w:r>
        <w:t>353. The GSA decision of the European Commission recommended that interbank commissions based on costs should be based on the processing cost achieved by the most efficient bank. Decision No. 10-D-28 of the Authority specified that such a reference, allowing "to minimize the impact on consumers by reducing costs likely to influence the level of prices charged to clients," was preferable. This same decision concluded that interbank commissions corresponding to services "should, unless in special circumstances, be set by reference to the processing cost achieved by the most efficient bank."</w:t>
      </w:r>
    </w:p>
    <w:p>
      <w:r>
        <w:t>On the level of the ATM commission</w:t>
        <w:br/>
        <w:t>354. The commitment proposed by the Groupement consists of reducing the ceiling of the ATM commission from €0.72 to €0.57. The Groupement specifies that it referred to the results of a cost study that it submitted to the Authority.</w:t>
      </w:r>
    </w:p>
    <w:p>
      <w:r>
        <w:t>355. As stated previously, the Authority considers that the level of the ATM commission is acceptable if it corresponds to the cost of the most efficient bank. As this is a relatively homogeneous service, the cost of the most efficient bank for serving an ATM withdrawal coincides with the lowest cost observed among banks for this service.</w:t>
      </w:r>
    </w:p>
    <w:p>
      <w:r>
        <w:t>356. The cost study submitted by the Groupement evaluated the unit costs per withdrawal of the main ATM managing establishments. Its results are grouped in the following table:</w:t>
      </w:r>
    </w:p>
    <w:p>
      <w:r>
        <w:t>357. However, the study specifies that some of the unit costs reported above should be interpreted with caution. In particular, the cost of bank D would be particularly low for two reasons unrelated to the efficiency of this bank. Firstly, the number of withdrawals per ATM of this bank would be particularly high relative to the number of withdrawals per ATM observed for other banks. Now, a higher frequency of withdrawals contributes to reducing the unit cost of withdrawal. Secondly, the costs of bank D are incomplete, as the study only took into account a small portion of the fixed costs of cash actually incurred by this bank.</w:t>
      </w:r>
    </w:p>
    <w:p>
      <w:r>
        <w:rPr>
          <w:b/>
        </w:rPr>
        <w:t>[Pages 70–72]</w:t>
      </w:r>
    </w:p>
    <w:p>
      <w:r>
        <w:t>358. In order to assess the withdrawal cost that would be achieved by the most efficient bank, the Groupement ultimately proposed in the meeting to retain an interbank commission amount of €0.57. This amount corresponds to the average of the three lowest costs observed in the study.</w:t>
      </w:r>
    </w:p>
    <w:p>
      <w:r>
        <w:t>359. The application of this method, taking into account the specificities of bank D, does not appear incompatible with the benchmark criterion of the costs of the most efficient bank. It follows that the commitment proposed by the Groupement regarding the ATM commission is acceptable.</w:t>
      </w:r>
    </w:p>
    <w:p>
      <w:r>
        <w:t>b) On the Withdrawal Service Commission</w:t>
      </w:r>
    </w:p>
    <w:p>
      <w:r>
        <w:t>360. The Groupement proposed to maintain the Withdrawal Service Commission (WSC) as is, a counter-commission paid by banks that provide few ATM withdrawals to cardholders of other banks, relative to the number of displaced withdrawals made by their cardholding clients.</w:t>
      </w:r>
    </w:p>
    <w:p>
      <w:r>
        <w:t>361. This counter-commission is a mechanism to combat the under-installation of ATMs by certain establishments. From this perspective, it is a tool capable of ensuring a certain balance between banks for the installation of ATMs. It also contributes to the density of the network of machines.</w:t>
      </w:r>
    </w:p>
    <w:p>
      <w:r>
        <w:t>c) On the Card Service Contribution Commission</w:t>
      </w:r>
    </w:p>
    <w:p>
      <w:r>
        <w:t>362. The Groupement proposed to maintain the Card Service Contribution Commission (CSCC) as is, a counter-commission paid by banks that provide many ATM withdrawals to cardholders of other banks, relative to the number of displaced withdrawals made by their cardholding clients.</w:t>
      </w:r>
    </w:p>
    <w:p>
      <w:r>
        <w:t>363. According to the Groupement, this counter-commission would help combat a form of parasitism, where certain member banks would only install ATMs without having issued cards, thereby ensuring the absence of displaced withdrawals from their clients.</w:t>
      </w:r>
    </w:p>
    <w:p>
      <w:r>
        <w:t>364. The Authority, having requested additional clarifications on the rationale for this counter-commission, acknowledges the Groupement's commitment to provide, at the request of the investigation services, all elements allowing to demonstrate the incentive nature of the CSCC.</w:t>
      </w:r>
    </w:p>
    <w:p>
      <w:r>
        <w:t>3. ON THE COMMITMENTS RELATING TO OTHER COMMISSIONS</w:t>
      </w:r>
    </w:p>
    <w:p>
      <w:r>
        <w:t>365. The GIE CB proposed revised amounts for the interbank commissions related to issuer pricing, the interbank cash withdrawal commission at the counter ("cash advance"), the pricing of documentation requests, the pricing of card transaction cancellations, and capture service commissions. These amounts were set by reference to the costs of the services remunerated by these commissions, as assessed by the study conducted by the GIE CB.</w:t>
      </w:r>
    </w:p>
    <w:p>
      <w:r>
        <w:t>366. The Authority considers that the revised commitments are acceptable to address the competition concerns identified in the preliminary assessment note.</w:t>
      </w:r>
    </w:p>
    <w:p>
      <w:r>
        <w:t>4. ON THE GENERAL PROVISIONS OF THE PROPOSAL</w:t>
      </w:r>
    </w:p>
    <w:p>
      <w:r>
        <w:t>a) Regarding the information modalities</w:t>
      </w:r>
    </w:p>
    <w:p>
      <w:r>
        <w:t>367. The GIE CB committed to publish on its website the revised amount of interbank commissions covered by the commitments. In their responses to the market test, representatives of merchants argue that these information modalities are insufficient and demand the implementation of specific advertising measures aimed at merchants.</w:t>
      </w:r>
    </w:p>
    <w:p>
      <w:r>
        <w:t>368. However, the Authority considers that the measures proposed by the GIE CB, which complement its own information measures, including the publication of this decision on its website, are satisfactory to ensure the transparency of the proposed commitments, which target only the interbank commissions applied to card transactions, and not the commissions applied by banks to merchants. It notes that merchant associations are free to implement additional advertising measures for their members.</w:t>
      </w:r>
    </w:p>
    <w:p>
      <w:r>
        <w:t>b) Regarding the duration of the commitments</w:t>
      </w:r>
    </w:p>
    <w:p>
      <w:r>
        <w:t>369. The implementation of the commitments will begin on October 1, 2011. The commitments are made mandatory for a duration of four years from the notification of this decision to the GIE CB.</w:t>
      </w:r>
    </w:p>
    <w:p>
      <w:r>
        <w:t>370. The Authority considers that the duration of the commitments proposed by the GIE CB is acceptable. It emphasizes that this period will allow for the implementation of a methodology for evaluating interbank commissions, based on robust economic tests and reliable data, which can be used as a reference for assessing the level of commissions at the expiration of the proposed commitments.</w:t>
      </w:r>
    </w:p>
    <w:p>
      <w:r>
        <w:t>c) Regarding the monitoring of commitments</w:t>
      </w:r>
    </w:p>
    <w:p>
      <w:r>
        <w:t>371. During the meeting on June 15, 2011, the president of the Authority announced the creation of a steering committee tasked with defining the characteristics and implementation of the merchant indifference test that could be used as a reference for assessing the level of interbank commissions at the end of the four-year period provided for by the commitments. This steering committee will involve the investigation services of the Competition Authority and the parties to this procedure. The parties present at the hearing, representing the GIE CB and the complainant organizations, agreed to this proposal.</w:t>
      </w:r>
    </w:p>
    <w:p>
      <w:r>
        <w:t>372. Finally, it is not for the Authority to rule, within the framework of this procedure, on the merits of the request from the CdCF aimed at modifying the governance rules of the Groupement and the proposal from Leroy Merlin aimed at creating a regulatory authority for interbank commissions.</w:t>
      </w:r>
    </w:p>
    <w:p>
      <w:r>
        <w:t>d) Regarding the contractual clauses imposed by the Groupement</w:t>
      </w:r>
    </w:p>
    <w:p>
      <w:r>
        <w:t>373. In its latest commitments, the Groupement proposed to review, after obtaining the Authority's agreement, the application conditions of the "honor all the cards" rule in the event that it considers challenging the principle of a single CIP amount for all payments.</w:t>
      </w:r>
    </w:p>
    <w:p>
      <w:r>
        <w:t>374. The Authority is of the opinion to accept this commitment insofar as it will allow for the effective examination of the possibility for merchants to accept certain cards based on the applicable rate.</w:t>
      </w:r>
    </w:p>
    <w:p>
      <w:r>
        <w:t>375. In conclusion, it is appropriate to accept and make mandatory the revised commitments proposed by the GIE CB at the end of the meeting on June 15, 2011, which address the competition concerns raised in the preliminary assessment and present a substantial, credible, and verifiable nature.</w:t>
      </w:r>
    </w:p>
    <w:p>
      <w:r>
        <w:t>DECISION</w:t>
      </w:r>
    </w:p>
    <w:p>
      <w:r>
        <w:t>Article 1: The Competition Authority accepts the commitments made by the Groupement des Cartes Bancaires, which are an integral part of this decision to which they are annexed. These commitments are made mandatory from the notification of this decision.</w:t>
      </w:r>
    </w:p>
    <w:p>
      <w:r>
        <w:t>Article 2: The Groupement des Cartes Bancaires will justify the execution of the commitments made to the Competition Authority within two months from their entry into force and each year on the anniversary date of their entry into force.</w:t>
      </w:r>
    </w:p>
    <w:p>
      <w:r>
        <w:t>Article 3: The case recorded under numbers 09/0017 F and 10/0008 F is closed.</w:t>
      </w:r>
    </w:p>
    <w:p>
      <w:r>
        <w:t>Deliberated on the oral report of Ms. Juliette Théry-Schultz and Mr. Cédric Nouël de Buzonnière, rapporteurs, and the intervention of Ms. Virginie Beaumeunier, general rapporteur, by Mr. Bruno Lasserre, president, chair of the session, Ms. Françoise Aubert, Ms. Anne Perrot, Ms. Elisabeth Flüry-Hérard, and Mr. Patrick Spilliaert, vice-presidents.</w:t>
      </w:r>
    </w:p>
    <w:p>
      <w:r>
        <w:t>The session secretary, The president,</w:t>
      </w:r>
    </w:p>
    <w:p>
      <w:r>
        <w:t>Sandrine Boyon Bruno Lasserre</w:t>
      </w:r>
    </w:p>
    <w:p>
      <w:r>
        <w:t>Competition Authority</w:t>
      </w:r>
    </w:p>
    <w:p>
      <w:r>
        <w:rPr>
          <w:b/>
        </w:rPr>
        <w:t>[Pages 73–75]</w:t>
      </w:r>
    </w:p>
    <w:p>
      <w:r>
        <w:t xml:space="preserve">24 JUNE 2011  </w:t>
        <w:br/>
        <w:t xml:space="preserve">LATHAM&amp;WATKINS  </w:t>
        <w:br/>
        <w:t xml:space="preserve">REFERRALS 09/0017 F and 10/0008 F  </w:t>
        <w:br/>
        <w:t xml:space="preserve">PROPOSAL OF COMMITMENTS BY THE GROUP OF BANK CARDS "CB"  </w:t>
        <w:br/>
        <w:t xml:space="preserve">This proposal, submitted in accordance with the provisions of Articles L. 464-2 and R. 464-2 of the Commercial Code, results from the competition concerns identified by the rapporteurs in their preliminary assessment of the practices implemented in the payment methods sector by the Groupement des Cartes Bancaires "CB" (the "Group") dated February 7, 2011.  </w:t>
        <w:br/>
        <w:t xml:space="preserve">This proposal of commitments applies to "CB" transactions, that is to say, transactions carried out by holders of "CB" cards who have signed a "CB" cardholder contract and who use their cards bearing the "CB" brand, including for professional purposes:  </w:t>
        <w:br/>
        <w:t xml:space="preserve">- at a merchant or service provider who has signed a "CB" acceptance contract and who has chosen, in agreement with the cardholder, the "CB" brand to execute the payment transaction; or  </w:t>
        <w:br/>
        <w:t>- at an Automated Teller Machine managed by a "CB" member according to the "CB" rules, the application of which has been chosen by the cardholder.</w:t>
      </w:r>
    </w:p>
    <w:p>
      <w:r>
        <w:t xml:space="preserve">1. Level of interbank commissions  </w:t>
        <w:br/>
        <w:t xml:space="preserve">The Group proposes, in accordance with the provisions of Article L. 464-2 of the Commercial Code, to undertake the following commitments:  </w:t>
        <w:br/>
        <w:t xml:space="preserve">(a) Interbank payment commission ("IPC")  </w:t>
        <w:br/>
        <w:t xml:space="preserve">The IPC applicable to payment transactions made by "CB" payment cards at "CB" acceptors includes two elements: the commission itself (hereinafter the "Commission") and the interbank rate for blocked cards ("TICO").  </w:t>
        <w:br/>
        <w:t xml:space="preserve">(i) The Group commits to ensuring that the amount of the Commission is set at a level, on a weighted annual average basis, of less than or equal to 0.28%. The Group refers to the costs of banks as assessed by a study it submitted to the Authority.  </w:t>
        <w:br/>
        <w:t xml:space="preserve">By weighted average, it is understood as the result of dividing the total amount of IPC (excluding TICO) paid during a given period by the total amount of transactions subject to it.  </w:t>
        <w:br/>
        <w:t xml:space="preserve">According to Annex 1.  </w:t>
        <w:br/>
        <w:t xml:space="preserve">Within this limit, the Group is free to determine the nature and level of the various components of the Commission.  </w:t>
        <w:br/>
        <w:t xml:space="preserve">Within this limit as well, the Group may differentiate the nature and level of the various components of the Commission according to several criteria, such as the type and amount of the transaction, the environment of card use, the technology used during the transaction, the level of security applied to the transaction, or the type of cards, provided that they are objective and relevant.  </w:t>
        <w:br/>
        <w:t xml:space="preserve">In the event that the Group considers a differentiation of the Commission according to the type of cards, it commits to submitting to the Authority, before their implementation, the new conditions for the application of the "honor all the cards" rule. The Authority will have a period of three (3) months to respond.  </w:t>
        <w:br/>
        <w:t xml:space="preserve">(ii) The Group commits to maintaining the TICO, which will be renamed "Bilateral Rate for Blocked Transactions" (TBTB), in order to maintain incentives for acquirer banks to combat fraud and to maintain the effect of differentiation of IPC rates based on the observed rates of blocked transactions between two banks.  </w:t>
        <w:br/>
        <w:t xml:space="preserve">The Group commits to imposing on its members, through its minimum obligations set out in its Internal Regulations, measures ensuring that, no later than December 31, 2012, only transactions carried out after the registration of a blocking or opposition in the OPPOTOTA file will be taken into account for the calculation of the TBTB.  </w:t>
        <w:br/>
        <w:t xml:space="preserve">If these measures are not effective by January 1, 2013, the Group will halve, as of that date, the TBTB that have not been calculated in accordance with the measures set out in the previous paragraph.  </w:t>
        <w:br/>
        <w:t xml:space="preserve">(b) Interbank withdrawal commission ("CIR")  </w:t>
        <w:br/>
        <w:t xml:space="preserve">(i) ATM Commission  </w:t>
        <w:br/>
        <w:t xml:space="preserve">The Group commits:  </w:t>
        <w:br/>
        <w:t xml:space="preserve">- to rename the commission currently referred to as "cash advance" to "ATM commission"; and  </w:t>
        <w:br/>
        <w:t xml:space="preserve">- that the amount of this commission does not exceed 0.57 euros. The Group refers to the costs of banks as assessed by a study it submitted to the Authority.  </w:t>
        <w:br/>
        <w:t xml:space="preserve">(ii) Withdrawal service commission ("WSC") / Card service provision commission ("CSPC")  </w:t>
        <w:br/>
        <w:t xml:space="preserve">These two counter-commissions aim to ensure the sustainability of the interbank withdrawal service "CB" by discouraging parasitic behaviors from certain members who either do not install any ATMs and thus only provide their cardholder clients with interbank withdrawal services, or only install ATMs without having issued cards, thereby ensuring the absence of misplaced withdrawals from their clients. These counter-commissions are not applicable frequently by nature and their amount aims to discourage such parasitic behaviors.  </w:t>
        <w:br/>
        <w:t xml:space="preserve">Consequently, the Group commits to maintaining them at their current level. Furthermore, it commits to providing, at the request of the investigative services, any data demonstrating the incentivizing nature pursued by the WSC.  </w:t>
        <w:br/>
        <w:t xml:space="preserve">(c) Other commissions  </w:t>
        <w:br/>
        <w:t xml:space="preserve">The amount of each of these commissions is set by reference to the costs of the services they remunerate.  </w:t>
        <w:br/>
        <w:t xml:space="preserve">(i) Issuer call pricing  </w:t>
        <w:br/>
        <w:t xml:space="preserve">The issuer call is a procedure for verifying the cardholder's account with the issuer used in the case of a payment operation carried out at a "CB" acceptor.  </w:t>
        <w:br/>
        <w:t xml:space="preserve">This procedure is initiated by the issuer when it deems that the data received via the acquirer in the authorization request is insufficient to grant payment authorization. It allows the issuer to conduct a more detailed examination of information than that available in the authorization request before refusing or accepting the continuation of the payment operation.  </w:t>
        <w:br/>
        <w:t xml:space="preserve">It may be used, for example, when the cardholder has exceeded their spending limit but the issuer believes that the payment operation could be authorized subject to further verification with the cardholder.  </w:t>
        <w:br/>
        <w:t xml:space="preserve">The issuer call pricing remunerates, for each issuer call, the availability of the acceptor by the acquirer of the procedure and a telephone number allowing contact with the Acquirer Call Center, the receipt and processing of the acceptor's call by the acquirer, and the management of the issuer's response and its transmission to the acceptor as well as the archiving of the elements of the procedure.  </w:t>
        <w:br/>
        <w:t xml:space="preserve">The Group commits to ensuring that its amount does not exceed 6.91 euros. The Group refers to the costs of banks as assessed by a study whose results have been submitted to the Authority.  </w:t>
        <w:br/>
        <w:t xml:space="preserve">(ii) Interbank cash withdrawal commission at the counter using a "CB" card  </w:t>
        <w:br/>
        <w:t xml:space="preserve">This form of withdrawal, which declines year by year, is destined to disappear naturally.  </w:t>
        <w:br/>
        <w:t xml:space="preserve">The Group commits, for the residual transactions of cash withdrawal at the counter using a "CB" card, to maintain the interbank commission at its current level.  </w:t>
        <w:br/>
        <w:t>According to Annex 3.</w:t>
      </w:r>
    </w:p>
    <w:p>
      <w:r>
        <w:rPr>
          <w:b/>
        </w:rPr>
        <w:t>[Pages 76–78]</w:t>
      </w:r>
    </w:p>
    <w:p>
      <w:r>
        <w:t xml:space="preserve">LATHAM&amp;WATKINS  </w:t>
        <w:br/>
        <w:t xml:space="preserve">(iii) Pricing of documentation requests  </w:t>
        <w:br/>
        <w:t xml:space="preserve">The pricing of documentation requests compensates for the management of requests for proof of payment transactions, including the search for the document with a possible request to the acquirer and the sending of the document by fax to the issuer. The Group commits to ensuring that its amount does not exceed 8.80 euros. The Group refers to the costs of banks as assessed by a study whose results have been submitted to the Authority*.  </w:t>
        <w:br/>
        <w:t xml:space="preserve">(iv) Pricing of card transaction cancellations  </w:t>
        <w:br/>
        <w:t xml:space="preserve">For the pricing of the commission for the cancellation of card transactions, which compensates for the corrections of presentation errors in compensation for card transactions, the Group commits to ensuring that its amount does not exceed 0.29 euros. The Group refers to the costs of banks as assessed by a study whose results have been submitted to the Authority.  </w:t>
        <w:br/>
        <w:t xml:space="preserve">(v) Service commissions for captured cards  </w:t>
        <w:br/>
        <w:t xml:space="preserve">These commissions cover:  </w:t>
        <w:br/>
        <w:t xml:space="preserve">- for payment transactions, the recovery by the Acquirer Banking Exchange Center of cards captured and forgotten at its acquirers, the processing of these cards (registration, search for concerned issuers, etc.), their sending to the Issuer Exchange Centers (in padded envelopes sent by registered mail), the management cost of the acquirer capture bonuses (accounting, payment to acquirers, recovery of bonuses from issuers);  </w:t>
        <w:br/>
        <w:t xml:space="preserve">- for withdrawal transactions, the securing of the storage of captured cards, the recovery by the Acquirer Banking Exchange Center of cards captured and forgotten in ATMs, their processing (registration, search for concerned issuers) and their sending to the Issuer Exchange Centers (in padded envelopes sent by registered mail).  </w:t>
        <w:br/>
        <w:t xml:space="preserve">The Group commits to ensuring that their amount does not exceed 21.34 euros for payment transactions and 18.76 euros for withdrawal transactions. The Group refers to the costs of banks as assessed by a study whose results have been submitted to the Authority.  </w:t>
        <w:br/>
        <w:t xml:space="preserve">(d) Publication of commissions  </w:t>
        <w:br/>
        <w:t xml:space="preserve">The Group commits to publishing on its website the amount of the commissions covered by these commitments.  </w:t>
        <w:br/>
        <w:t xml:space="preserve">According to Annex 3.  </w:t>
        <w:br/>
        <w:t>According to Annex 3.</w:t>
      </w:r>
    </w:p>
    <w:p>
      <w:r>
        <w:t xml:space="preserve">LATHAM&amp;WATKINS  </w:t>
        <w:br/>
        <w:t xml:space="preserve">2. General provisions  </w:t>
        <w:br/>
        <w:t xml:space="preserve">(a) These commitments shall enter into force on the first day of the civil quarter following the notification to the Group of the Authority's decision that makes them mandatory, with a minimum period of two months between the date of said notification and the first day of the civil quarter from which they enter into force.  </w:t>
        <w:br/>
        <w:t xml:space="preserve">(b) These commitments shall end four (4) years after the date of notification to the Group of the Authority's decision that makes them mandatory.  </w:t>
        <w:br/>
        <w:t xml:space="preserve">(c) If, during this period, a significant change in the legal or factual circumstances relevant to assessing the appropriateness of the commitments occurs, particularly in light of European developments, the Group may, in accordance with point 46 of the procedural notice of May 2, 2009, submit a request to the Authority for a revision or removal of these commitments.  </w:t>
        <w:br/>
        <w:t>(d) The commitments are proposed by the Group, with all reservations of its rights, solely to allow the Competition Authority to close this procedure by accepting its commitments and to avoid the opening of contentious proceedings against it and/or against its members in relation to the cases joined under numbers 09/0017 F - 10/0008 F. These proposed commitments do not constitute and do not imply any recognition on its part of the validity of the complaints submitted to the Competition Authority by the complainants nor, a fortiori, of any infringement in relation to said complaints. These commitments are proposed under the understanding and faith of the confirmation, within the framework of the exchanges that took place with the Competition Authority in this procedure, that the decisions of the Competition Authority accepting and endorsing the commitments proposed by companies to address competition concerns, in accordance with the provisions of Article L. 464-2 of the Commercial Code, do not constitute and do not imply any finding or recognition of any violation of competition law.</w:t>
      </w:r>
    </w:p>
    <w:p>
      <w:r>
        <w:t xml:space="preserve">LATHAM&amp;WATKINS  </w:t>
        <w:br/>
        <w:t xml:space="preserve">ANNEX I  </w:t>
        <w:br/>
        <w:t xml:space="preserve">INTERBANK PAYMENT COMMISSION - LIST OF COST ITEMS  </w:t>
        <w:br/>
        <w:t xml:space="preserve">List of processing cost items:  </w:t>
        <w:br/>
        <w:t xml:space="preserve">- management of issuing BINs;  </w:t>
        <w:br/>
        <w:t xml:space="preserve">- management of relationships with cardholders;  </w:t>
        <w:br/>
        <w:t xml:space="preserve">- commercial and legal management of cardholder disputes;  </w:t>
        <w:br/>
        <w:t xml:space="preserve">- management of cardholder information;  </w:t>
        <w:br/>
        <w:t xml:space="preserve">- management of compensation;  </w:t>
        <w:br/>
        <w:t xml:space="preserve">- management of credits and debits and archiving;  </w:t>
        <w:br/>
        <w:t xml:space="preserve">- management of cardholder complaints;  </w:t>
        <w:br/>
        <w:t xml:space="preserve">- management of authorizations with an issuer call service;  </w:t>
        <w:br/>
        <w:t xml:space="preserve">- management of banking machines.  </w:t>
        <w:br/>
        <w:t xml:space="preserve">List of security cost items:  </w:t>
        <w:br/>
        <w:t xml:space="preserve">- secure issuance of cards and confidential codes;  </w:t>
        <w:br/>
        <w:t xml:space="preserve">- management of the production of "CB" cards and security products;  </w:t>
        <w:br/>
        <w:t xml:space="preserve">- management of secret keys;  </w:t>
        <w:br/>
        <w:t xml:space="preserve">- fraud detection;  </w:t>
        <w:br/>
        <w:t xml:space="preserve">- management of authorizations;  </w:t>
        <w:br/>
        <w:t xml:space="preserve">- issuance of unpaid items and document requests;  </w:t>
        <w:br/>
        <w:t xml:space="preserve">- costs of opposition services;  </w:t>
        <w:br/>
        <w:t xml:space="preserve">- declarations to the SICB of opposition flows and card numbers to be opposed;  </w:t>
        <w:br/>
        <w:t xml:space="preserve">- management of captured cards;  </w:t>
        <w:br/>
        <w:t>- feeding of regulation and control systems.</w:t>
      </w:r>
    </w:p>
    <w:p>
      <w:r>
        <w:rPr>
          <w:b/>
        </w:rPr>
        <w:t>[Pages 79–81]</w:t>
      </w:r>
    </w:p>
    <w:p>
      <w:r>
        <w:t xml:space="preserve">LATHAM &amp; WATKINS  </w:t>
        <w:br/>
        <w:t xml:space="preserve">ANNEX 2  </w:t>
        <w:br/>
        <w:t xml:space="preserve">ATM COMMISSION - LIST OF COST ITEMS  </w:t>
        <w:br/>
        <w:t xml:space="preserve">List of cost items:  </w:t>
        <w:br/>
        <w:t xml:space="preserve">1. Cost of cash immobilization: in transit, in the machines, and between the withdrawal date and the interbank settlement date  </w:t>
        <w:br/>
        <w:t xml:space="preserve">2. Cost of cash management:  </w:t>
        <w:br/>
        <w:t xml:space="preserve">a) cash transporters  </w:t>
        <w:br/>
        <w:t xml:space="preserve">b) cost of cash verification  </w:t>
        <w:br/>
        <w:t xml:space="preserve">c) insurance against ATM robberies or average losses incurred annually due to ATM robberies  </w:t>
        <w:br/>
        <w:t xml:space="preserve">d) costs of ATM operators or cash handlers  </w:t>
        <w:br/>
        <w:t xml:space="preserve">3. Cost of maintenance and operation of equipment:  </w:t>
        <w:br/>
        <w:t xml:space="preserve">a) expenses for electricity, telecommunications, supplies (ink, paper...) and signage  </w:t>
        <w:br/>
        <w:t xml:space="preserve">b) maintenance costs of the machines  </w:t>
        <w:br/>
        <w:t xml:space="preserve">4. Investment costs in equipment (purchase and installation) and real estate costs:  </w:t>
        <w:br/>
        <w:t xml:space="preserve">a) purchase of machines  </w:t>
        <w:br/>
        <w:t xml:space="preserve">b) installation cost of machines  </w:t>
        <w:br/>
        <w:t xml:space="preserve">c) cost related to location: rental or purchase of the site (part attributable to the machines)  </w:t>
        <w:br/>
        <w:t xml:space="preserve">5. IT costs:  </w:t>
        <w:br/>
        <w:t xml:space="preserve">a) costs of IT investments in software  </w:t>
        <w:br/>
        <w:t xml:space="preserve">b) cost of IT support teams dedicated to withdrawals  </w:t>
        <w:br/>
        <w:t>These IT costs must cover the following functions: management of interbanking, the integrity of the CB system compared to other systems, confidential data and encryption, authorizations, compensation, and archiving.</w:t>
      </w:r>
    </w:p>
    <w:p>
      <w:r>
        <w:t xml:space="preserve">LATHAM &amp; WATKINS  </w:t>
        <w:br/>
        <w:t xml:space="preserve">6. Administrative management charges:  </w:t>
        <w:br/>
        <w:t xml:space="preserve">a) costs of human resources in the agency: valuation in man-hours of the processing of complaints regarding withdrawals at the ATM/GAB agency  </w:t>
        <w:br/>
        <w:t xml:space="preserve">b) cost of human resources in back office: valuation in man-hours of the processing of unpaid transactions by the managing bank of the machine  </w:t>
        <w:br/>
        <w:t xml:space="preserve">c) share of common costs of managing disputes attributable to withdrawals made at the machines  </w:t>
        <w:br/>
        <w:t xml:space="preserve">d) costs associated with production managers  </w:t>
        <w:br/>
        <w:t xml:space="preserve">7. COR£ and SICB invoices (if they are also borne by the managing establishment of the machine):  </w:t>
        <w:br/>
        <w:t xml:space="preserve">a) annual flat fee (contract) allocated to withdrawals made at the machines  </w:t>
        <w:br/>
        <w:t xml:space="preserve">b) unit cost per withdrawal  </w:t>
        <w:br/>
        <w:t xml:space="preserve">8. Security costs:  </w:t>
        <w:br/>
        <w:t xml:space="preserve">a) security costs related to cash management  </w:t>
        <w:br/>
        <w:t xml:space="preserve">b) maintenance costs of security devices and security personnel  </w:t>
        <w:br/>
        <w:t>c) investment in the security system</w:t>
      </w:r>
    </w:p>
    <w:p>
      <w:r>
        <w:t xml:space="preserve">LATHAM &amp; WATKINS  </w:t>
        <w:br/>
        <w:t xml:space="preserve">ANNEXES  </w:t>
        <w:br/>
        <w:t xml:space="preserve">OTHER COMMISSIONS - LIST OF COST ITEMS  </w:t>
        <w:br/>
        <w:t xml:space="preserve">1. Capture service commission  </w:t>
        <w:br/>
        <w:t xml:space="preserve">1.1 Capture service commission for payment  </w:t>
        <w:br/>
        <w:t xml:space="preserve">Description of cost items for the payment acquirer  </w:t>
        <w:br/>
        <w:t xml:space="preserve">Recovery by the Banking Exchange Center (CEE) Acquirer of captured and forgotten cards at its acceptors  </w:t>
        <w:br/>
        <w:t xml:space="preserve">Processing of captured and forgotten cards (registration, search for concerned issuers, etc.)  </w:t>
        <w:br/>
        <w:t xml:space="preserve">Sending of captured or forgotten cards to the Issuer CBE (in padded envelopes, sent by post, with Registered Mail and Acknowledgment of Receipt.)  </w:t>
        <w:br/>
        <w:t xml:space="preserve">Cost of managing capture bonuses for acceptors (accounting, payment to acceptors, recovery of bonuses from issuers)  </w:t>
        <w:br/>
        <w:t xml:space="preserve">1.2 Capture service commission for withdrawal  </w:t>
        <w:br/>
        <w:t xml:space="preserve">Description of cost items for the ATM acquirer  </w:t>
        <w:br/>
        <w:t xml:space="preserve">Securing the storage of captured cards (secure part of the ATM)  </w:t>
        <w:br/>
        <w:t xml:space="preserve">Recovery by the Banking Exchange Center (CBE) Acquirer of captured and forgotten cards in the ATMs  </w:t>
        <w:br/>
        <w:t xml:space="preserve">Processing of captured cards (registration, search for concerned issuers, etc.)  </w:t>
        <w:br/>
        <w:t>Sending of captured cards to the Issuer CBE (in padded envelopes, sent by post, with Registered Mail and Acknowledgment of Receipt.)</w:t>
      </w:r>
    </w:p>
    <w:p>
      <w:r>
        <w:rPr>
          <w:b/>
        </w:rPr>
        <w:t>[Pages 82–82]</w:t>
      </w:r>
    </w:p>
    <w:p>
      <w:r>
        <w:t>LATHAM*WATKINS</w:t>
        <w:br/>
        <w:t>2. Pricing for issuer calls</w:t>
        <w:br/>
        <w:t>Description of the acquirer's cost items</w:t>
        <w:br/>
        <w:t>Provision of a procedure and a telephone number to the acceptors allowing them to contact the Acquirer Call Center (CAA) in order to make issuer calls.</w:t>
        <w:br/>
        <w:t>Reception and processing of the acceptor's call by the CAA. The CAA contacts the Issuer Call Center (CAE) by telephone or fax.</w:t>
        <w:br/>
        <w:t>Management of the CAE's response and transmission to the acceptor.</w:t>
        <w:br/>
        <w:t>Archiving of the procedure elements.</w:t>
        <w:br/>
        <w:t>Pricing for documentation requests</w:t>
        <w:br/>
        <w:t>Description of the acquirer's cost items</w:t>
        <w:br/>
        <w:t>Processing of the file with the issuer.</w:t>
        <w:br/>
        <w:t>Search for the document(s).</w:t>
        <w:br/>
        <w:t>Processing of the document request(s) with the acceptor, if applicable.</w:t>
        <w:br/>
        <w:t>Copying and sending fees for the documents to the issuer.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