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https://www.autoritedelaconcurrence.fr/fr/decision/relative-des-pratiques-mises-en-oeuvre-par-les-laboratoires-sandoz-devenus-en-1997</w:t>
      </w:r>
    </w:p>
    <w:p>
      <w:r>
        <w:t>Pages translated : 19</w:t>
      </w:r>
    </w:p>
    <w:p/>
    <w:p>
      <w:r>
        <w:rPr>
          <w:b/>
        </w:rPr>
        <w:t>[Pages 1–3]</w:t>
      </w:r>
    </w:p>
    <w:p>
      <w:r>
        <w:t xml:space="preserve">FRENCH REPUBLIC  </w:t>
        <w:br/>
        <w:t xml:space="preserve">Decision No. 03-D-35 of July 24, 2003  </w:t>
        <w:br/>
        <w:t xml:space="preserve">regarding practices implemented  </w:t>
        <w:br/>
        <w:t xml:space="preserve">by SANDOZ laboratories, which became NOVARTIS Pharma SA in 1997  </w:t>
        <w:br/>
        <w:t xml:space="preserve">in the market for certain pharmaceutical specialties intended for hospitals  </w:t>
        <w:br/>
        <w:t xml:space="preserve">The Competition Council (section I),  </w:t>
        <w:br/>
        <w:t xml:space="preserve">Having regard to the letter registered on January 5, 1998, under number F 1005, by which the Minister responsible for the economy referred to the Competition Council the practices implemented by Sandoz laboratories, which became Novartis Pharma SA in 1997, in the market for certain pharmaceutical specialties intended for hospitals;  </w:t>
        <w:br/>
        <w:t xml:space="preserve">Having regard to Book IV of the Commercial Code relating to price freedom and competition, Decree No. 86-1309 of December 29, 1986, as amended, and Decree No. 2002-689 of April 30, 2002, setting the conditions for the application of Book IV of the Commercial Code;  </w:t>
        <w:br/>
        <w:t xml:space="preserve">Having regard to the observations presented by Novartis Pharma SA and the Government Commissioner;  </w:t>
        <w:br/>
        <w:t xml:space="preserve">Having regard to the other documents in the file;  </w:t>
        <w:br/>
        <w:t xml:space="preserve">The rapporteur, the general rapporteur, the Government Commissioner, and the representative of Novartis Pharma SA heard during the session of May 7, 2003;  </w:t>
        <w:br/>
        <w:t xml:space="preserve">I - FINDINGS  </w:t>
        <w:br/>
        <w:t xml:space="preserve">I THE RELEVANT SECTOR:  </w:t>
        <w:br/>
        <w:t xml:space="preserve">SANDOZ LABORATORIES  </w:t>
        <w:br/>
        <w:t xml:space="preserve">1. Sandoz laboratories are a subsidiary of the Sandoz group. In 1996, it merged with the Swiss group Ciba-Geigi to form a new entity under the name of Novartis. Sandoz Laboratories were thus absorbed to constitute Novartis Pharma S.A. This company ranks 8th among French pharmaceutical firms, with a turnover of 4.6 billion francs in 1996.  </w:t>
        <w:br/>
        <w:t xml:space="preserve">THE PHARMACEUTICAL SPECIALTIES CONCERNED:  </w:t>
        <w:br/>
        <w:t xml:space="preserve">SANDIMMUN® AND NEORAL®  </w:t>
        <w:br/>
        <w:t xml:space="preserve">2. Sandimmun® is a pharmaceutical specialty marketed by Sandoz laboratories since 1984, whose active ingredient is cyclosporine. This molecule has an immunosuppressive activity that prolongs the survival of organ allografts (kidney, heart, liver, pancreas, lung, small intestine) and bone marrow. The main indication of cyclosporine is therefore the prevention of graft rejection as well as anti-rejection treatment during organ transplants or bone marrow grafts. Neoral®, marketed by Sandoz laboratories since 1995, is the same molecule as Sandimmun®, but in a different galenic form.  </w:t>
        <w:br/>
        <w:t xml:space="preserve">3. These specialties are protected by a patent held by Novartis Pharma SA and, at the time of the facts, there was no competing drug with the same effect. Hospitals therefore used the procedure of Article 312 bis of the Public Procurement Code, reserved for pharmaceutical specialties under monopoly. The investigation also established that prescribing physicians considered these specialties as "essential," meaning that they had no equivalent for the treatment of transplanted patients. In France, in 1996, sales of cyclosporine to hospitals, for which Sandoz laboratories held the monopoly, amounted to a turnover of 409 million francs, with a total turnover achieved by these laboratories with hospitals of 710 million francs.  </w:t>
        <w:br/>
        <w:t xml:space="preserve">VEPSIDE®  </w:t>
        <w:br/>
        <w:t xml:space="preserve">4. Vepeside is the trade name for etoposide, a molecule marketed since 1988 by Sandoz laboratories. The major indications for etoposide concern small cell lung cancers, non-seminomatous germ cell tumors of the testis, malignant Hodgkin's and non-Hodgkin's lymphomas, certain acute leukemias, placental choriocarcinomas, but its activity also extends to other solid tumors (such as breast adenocarcinomas). Since 1993, there has been a generic version of etoposide, available only in injectable form, with Sandoz laboratories retaining the monopoly on oral marketing. These generics have been marketed by Pierre Fabre Médicaments, Sanofi (formerly Dakota Pharm), and Pharmacia. The latter transferred the exploitation of its product to Astra France in 1997.  </w:t>
        <w:br/>
        <w:t xml:space="preserve">MIACALCIC®  </w:t>
        <w:br/>
        <w:t xml:space="preserve">5. Miacalcic® is a specialty, presented in injectable form, marketed by Sandoz laboratories since 1981, based on synthetic calcitonin, a hormone identical to that produced by salmon, which treats hypercalcemia of various origins and Paget's disease, as well as vertebral compression resulting from osteoporosis. Before 1995, calcitonin-based specialties were marketed by three other laboratories (Rhône Poulenc, Cassene, and Ciba-Geigy) under the names Calcitar®, Calsyn®, Ciba-calcine®, and Staporos®. However, three of these specialties were not quite identical, as they were based on calcitonin extracted from pigs, for Staporos® and Calcitar®, or synthetic but reproducing human hormone, like Ciba-Calcine®. Only Calsyn® was a synthetic hormone identical to that produced by salmon, like Miacalcic®. Since 1995, there have also been generics of Miacalcic®, offered by Ratiopharm and GNR laboratories.  </w:t>
        <w:br/>
        <w:t xml:space="preserve">PARLODEL®  </w:t>
        <w:br/>
        <w:t xml:space="preserve">6. Parlodel® from Sandoz laboratories has bromocriptine as its active ingredient, a dopaminergic antagonist. This molecule has several indications: in endocrinology to treat prolactin secretion disorders; in gynecology-obstetrics to inhibit lactation in women; in neurology for the treatment of Parkinson's disease. Since 1992, Bromo-Kin has been a generic version of Parlodel. It has been marketed by Irex and Laphal laboratories. Other specialties may, possibly, be considered by physicians as substitutable for Parlodel in its various indications, for example, Arolac®, from Iprad laboratories, in endocrinology.  </w:t>
        <w:br/>
        <w:t xml:space="preserve">SANDOCAL®  </w:t>
        <w:br/>
        <w:t xml:space="preserve">7. Sandocal® is a specialty marketed since 1989 by Sandoz laboratories based on calcium carbonate. The indication for this specialty is hypocalcemia, which may occur during growth periods or during pregnancy and breastfeeding, rickets (in combination with vitamin D), adjunctive treatment of bone demineralization after prolonged immobilization, adjunctive treatment of osteoporosis, and finally cases of spasmophilia. Similar specialties with the same indications are marketed by numerous laboratories. The calcium market is characterized by the fact that hospital sales represent only a small part of the overall market for this product. Thus, for Sandoz laboratories, hospital sales of calcium amounted to 2.7 million francs in 1996, while sales to pharmacies amounted to 45.9 million francs, or 17 times more. Furthermore, calcium intake generally occurs over long periods, on the order of several years.  </w:t>
        <w:br/>
        <w:t xml:space="preserve">LOXEN® AND ICAZ®  </w:t>
        <w:br/>
        <w:t xml:space="preserve">8. Loxen® is a specialty marketed by Sandoz laboratories since 1986, whose active ingredient is nicardipine, while that of Icaz® (launched in 1990) is isradipine. These specialties belong to the family of dihydropyridines, which have a vasodilatory effect and act predominantly on the smooth muscle fibers of the arteries. They are therefore antihypertensives. Dihydropyridines, in oral form, are marketed by a large number of laboratories, such as Pfizer (Amlor®) or Astra France (Flodil®). Furthermore, specialties based on diltiazem and those based on verapamil are also prescribed by physicians in the treatment of hypertension. As with calcium, sales of antihypertensives to hospitals are incomparable to those made in the community: the combined hospital sales of Loxen® and Icaz® amounted to approximately 30 million francs in 1996, while sales of these two products in community pharmacies reached 374 million francs, a ratio of 1 to 12.  </w:t>
        <w:br/>
        <w:t xml:space="preserve">SANDOGLOBULINES®  </w:t>
        <w:br/>
        <w:t xml:space="preserve">9. Sandoglobulines® are immunoglobulins marketed by Sandoz laboratories since 1995. Immunoglobulins are products derived from the fractionation of human plasma collected from donors. Immunoglobulins are indicated in primary immunodeficiencies with hypogammaglobulinemia or functional impairment of tumor activity, in cases of recurrent bacterial infections or children with HIV, and in cases of secondary immunodeficiencies of tumor immunity. Human immunoglobulins were previously produced by Regional Blood Transfusion Centers before the reform of the centers prohibited them. Immunoglobulins are also marketed by the French Laboratories of Fractionation and Biotechnology (Tegeline®). The two products are identical.  </w:t>
        <w:br/>
        <w:t xml:space="preserve">LEPONEX®  </w:t>
        <w:br/>
        <w:t>10. Leponex®, marketed by Sandoz laboratories since 1991, is clozapine. Clozapine is an antipsychotic reserved for the treatment of severe chronic schizophrenia in cases of resistance to conventional antipsychotics. According to Sandoz laboratories, Risperidone (Risperdal®) marketed in 1996 by Janssen-Cilag laboratories is substitutable for Leponex®. In 1998, two specialties using the same molecule as Leponex®, although not listed in the generic directory, obtained marketing authorization (AMM). These are Clozapine Panpharma and Clozapine Merck.</w:t>
      </w:r>
    </w:p>
    <w:p>
      <w:r>
        <w:rPr>
          <w:b/>
        </w:rPr>
        <w:t>[Pages 4–6]</w:t>
      </w:r>
    </w:p>
    <w:p>
      <w:r>
        <w:t>son concurrent Rhône Poulenc. En 1994, le prix de l’ampoule injectable de Miacalcic® de Sandoz était de 8 francs, tandis que le prix de l’ampoule de Calsyn® de Rhône Poulenc était de 7,65 francs. Le CHRU de Toulouse a retenu l’offre de Sandoz, qui incluait une remise de 1,3% sur le chiffre d'affaires total réalisé avec les laboratoires Sandoz. Les mentions manuscrites du classement économique des offres indiquent que le critère de choix était « moins disant avec la clause de regroupement des lots » (cote 1066). En 1995, le CHRU a de nouveau choisi Sandoz pour la calcitonine, malgré un prix inférieur proposé par Rhône Poulenc.</w:t>
      </w:r>
    </w:p>
    <w:p>
      <w:r>
        <w:t>23. En conclusion, les pratiques commerciales des laboratoires Sandoz, telles que décrites, montrent une stratégie de fidélisation des établissements hospitaliers par le biais de remises conditionnelles, influençant ainsi les choix d'achat des hôpitaux, même lorsque des alternatives moins coûteuses étaient disponibles.</w:t>
      </w:r>
    </w:p>
    <w:p>
      <w:r>
        <w:rPr>
          <w:b/>
        </w:rPr>
        <w:t>[Pages 7–9]</w:t>
      </w:r>
    </w:p>
    <w:p>
      <w:r>
        <w:t>competitor Rhône Poulenc manufacturing Calsyn® whose price for the box was 7.65F in 1994 and 7.83F in 1995 compared to 8 francs for Sandoz's Miacalcic® (references 1047 and 1068). The CHRU of Toulouse was offered a 1.3% discount on the total turnover achieved with Sandoz laboratories. It accepted the offer from these laboratories. The handwritten notes of the hospital pharmacist, appearing next to the economic ranking of the offers, indicate in 1995 and 1996 "selection criterion, lowest bidder with the lot grouping clause" (references 1047 and 1068).</w:t>
      </w:r>
    </w:p>
    <w:p>
      <w:r>
        <w:t>23. During the call for tenders issued by the CHU of Montpellier in 1994, the calcitonin market was awarded to Sandoz laboratories, despite lower prices from its competitor Rhône Poulenc: the price of the injectable ampoule of Calsyn® 100 UI was 0.12F, compared to 0.13F for the injectable ampoule of Miacalcic® 80 UI. The CHU was offered a 2% discount conditioned on the choice of several products: Vepeside®, Loxen®, Sandocal®, Ospen® and Miacalcic® (references 870 and 871). The handwritten notes of the hospital pharmacist that appear next to the comparison between the prices of Sandoz products and those of its competitors, which highlight the price advantage of Calsyn®, specify: "it is better to choose Sandoz" (reference 872).</w:t>
      </w:r>
    </w:p>
    <w:p>
      <w:r>
        <w:t>- the calcium market:</w:t>
        <w:br/>
        <w:t xml:space="preserve">24. The discount on the total turnover proposed by Sandoz laboratories led several hospital establishments to choose Sandocal® over a competing calcium, even if it was cheaper. These include the CHUs of Toulouse, Caen, St Etienne, Tours, and Besançon.  </w:t>
        <w:br/>
        <w:t>25. During the call for tenders issued by the CHRU of Toulouse in 1994 and 1995, the calcium market was awarded to Sandoz laboratories, despite the lower price of competitors: in 1994, the price of Ostram® (Merck-Clevenot) was 0.84F compared to 0.88F for Sandocal® (reference 1048) and in 1995, the price of Calperos® was 0.70F, that of Ostram® was 0.84F compared to 0.88F for Sandocal® (reference 1069). Sandoz laboratories proposed, during these two consecutive years, a discount of 1.3%, also conditioned by the choice of other specialties (Vepeside®, Miacalcic®, Parlodel®, Icaz®). The CHU accepted the offer from Sandoz laboratories in 1994 and 1995. The handwritten notes of the hospital pharmacist, appearing next to the economic ranking of the offers, indicate, in 1995, "selection criterion: same (acceptable clause) and in 1996 "selection criterion, lowest bidder with clause (acceptable clause)" (references 1048 and 1069).</w:t>
      </w:r>
    </w:p>
    <w:p>
      <w:r>
        <w:t>26. During the call for tenders issued by the CHU of Caen, the calcium market was awarded to Sandoz laboratories in 1994, 1995, and 1996. On each of these occasions, Sandoz laboratories made a proposal for a 1.3% discount on the total turnover achieved with the hospital establishment, linked to the award of this lot, but also of the bromocriptine and etoposide lots. However, for the calcium market awarded for 1994 (in October 1993), the unit prices excluding taxes of competitors were as follows: 0.25F for Merck Clevenot against 0.40F for Sandoz (reference 748). In 1995, the calcium offered by the cheapest competitor was 0.25F (Léderlé) against 0.40F for Sandoz (reference 759). In 1996, the prices of the cheapest competitor were 0.10F (Doms Adrian) against 0.40F for Sandoz (reference 781). The hospital chose Sandoz for the calcium lot for three consecutive years. It justified its choice during the investigation conducted by the DGCCRF with the following remarks: "prescriber opinion" (reference 3206 of the annexes to the administrative report).</w:t>
      </w:r>
    </w:p>
    <w:p>
      <w:r>
        <w:t>27. During the call for tenders issued by the CHU of Saint-Etienne in 1995, the calcium market was awarded to Sandoz laboratories despite the lower prices proposed by Merck (0.25 francs against 0.40 francs per sachet for Sandoz). Sandoz laboratories had made a proposal for a 0.75% discount on the total turnover achieved with Sandoz products (reference 992). The CHU of Saint-Etienne decided in favor of Sandoz. The report of the tender commission mentions: "Lot No. 227 [calcium]: Lowest bidder considering the discount on turnover" (reference 988).</w:t>
      </w:r>
    </w:p>
    <w:p>
      <w:r>
        <w:t>28. The call for tenders, launched in 1994, by the CHU of Tours concerning calcium, was won by Sandoz laboratories, despite lower price proposals from Merck: 0.17F for 600 mg against 0.40F for Sandoz (reference 1117). Sandoz proposed to the CHU a 1.5% discount on the total turnover achieved with this establishment. This discount also applied to Loxen® and Vepeside®. This proposal was accepted by the CHU of Tours. Below the economic ranking of the offers is the following mention: "REASON FOR AWARD: DISCOUNT IN THE FORM OF FREE QUARTERLY CREDIT" (reference 1117).</w:t>
      </w:r>
    </w:p>
    <w:p>
      <w:r>
        <w:t>29. During the calls for tenders issued in 1994 and 1995 by the CHU of Besançon, the calcium markets were awarded to Sandoz despite the lower prices of competitors: 25 cents per sachet for Merck-Clevenot against 0.40 cents for Sandoz in 1994 (reference 748). The presentation report of the negotiated market with competitive bidding for the year 1994 indicates: "Lot 8 [calcium] = The SANDOZ Laboratory proposes a 0.5% discount on the entire 1994 market if lots 8 and 62 are awarded to it, this discount applying from the beginning of the fiscal year. Given the importance of the turnover achieved with this supplier (approximately 7 million francs), it is therefore ACCEPTED" (reference 685). For the market of the year 1995, the proposed discount was 1% on the total turnover of this establishment. The prices of competitors were as follows: 0.25F per sachet for Merck-Clevenot; 0.30F for Lederlé and 0.40F for Sandoz (reference 689). The CHU also chose Sandoz for the calcium market. The minutes of the Commission specify: "In view of the discount on turnover granted by the SANDOZ Laboratory, the Commission decides to retain this supplier" (reference 689).</w:t>
      </w:r>
    </w:p>
    <w:p>
      <w:r>
        <w:t>- on the etoposide market:</w:t>
        <w:br/>
        <w:t>30. During the calls for tenders launched in 1994, 1995, and 1996 by the CHU of Caen, the etoposide market was awarded to Sandoz Laboratories in 1994 and 1996 despite lower prices from competitors. In 1994, the unit price of the ampoule proposed by Pierre Fabre Médicaments was 90F against 93.27F for Sandoz, as indicated by the economic ranking of the offers made by the hospital (reference 742). Similarly, in 1996, the price of the ampoule proposed by Sanofi was 75F against 79F for Sandoz, as also shown by the economic ranking of the offers (reference 774). The CHU was offered by Sandoz laboratories a 1.3% discount on the total turnover achieved with Sandoz laboratories for these two years. It accepted the offer from Sandoz Laboratories and nevertheless justified its choice, a posteriori, during the investigation conducted by the DGCCRF with the following remarks: "lower cost" (reference 3206 of the annexes to the administrative report).</w:t>
      </w:r>
    </w:p>
    <w:p>
      <w:r>
        <w:t>31. During the calls for tenders issued by the CHRU of Toulouse in 1994 and 1995, the etoposide markets were awarded to Sandoz laboratories. In 1994, Sandoz's Vepeside® was offered at a higher unit price (89F) than that of Etoposide (generic) from Pierre FABRE Médicaments (84F) (reference 1049). In 1995, Sandoz offered Vepeside at the same price as its competitor (80F) (reference 1070). During these two years, Sandoz laboratories offered a 1.3% discount linked to the purchase of this specialty as well as other specialties (Sandocal, Vepeside, Miacalcic, Parlodel, Icaz). This discount led the hospital to choose Sandoz laboratories, as indicated, for 1994, by the handwritten note next to the printed mention of the lot grouping clause: "acceptable clause" (reference 1049) and for 1995 "selection criterion, lowest bidder with acceptable lot grouping clause" (reference 1070).</w:t>
      </w:r>
    </w:p>
    <w:p>
      <w:r>
        <w:t>32. During the call for tenders issued for the 1994/1995 market by the CHRU of Lille, the etoposide market was awarded to Sandoz laboratories, despite a lower price proposal from Pierre FABRE Médicaments (89 francs per ampoule against 90 francs for Sandoz). The proposal from Sandoz laboratories for a 2% discount on the total turnover achieved with this hospital establishment directly influenced the buyer's decision, as recognized by the Director of Supplies of the central pharmacy of the CHRU of Lille: "Regarding etoposide, given Sandoz's offer of a 2% discount, and the minimal difference (3,000 Francs over two years) between Sandoz and Pharmacia, it is clear that the choice was made for Sandoz to not lose the 2% discount (which represented approximately 280,000 francs)" (reference 354).</w:t>
      </w:r>
    </w:p>
    <w:p>
      <w:r>
        <w:t>33. During the call for tenders issued in 1994 by the CHU of Montpellier, the etoposide market was awarded to Sandoz, despite a lower price from its competitor Pierre Fabre Médicaments. The economic ranking of the offers indicates that Pierre Fabre Médicaments' etoposide was at 81F per ampoule against 88F for Sandoz (reference 868). As part of a negotiated market, after an unsuccessful call for tenders, the hospital establishment chose Sandoz laboratories to obtain the 2% discount on turnover, as indicated by the handwritten note on a document related to the market "it is better to choose Sandoz" (reference 872).</w:t>
      </w:r>
    </w:p>
    <w:p>
      <w:r>
        <w:t>34. During the call for tenders launched in 1994 by the CHU of Tours, regarding the etoposide market, Sandoz laboratories won the market. They had proposed a 1.5% discount on the total turnover achieved with this establishment, also applying to Loxen® and Sandocal®. This proposal was accepted by the CHU of Tours (the discount was indeed paid), and led to the elimination of Pierre Fabre Médicaments, which was nonetheless less expensive (84 francs per ampoule against 88 francs for SANDOZ) (reference 1118). The minutes of the award of the lots contain the following mention: "REASON FOR AWARD: DISCOUNT IN THE FORM OF FREE QUARTERLY CREDIT" (reference 1118).</w:t>
      </w:r>
    </w:p>
    <w:p>
      <w:r>
        <w:t>35. Furthermore, the administrative report indicates that Sandoz Laboratories practiced an abusively low pricing policy on Vepeside, in order to eliminate competing generic manufacturers. The report suggests the existence of a predatory pricing policy, referencing the AKZO case law, given the selling price of injectable Vepeside®, which is lower than its average variable cost.</w:t>
      </w:r>
    </w:p>
    <w:p>
      <w:r>
        <w:t>III NOTIFIED GRIEVANCES:</w:t>
        <w:br/>
        <w:t>36. Given the practices described above, the following grievances have been notified:</w:t>
        <w:br/>
        <w:t>37. "Sandoz Laboratories, which became Novartis Pharma S.A. in 1997, is accused of having abused its dominant position in the market for ciclosporin, marketed under the names Sandimmun® and Néoral®, by abusing this position in the markets concerned through the sale of the following eight pharmaceutical specialties: Vepeside®, Sandocal®; Miacalcic®, Loxen®, Icaz®, Sandoglobulines®, Leponex® Parlodel®. The abusive practice consisted of using a discount system, which linked the purchase of ciclosporin to that of the eight</w:t>
      </w:r>
    </w:p>
    <w:p>
      <w:r>
        <w:rPr>
          <w:b/>
        </w:rPr>
        <w:t>[Pages 10–12]</w:t>
      </w:r>
    </w:p>
    <w:p>
      <w:r>
        <w:t>that the establishment of these partnerships was aimed at ensuring the loyalty of hospitals through a system of discounts on linked sales. As indicated by the sales director of Sandoz Laboratories in his statement to the investigators (cited in point 10 above): "The establishment of partnerships with hospital establishments was carried out progressively starting from the 1994 campaign. (...) The discount offered ranged from 0.25% to 2% on the total turnover of Sandoz. (...) The counterpart to the granting of these discounts was the choice by the concerned establishments of priority specialties, mainly Vepeside, Sandoglobulines, Navoban (in a more anecdotal way), Calcium, and Parlodel (...). It goes without saying that this practice aimed to create a dependency of the hospitals on the products of Sandoz, thereby reinforcing its dominant position in the market."</w:t>
      </w:r>
    </w:p>
    <w:p>
      <w:r>
        <w:rPr>
          <w:b/>
        </w:rPr>
        <w:t>[Pages 13–15]</w:t>
      </w:r>
    </w:p>
    <w:p>
      <w:r>
        <w:t>0.25% to 2% on Sandoz's total turnover. (…) The consideration for granting these discounts was the choice by the concerned establishments of priority specialties, mainly Vepeside, Sandoglobulines, Navoban (in a more anecdotal way), Calcium, and Parlodel (…) It goes without saying</w:t>
      </w:r>
    </w:p>
    <w:p>
      <w:r>
        <w:t xml:space="preserve">that the non-selection of one of the products resulted in the non-granting of the discount. (…) In 1996, we included in the list of products subject to the granting of the additional discount, the Sandoglobulines that we were launching on the market. (…). The hospital pharmacists acknowledged with satisfaction the granting of additional discounts that we had not previously granted them. This contributes to the loyalty of our customers. This policy concerns about twenty establishments, mainly university hospitals, with which we nonetheless achieve a significant share of turnover.”  </w:t>
        <w:br/>
        <w:t xml:space="preserve">50. However, the Court of Justice of the European Communities, in the judgment of February 13, 1979, HOFFMANN-LA ROCHE &amp; Co Ag v. Commission of the European Communities, indicated that: “the fact that a company in a dominant position in a market ties - even at their request - buyers by an obligation or promise to source all or a substantial part of their needs exclusively from that company constitutes an abusive exploitation of a dominant position, within the meaning of Article 86 of the Treaty, whether the obligation in question is stipulated as such or whether it finds its counterpart in the granting of discounts. The same applies when the said company, without binding the buyers by a formal obligation, applies, either by virtue of agreements made with these buyers, a loyalty discount system, that is to say, discounts linked to the condition that the customer sources exclusively for all or a substantial part of their needs from the company in a dominant position.”  </w:t>
        <w:br/>
        <w:t xml:space="preserve">“In fact, exclusive sourcing commitments of this nature, with or without the counterpart of discounts or the granting of loyalty discounts aimed at encouraging the buyer to source exclusively from the company in a dominant position, are incompatible with the objective of undistorted competition in the common market because they do not rest on an economic performance justifying this burden or advantage, but tend to deprive the buyer, or restrict their ability, of the possibility of choice regarding their sources of supply and to block access to the market for other producers.” (…)  </w:t>
        <w:br/>
        <w:t xml:space="preserve">“Loyalty discounts also have the effect of applying unequal conditions to business partners for equivalent services, in that two buyers of the same quantity of the same product pay a different price depending on whether they source exclusively from the company in a dominant position or diversify their sources of supply.”  </w:t>
        <w:br/>
        <w:t>51. It follows that the attempt to secure the loyalty of hospitals, relying on the holding of the monopoly of two specialties named Sandimmun® and Néoral® (cyclosporine), specialties which, on the one hand, are classified among the most expensive for hospitals and whose prices, on the other hand, increased each year “by adjusting these increases to the benchmark rates imposed on hospital establishments” (reference 269), and by offering discounts on the total turnover of the order, including these specialties, conditioned by the purchase of competing specialties, has an anti-competitive object and is contrary to Article L. 420-2 of the Commercial Code, which explicitly states in its first paragraph: “the abusive exploitation of a dominant position in a domestic market or in a substantial part of it is prohibited under the conditions provided for in Article L. 420-1. Such abuses may consist in particular of refusal to sell, tied sales, or discriminatory sales conditions….”</w:t>
      </w:r>
    </w:p>
    <w:p>
      <w:r>
        <w:t xml:space="preserve">On the defense arguments:  </w:t>
        <w:br/>
        <w:t xml:space="preserve">52. Novartis Pharma invokes its ignorance of the anti-competitive nature of the grouping discounts prior to the Lilly France decision, the express request of hospitals for such discounts, and the tolerance of public authorities. It finally alleges the generalized nature of linked discount practices by all pharmaceutical laboratories.  </w:t>
        <w:br/>
        <w:t xml:space="preserve">53. Besides the fact that no one can claim ignorance of the law, Novartis Pharma is, in this case, unfounded in invoking its alleged ignorance of the illicit nature of such practices, even prior to the publication of the “Lilly France” decision, particularly because the aforementioned HOFFMANN-LA ROCHE judgment predates the observed practices by fifteen years, and moreover, Article 8 of Ordinance 86-1243 of December 1, 1986, in force at the time of the facts, specifies, under abuses of dominant position, that “such abuses may consist in particular of ( …) tied sales …”. Furthermore, no element in the file provides evidence that these practices met the express request of hospitals nor that they encountered any form of "administrative tolerance." Finally, Novartis Pharma cannot invoke potential anti-competitive practices of its competitors to justify its own practices.  </w:t>
        <w:br/>
        <w:t xml:space="preserve">On the anti-competitive effects of linked discount practices between cyclosporine and specialties marketed by Sandoz:  </w:t>
        <w:br/>
        <w:t xml:space="preserve">54. The report highlights that these discounts, conditioned on the purchase of competing drugs, also had anti-competitive effects by excluding substitutable products offered by competitors at lower prices during the calls for tenders issued by the concerned hospitals.  </w:t>
        <w:br/>
        <w:t xml:space="preserve">For the CHU of Besançon:  </w:t>
        <w:br/>
        <w:t xml:space="preserve">55. During the calls for tenders issued by this hospital for calcium, in 1994 and 1995, Merck laboratory was excluded twice despite a lower offer (cf paragraph 29). In 1994, the market presentation report indeed states: "Lot 8 = The SANDOZ Laboratory offers a 0.5% discount on the entire 1994 market if lots 8 and 62 are awarded to it, this discount applying from the beginning of the fiscal year. Given the importance of the turnover achieved with this supplier (approximately 7 million francs), it is therefore SELECTED." In 1995, the minutes of the Tender Commission specify: “In view of the turnover discount granted by the SANDOZ Laboratory, the Commission decides to retain this supplier.” It follows from these elements that the proposed discounts had an exclusionary effect on the calcium market previously passed by the hospital of Besançon in 1994 and 1995.  </w:t>
        <w:br/>
        <w:t xml:space="preserve">For the CHU of Caen:  </w:t>
        <w:br/>
        <w:t xml:space="preserve">56. Regarding the etoposide market (anticancer), the Caen hospital was led to choose Sandoz in 1994 and 1996, despite lower price offers from competitors (cf paragraph 30). Novartis Pharma laboratories argue that this hospital would have chosen Vepeside® due to the "range effect." However, no element in the file supports this argument. Furthermore, unless otherwise advised by the prescribing physician, the hospital chooses the pharmaceutical specialty based on its price, as evidenced by the economic ranking of the offers conducted by this hospital. The generics of Vepeside® were indeed excluded, as were the generics of Parlodel® in the bromocriptine market (cf paragraph 19). Novartis Pharma laboratories contest this exclusionary effect in this market by arguing a letter between the DGCCRF and the CHU of Caen, in which the latter would justify the choice of Sandoz and Parlodel by stating a “lower cost” (reference 3206 of the annexes to the administrative report). However, the offers from competitors were lower. This argument cannot therefore be upheld. Consequently, it follows from these elements that the proposed discounts had exclusionary effects vis-à-vis competitors, on the one hand, in the etoposide market in 1994 and 1996 and, on the other hand, in the bromocriptine market in 1995 and 1996 for the calls for tenders issued by the CHU of Caen.  </w:t>
        <w:br/>
        <w:t xml:space="preserve">57. On the other hand, during the administrative investigation conducted by the Directorate General for Competition and Fraud Prevention, the responsible parties at the Caen hospital explained that the choice of Sandocal, despite the presence of a cheaper competing offer for the markets of 1994, 1995, and 1996, responded to the “prescribing opinions” and no element in the file contradicts this assertion. Therefore, for these three markets, the grievance of linked discount constituting an abuse of dominant position should be rejected.  </w:t>
        <w:br/>
        <w:t xml:space="preserve">For the CHU of Clermont-Ferrand:  </w:t>
        <w:br/>
        <w:t xml:space="preserve">58. In 1996, during the call for tenders issued by this hospital for bromocriptine, marketed by Sandoz under the name Parlodel®, the hospital chose Sandoz due to the linked discount of 1% while there were less expensive competitors (cf paragraph 21). It follows that the proposed discount had an exclusionary effect, which manifested itself during the bromocriptine market tender issued in 1996 by the CHU of Clermont-Ferrand.  </w:t>
        <w:br/>
        <w:t xml:space="preserve">59. On the other hand, during the administrative investigation conducted by the Directorate General for Competition and Fraud Prevention, the responsible parties for the markets interviewed indicated that the choice of Sandoglobulin in Clermont-Ferrand in 1996, under the same linked discount conditions, resulted from the fact that the cheapest product, offered by the French Laboratories of Fractionation and Biotechnology, “did not have a marketing authorization in 1996.” Therefore, for this market, the grievance of linked discount constituting an abuse of dominant position should be rejected.  </w:t>
        <w:br/>
        <w:t xml:space="preserve">For the CHU of Lille:  </w:t>
        <w:br/>
        <w:t xml:space="preserve">60. For the 1995/1996 market, the Lille hospital chose Sandoz's Vepeside® due to the turnover discount while the competitor, Pierre Fabre Médicaments, was less expensive (cf paragraph 32). It follows that the proposed discount had an exclusionary effect on the etoposide market passed in 1995 by the CHU of Lille.  </w:t>
        <w:br/>
        <w:t xml:space="preserve">For the CHU of Montpellier:  </w:t>
        <w:br/>
        <w:t>61. In 1994, for the etoposide market issued by the Montpellier hospital, Sandoz made a price proposal to the Montpellier hospital for Vepeside® at 88F while the competitor, Pierre Fabre Médicaments, offered the generic at 81F per ampoule. Sandoz proposed a 2% discount on the total turnover, including the monopolized cyclosporine. The hospital declared the call for tenders unsuccessful and chose Sandoz for the supply of etoposide (cf paragraph 33). It also retained Sandoz laboratories and their product, Miacalcic® (cf paragraph 23). In their observations to the report, Novartis Pharma laboratories contest the exclusionary effect in these two markets by arguing that their products were cheaper. However, this lower price was obtained, not by applying a 2% reduction to the price of the Vepeside® order but by applying the amount of the</w:t>
      </w:r>
    </w:p>
    <w:p>
      <w:r>
        <w:rPr>
          <w:b/>
        </w:rPr>
        <w:t>[Pages 16–18]</w:t>
      </w:r>
    </w:p>
    <w:p>
      <w:r>
        <w:t>the discounts offered by Sandoz laboratories benefited the hospitals.</w:t>
      </w:r>
    </w:p>
    <w:p>
      <w:r>
        <w:t>76. In light of these elements, it is clear that the discounts proposed by Sandoz laboratories have led to the exclusion of competitors on twenty-four occasions during calls for tenders issued by eight hospitals. These hospitals are located in Besançon, Caen, Clermont-Ferrand, Lille, Montpellier, Saint Etienne, Toulouse, and Tours. The linked discounts, with an anti-competitive purpose, proposed by Sandoz laboratories have consequently had anti-competitive effects, prohibited by Article L. 420-2 of the Commercial Code. On the other hand, there is no evidence that the linked discounts applied on the three markets in Caen for Sandocal and in Clermont-Ferrand and Nantes for Sandoglobulin were the reason for the exclusion of cheaper competing products.</w:t>
      </w:r>
    </w:p>
    <w:p>
      <w:r>
        <w:t>ON THE SECOND GRIEVANCE</w:t>
        <w:br/>
        <w:t>67. The second grievance of predatory pricing should be dismissed as it is based on a material error.</w:t>
      </w:r>
    </w:p>
    <w:p>
      <w:r>
        <w:t>ON THE ATTRIBUTION OF PRACTICES</w:t>
        <w:br/>
        <w:t>68. In 1996, the Sandoz group merged with the Swiss group Ciba-Geigi to form a new entity under the name of Novartis Pharma S.A. The disappearance of the company "Les Laboratoires Sandoz" implies that the practice should be attributed to Novartis Pharma SA.</w:t>
      </w:r>
    </w:p>
    <w:p>
      <w:r>
        <w:t>III ON SANCTIONS</w:t>
        <w:br/>
        <w:t>69. The infractions mentioned above were committed prior to the entry into force of Law No. 2001-420 of May 15, 2001, relating to new economic regulations, and consequently, the provisions introduced by this law in Article L. 464-2 of the Commercial Code, which provide for harsher penalties than those in force previously, do not apply to them.</w:t>
      </w:r>
    </w:p>
    <w:p>
      <w:r>
        <w:t>70. According to Article L. 464-2 of the Commercial Code in its wording prior to the entry into force of the law of May 15, 2001: "The Competition Council... may impose a monetary sanction applicable either immediately or in the event of non-compliance with injunctions. Monetary sanctions are proportionate to the seriousness of the facts alleged, the extent of the damage to the economy, and the situation of the sanctioned company or organization. They are determined individually for each sanctioned company or organization and justified for each sanction. The maximum amount of the sanction is, for a company, 5% of the amount of the turnover excluding taxes achieved in France during the last closed financial year. If the offender is not a company, the maximum is ten million francs."</w:t>
      </w:r>
    </w:p>
    <w:p>
      <w:r>
        <w:t>71. The seriousness of the practices must be assessed taking into account the fact that they were implemented by a company in a monopoly position in a particularly important market. Indeed, it emerges from the statements of hospital officials in the file that ciclosporin was a particularly innovative drug as it enabled the growth of transplant practices during the period in question. The monopoly of ciclosporin, an "essential" drug, thus conferred a position of strength on Sandoz laboratories in relation to hospital pharmaceutical buyers. It is serious, under these conditions, that Sandoz laboratories abused this position, using the market where they held a monopoly to act on the related markets of seven specialties for which Sandoz products were, conversely, strongly competed against. The practice of linked discounts led to the undue extension of the advantages of the monopoly position gained through the major innovation that ciclosporin represented. It is particularly serious that this policy was "proposed and approved by our general management in France," as stated by the sales director, and that a company of the importance and reputation of Sandoz laboratories committed these abuses for three years, only ceasing these practices when the administrative investigation began.</w:t>
      </w:r>
    </w:p>
    <w:p>
      <w:r>
        <w:t>72. To assess the damage to the economy, it is necessary to consider that, at the time of the facts, purchases of ciclosporin constituted the most significant item of drug purchases by hospitals (400 million francs in 1996) and that sales of all pharmaceutical specialties from Sandoz laboratories to hospitals represented, in 1996, a turnover of 710 million francs (108.2 million euros). It should be noted that among the drugs that Sandoz laboratories sought to exclude were generics, drugs whose prices are significantly lower than those of the original products.</w:t>
      </w:r>
    </w:p>
    <w:p>
      <w:r>
        <w:t>73. Regarding the seriousness of the practices and the damage to the economy, the government commissioner, in his written observations, mentions the similarity of the practices considered with those that were the subject of the Lilly France decision but notes that these practices affected "eight related markets" while only one related market was involved in the Lilly France case, so that "the damage to the economy is aggravated." This observation remains true for the seven related markets retained after excluding that of immunoglobulins.</w:t>
      </w:r>
    </w:p>
    <w:p>
      <w:r>
        <w:t>74. During the session, the lawyer for Sandoz laboratories argued that his client, before implementing its discounts, had only increased the prices of ciclosporin during the period under review by about 4% while the Lilly France decision mentions increases ranging from 14% to 35%, depending on the hospitals, with an average increase of 27% on Dobutrex, the monopolized product at issue in that case. However, when considering the amount of turnover achieved, 400 million francs for ciclosporin compared to 76 million francs in the case of Lilly France's Dobutrex, it appears that these 4% represent a financial gain of about 16 million francs for Sandoz laboratories compared to about 20 million francs in the case of Lilly France. This establishes that, in both cases, the total amount of increases on the monopolized drug was significant.</w:t>
      </w:r>
    </w:p>
    <w:p>
      <w:r>
        <w:t>75. Sandoz laboratories also argue that, given the alleged moderation of the price increases of ciclosporin during the period, the linked discounts would have benefited the hospitals. However, it is established that the discounts on the overall turnover, including ciclosporin, practiced by Sandoz laboratories remained in the range of 0.5% to 1.5%, exceptionally 2% in the case of CHU of Montpellier, and that their amounts are very much lower than the gains realized from the price increase of ciclosporin and are even more so if only the discounts on competing drugs are considered. It is therefore not established that</w:t>
      </w:r>
    </w:p>
    <w:p>
      <w:r>
        <w:rPr>
          <w:b/>
        </w:rPr>
        <w:t>[Pages 19–19]</w:t>
      </w:r>
    </w:p>
    <w:p>
      <w:r>
        <w:t xml:space="preserve">the pricing policy of Sandoz Laboratories regarding ciclosporin would have allowed these hospitals to gain a financial advantage from the discounts applied to the prices of competing specialties.  </w:t>
        <w:br/>
        <w:t xml:space="preserve">76. Before their merger with Ciba-Geigy Laboratories, Sandoz laboratories achieved, in 1996, 53% of the total turnover in France. Novartis Pharma SA recorded a turnover of 779.5 million euros as of December 31, 2002, the last known fiscal year. Based on the general and individual elements as assessed above, a penalty of 7.8 million euros should be imposed.  </w:t>
        <w:br/>
        <w:t xml:space="preserve">77. In order to ensure compliance with the applicable competitive rules for public entities, it is necessary to enhance the vigilance of those responsible for managing the hospital system in general, and particularly hospital pharmacists, by fully informing them about this matter. Consequently, the Council's decision will be communicated to these officials through publication in the journal: "Le Moniteur Hospitalier."  </w:t>
        <w:br/>
        <w:t xml:space="preserve">DECISION  </w:t>
        <w:br/>
        <w:t xml:space="preserve">Article 1: It is established that the company Sandoz, now Novartis Pharma SA, violated the provisions of Article L. 420-2 of the Commercial Code by practicing linked discounts on the sales of its specialties containing ciclosporin and seven other specialties.  </w:t>
        <w:br/>
        <w:t xml:space="preserve">Article 2: It is not established that the company Sandoz, now Novartis Pharma SA, violated the provisions of Article L. 420-2 of the Commercial Code by practicing predatory pricing on the sale of its specialty Vepeside.  </w:t>
        <w:br/>
        <w:t xml:space="preserve">Article 3: A monetary penalty of 7.8 million euros is imposed on the company Sandoz, now Novartis Pharma SA.  </w:t>
        <w:br/>
        <w:t xml:space="preserve">Article 4: Within three months from the notification of this decision, Novartis Pharma SA shall publish this decision in an edition of the journal "Le Moniteur Hospitalier." This publication shall be preceded by the mention "decision no. 03-D-35 of July 24, 2003, of the Competition Council regarding practices in the market for certain pharmaceutical specialties intended for hospitals implemented by the company Sandoz, now Novartis Pharma SA."  </w:t>
        <w:br/>
        <w:t xml:space="preserve">Deliberated on the oral report of Ms. Wibaux, by Mr. Philippe Nasse, Vice-President, Ms. Aubert and Ms. Perrot, Mr. Bidaud, Mr. Charrière Bournazel, members.  </w:t>
        <w:br/>
        <w:t xml:space="preserve">The session secretary The Vice-President,  </w:t>
        <w:br/>
        <w:t xml:space="preserve">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