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https://www.autoritedelaconcurrence.fr/fr/decision/relative-des-pratiques-mises-en-oeuvre-par-les-societes-ethicon-sas-tyco-healthcare-france</w:t>
      </w:r>
    </w:p>
    <w:p>
      <w:r>
        <w:t>Pages translated : 12</w:t>
      </w:r>
    </w:p>
    <w:p/>
    <w:p>
      <w:r>
        <w:rPr>
          <w:b/>
        </w:rPr>
        <w:t>[Pages 1–3]</w:t>
      </w:r>
    </w:p>
    <w:p>
      <w:r>
        <w:t xml:space="preserve">FRENCH REPUBLIC  </w:t>
        <w:br/>
        <w:t xml:space="preserve">Decision No. 09-D-38 of December 17, 2009  </w:t>
        <w:br/>
        <w:t xml:space="preserve">regarding practices implemented by the companies Ethicon SAS,  </w:t>
        <w:br/>
        <w:t xml:space="preserve">Tyco Healthcare France and the national union of medical technology industries  </w:t>
        <w:br/>
        <w:t xml:space="preserve">The Competition Authority (section IV),  </w:t>
        <w:br/>
        <w:t xml:space="preserve">Having regard to the letter, registered on August 29, 2005, under number 05/0066 F, by which the Minister of Economy, Finance and Industry referred the Competition Council to practices implemented by the companies Ethicon SAS, Tyco Healthcare France and the national union of medical technology industries;  </w:t>
        <w:br/>
        <w:t xml:space="preserve">Having regard to Articles 101 and 102 of the Treaty on the Functioning of the European Union;  </w:t>
        <w:br/>
        <w:t xml:space="preserve">Having regard to Book IV of the amended Commercial Code;  </w:t>
        <w:br/>
        <w:t xml:space="preserve">Having regard to the Social Security Code;  </w:t>
        <w:br/>
        <w:t xml:space="preserve">Having regard to the other documents in the file;  </w:t>
        <w:br/>
        <w:t xml:space="preserve">Having regard to the observations presented by the Government Commissioner;  </w:t>
        <w:br/>
        <w:t xml:space="preserve">The rapporteur, the deputy general rapporteur, and the Government Commissioner heard during the session of the Competition Authority on December 1, 2009;  </w:t>
        <w:br/>
        <w:t>Adopts the following decision:</w:t>
      </w:r>
    </w:p>
    <w:p>
      <w:r>
        <w:t xml:space="preserve">1. By letter registered on August 29, 2005, under number 05/0066 F, the Minister in charge of the economy referred the Competition Council to practices implemented since 2001 in the sector of supplying mechanical internal suture and ligature implants to public health establishments.  </w:t>
        <w:br/>
        <w:t xml:space="preserve">I. Findings  </w:t>
        <w:br/>
        <w:t xml:space="preserve">A. PRESENTATION OF THE SECTOR  </w:t>
        <w:br/>
        <w:t xml:space="preserve">1. THE PRODUCTS  </w:t>
        <w:br/>
        <w:t xml:space="preserve">2. Article L. 5211-1 of the Public Health Code defines a medical device as "any instrument, apparatus, equipment, material, product, with the exception of products of human origin, or other article used alone or in association, including accessories and software involved in its operation, intended by the manufacturer to be used in humans for medical purposes and whose principal intended action is not achieved by pharmacological or immunological means nor by metabolism, but whose function may be assisted by such means."  </w:t>
        <w:br/>
        <w:t xml:space="preserve">3. Within this category are notably the mechanical internal suture and ligature implants (hereinafter "ISLIM"), which are devices that allow for rapid suturing and ligation of soft tissues, primarily used in digestive surgery.  </w:t>
        <w:br/>
        <w:t xml:space="preserve">4. This designation covers two main types of function, and thus instruments:  </w:t>
        <w:br/>
        <w:t xml:space="preserve">suture, which is performed by a stapling system;  </w:t>
        <w:br/>
        <w:t xml:space="preserve">ligation, through the application of clips.  </w:t>
        <w:br/>
        <w:t xml:space="preserve">5. For each of these two categories, there are a very large number of references, varying notably by size, the number of elements (clips or staples) applied in one application, shape... For example, in the category of staplers:  </w:t>
        <w:br/>
        <w:t xml:space="preserve">the 5 mm hernia stapler, which performs a multi-application of straight staples and is used for the fixation of implants in the case of inguinal hernia repair by laparoscopy;  </w:t>
        <w:br/>
        <w:t xml:space="preserve">the cutting linear staplers, which allow for cutting sections of intestines and resecting them;  </w:t>
        <w:br/>
        <w:t>the circular staplers, which notably allow for suturing the esophagus.</w:t>
      </w:r>
    </w:p>
    <w:p>
      <w:r>
        <w:t xml:space="preserve">2. THE ACTORS  </w:t>
        <w:br/>
        <w:t xml:space="preserve">6. In 2001, two companies shared the vast majority of the ISLIM supply sector to health establishments:  </w:t>
        <w:br/>
        <w:t xml:space="preserve">Tyco Healthcare France SAS (now Covidien France SAS, hereinafter "Tyco"), a subsidiary until 2007 of Tyco International Ltd, which represented approximately 55% of sales;  </w:t>
        <w:br/>
        <w:t xml:space="preserve">Ethicon SAS (hereinafter "Ethicon"), which belongs to the Johnson &amp; Johnson group and represented approximately 40% of sales.  </w:t>
        <w:br/>
        <w:t xml:space="preserve">7. Four companies shared the remainder of the market at that time, none of which offered a relatively complete range of products.  </w:t>
        <w:br/>
        <w:t>8. Furthermore, the industrial players in the field of medical technologies were and still are grouped within a professional organization, Snitem (national union of medical technology industries). This organization has approximately 200 members, including manufacturers of ISLIM.</w:t>
      </w:r>
    </w:p>
    <w:p>
      <w:r>
        <w:t xml:space="preserve">3. THE SPECIFICITIES OF THE MARKET  </w:t>
        <w:br/>
        <w:t xml:space="preserve">a) The regulations in force until 2006 regarding reimbursement  </w:t>
        <w:br/>
        <w:t xml:space="preserve">9. ISLIM were initially covered by health insurance up to the amounts charged by manufacturers or intermediaries to private health establishments, with public establishments operating on the principle of a global budget.  </w:t>
        <w:br/>
        <w:t xml:space="preserve">10. In order to contain health expenditures, these devices were, in 1996, subject to registration by decree on the list of reimbursable products and services (LPPR, formerly the interministerial tariff for health services or TIPS), this registration being accompanied by the setting of a maximum reimbursement rate. This rate was determined by the Economic Committee for Health Products (hereinafter "CEPS," created in 2000 to replace the Economic Committee for Medicines).  </w:t>
        <w:br/>
        <w:t xml:space="preserve">11. On this occasion, a specific code for ISLIM was created, code 301J03, grouping all products belonging to this category, with maximum reimbursement rates set by product line.  </w:t>
        <w:br/>
        <w:t xml:space="preserve">12. This system of maximum reimbursement rates by product type lasted until 2006, when activity-based pricing was implemented for health establishments.  </w:t>
        <w:br/>
        <w:t xml:space="preserve">b) Two different demands: public establishments and private clinics  </w:t>
        <w:br/>
        <w:t>13. Before 2006 and the implementation of activity-based pricing, demand differed significantly depending on the status of the health establishment concerned.</w:t>
      </w:r>
    </w:p>
    <w:p>
      <w:r>
        <w:rPr>
          <w:b/>
        </w:rPr>
        <w:t>[Pages 4–6]</w:t>
      </w:r>
    </w:p>
    <w:p>
      <w:r>
        <w:t xml:space="preserve">14. Indeed, for public hospitals and private establishments participating in public service, the purchase cost of all ISLIM was covered within the framework of the establishment's global budget. These purchases were made through calls for tenders.  </w:t>
        <w:br/>
        <w:t xml:space="preserve">15. As for other private establishments, ISLIM were covered under internal prostheses, that is to say, in addition to the operating room fee and the daily rate, in accordance with the standard agreement for private hospitalization. In most cases, the implants were placed by the manufacturer on deposit in the establishment and were only billed and paid for after being implanted in a patient.  </w:t>
        <w:br/>
        <w:t xml:space="preserve">16. This difference was concretely reflected in the fact that public establishments engaged in competition, unlike private clinics, as the latter had no interest in doing so, since they only played a passive intermediary role. Thus, the prices of manufacturers for public establishments were significantly lower than those applied to private clinics, the latter being equal to the maximum reimbursement rate. Significant discrepancies between public and private prices could thus be observed for certain types of products, as revealed in Table 1 below.  </w:t>
        <w:br/>
        <w:t xml:space="preserve">code Tips Ethicon Tyco  </w:t>
        <w:br/>
        <w:t xml:space="preserve">301J03.111 99%  </w:t>
        <w:br/>
        <w:t xml:space="preserve">301J03.112 84% 82%  </w:t>
        <w:br/>
        <w:t xml:space="preserve">301J03.12 91%  </w:t>
        <w:br/>
        <w:t xml:space="preserve">301J03.13 99%  </w:t>
        <w:br/>
        <w:t xml:space="preserve">301J03.211 65% 65%  </w:t>
        <w:br/>
        <w:t xml:space="preserve">301J03.212 94% 91%  </w:t>
        <w:br/>
        <w:t xml:space="preserve">301J03.22 90% 95%  </w:t>
        <w:br/>
        <w:t xml:space="preserve">301J03.23 64% 68%  </w:t>
        <w:br/>
        <w:t xml:space="preserve">301J03.311 87% 87%  </w:t>
        <w:br/>
        <w:t xml:space="preserve">301J03.312 88%  </w:t>
        <w:br/>
        <w:t xml:space="preserve">301J03.411 60% 58%  </w:t>
        <w:br/>
        <w:t xml:space="preserve">301J03.412 29% 82%  </w:t>
        <w:br/>
        <w:t xml:space="preserve">301J03.42 99%  </w:t>
        <w:br/>
        <w:t xml:space="preserve">301J03.43 85% 98%  </w:t>
        <w:br/>
        <w:t xml:space="preserve">301J03.44 51%  </w:t>
        <w:br/>
        <w:t xml:space="preserve">Table 1 - Average price applied for each type of product concerning public establishments as a percentage of the price applied to private establishments in 20001  </w:t>
        <w:br/>
        <w:t xml:space="preserve">B. THE PRACTICES  </w:t>
        <w:br/>
        <w:t xml:space="preserve">17. The administrative investigation report highlights behaviors implemented by Ethicon and Tyco in response to developments regarding the maximum reimbursement rates for ISLIM.  </w:t>
        <w:br/>
        <w:t>1 This differential was calculated based on the turnover and sales volumes provided by the two companies.</w:t>
      </w:r>
    </w:p>
    <w:p>
      <w:r>
        <w:t xml:space="preserve">1. THE CONTEXT OF CHANGES IN REIMBURSEMENT RATES  </w:t>
        <w:br/>
        <w:t xml:space="preserve">18. Alongside the setting of maximum reimbursement rates for ISLIM that took place in 1996, a process of expenditure limitation was initiated, leading manufacturers and the CNAMTS (National Health Insurance Fund for Salaried Workers) to agree on a price reduction for private clinics of approximately 25%.  </w:t>
        <w:br/>
        <w:t xml:space="preserve">19. Two years later, in 1998, all items listed under code 301J03 were subject to a further 2% reduction in the reimbursement rate.  </w:t>
        <w:br/>
        <w:t xml:space="preserve">20. These two reductions were followed in 2001 by the announcement made by the CEPS of an upcoming decrease in the maximum reimbursement rate in the ISLIM sector, without specifying either the exact amount of this decrease or the products affected. The CEPS justified this intention by the price difference observed between public establishments and private establishments.  </w:t>
        <w:br/>
        <w:t xml:space="preserve">21. Confirming this announcement, an interministerial notice from November 2001 specified the intention of the ministers in charge of social security, health, and economy and finance to lower the reimbursement rates for ISLIM corresponding to 6 lines of the nomenclature, a decrease confirmed by two ministerial orders in June 2002, and fully applied in February 2003 (a decrease of 3% in June 2002, a decrease of 3% in February 2003).  </w:t>
        <w:br/>
        <w:t xml:space="preserve">22. Faced with these successive reductions in maximum reimbursement rates, which corresponded to the prices charged by Tyco and Ethicon to private establishments, these two companies decided to react in 2001.  </w:t>
        <w:br/>
        <w:t xml:space="preserve">2. THE REACTION OF THE MANUFACTURERS  </w:t>
        <w:br/>
        <w:t xml:space="preserve">23. According to representatives of Ethicon, public authorities, after the increases of 1996 and 1998, had committed to maintaining a status quo for the following years. The turnaround of 2001-2002 led both Ethicon and Tyco to adopt the same strategy, consisting, from the end of 2001, of no longer offering discounts to public establishments, and to align, both of them, the prices of all products under code 301J03 offered to these establishments with the maximum reimbursement rate.  </w:t>
        <w:br/>
        <w:t xml:space="preserve">24. More specifically, Ethicon decided in July 2001 to align its prices with the maximum reimbursement rate, as specified by the export director of Ethicon Endo-Surgery France: "The decision to no longer offer discounts to public hospitals and to align with the TIPS was made in July 2001. It was somewhat of a 'trial shot'. We knew that TIPS prices were going to decrease unjustifiably, as our contractual commitments had been respected. We gave ourselves about 3 months to see how the market would react."  </w:t>
        <w:br/>
        <w:t>25. While Tyco also responded to calls for tenders from public health establishments without offering a discount from July 2001, internal documents attest that its executives only became aware of the change in Ethicon's commercial policy in July 2001, and that it was only from October 2001 that the company generalized this principle of alignment with the maximum reimbursement rate.</w:t>
      </w:r>
    </w:p>
    <w:p>
      <w:r>
        <w:t xml:space="preserve">26. Furthermore, while the companies were still unaware of the precise characteristics of the regulatory changes being considered (from mid-2001 to early 2002), the professional union was the venue for numerous discussions and information meetings regarding these regulatory changes and the potential means to prevent them from occurring.  </w:t>
        <w:br/>
        <w:t xml:space="preserve">II. Discussion  </w:t>
        <w:br/>
        <w:t xml:space="preserve">27. According to the referral, the practices identified could result from an agreement contrary to Articles L. 420-1 of the Commercial Code and 81 of the EC Treaty, now Article 101 of the Treaty on the Functioning of the European Union (hereinafter "TFEU"). The administrative investigation report also considers that the observed behavior may stem from "tacit coordination," which could be regarded as an abuse of collective dominant position in violation of Articles L. 420-2 of the Commercial Code and 82 of the EC Treaty, now Article 102 of the TFEU. These two hypotheses are analyzed below.  </w:t>
        <w:br/>
        <w:t xml:space="preserve">28. As a preliminary point, it should be noted that nothing in the material elements collected, whether during the visits and seizures, during hearings, or in response to requests for information, suggests that the meetings that took place within the framework of Snitem could have had any anti-competitive purpose. They consisted of monitoring regulatory changes that could apply to the sector, as well as exploring possible strategies to minimize them, including the possibility of seeking the arbitration of the Minister of Health or attempting to delay these developments, for example, through the development of a legal argument.  </w:t>
        <w:br/>
        <w:t xml:space="preserve">29. These actions, which cannot be qualified as anti-competitive practices, correspond to the exercise of Snitem's missions, notably:  </w:t>
        <w:br/>
        <w:t xml:space="preserve">- "to ensure the study and defense of the economic and industrial interests of its members;  </w:t>
        <w:br/>
        <w:t xml:space="preserve">- to represent them, both in France and abroad, before public authorities, and any public or private organization, Chambers of Commerce, and other industrial, commercial, or professional groups;  </w:t>
        <w:br/>
        <w:t xml:space="preserve">- to study all economic, professional, and technical issues related to the Medical Technology and Medical Devices Industry."  </w:t>
        <w:br/>
        <w:t>30. Therefore, only the behaviors of Tyco and Ethicon consisting of adopting the same pricing strategy remain to be analyzed, first as a potential concertation, and then as possible tacit collusion.</w:t>
      </w:r>
    </w:p>
    <w:p>
      <w:r>
        <w:rPr>
          <w:b/>
        </w:rPr>
        <w:t>[Pages 7–9]</w:t>
      </w:r>
    </w:p>
    <w:p>
      <w:r>
        <w:t>A. ON THE EXISTENCE OF POSSIBLE COORDINATED PRACTICES</w:t>
      </w:r>
    </w:p>
    <w:p>
      <w:r>
        <w:t>1. MATERIAL ELEMENTS</w:t>
      </w:r>
    </w:p>
    <w:p>
      <w:r>
        <w:t>31. The only elements in the file supporting the thesis of the existence of a coordinated practice are statements from pharmacists of public hospitals, reporting the remarks of sales representatives from both companies. Thus, the pharmacist from the Dieppe hospital center stated: "In mid-November 2001, the medical delegate from Tyco informed me that to compensate for the loss of earnings from clinics, the union representing the industry had proposed that manufacturers respond to tenders without discounts. This explains why Tyco and Ethicon responded to our tender with identical prices. I know that other colleagues are facing this situation like I am."</w:t>
      </w:r>
    </w:p>
    <w:p>
      <w:r>
        <w:t>32. Referring to the visits from representatives of Ethicon and Tyco, the pharmacist from the Saint-Brieuc hospital center stated: "In their explanations, I also understood that the two companies had agreed to adopt this pricing policy at the level of the T.I.P.S. reimbursement rate."</w:t>
      </w:r>
    </w:p>
    <w:p>
      <w:r>
        <w:t>33. The operations of visits and seizures did not provide any elements to confirm these practices. On the contrary, they revealed documents that could refute them, such as those showing that Ethicon, the initiator of the strategy, had questions about the attitude that Tyco would adopt in response, or those attesting to Tyco's great surprise at its competitor's new strategy.</w:t>
      </w:r>
    </w:p>
    <w:p>
      <w:r>
        <w:t>34. Thus, a document recalling Ethicon's sales force communication strategy dated October 27, 2003, demonstrates the company's lack of information regarding Tyco's response strategy: "And what will TYCO do? The alternatives are simple: either TYCO follows us, which we hope, because they have the same constraints as we do; but it is possible that they will not, in which case we will have to lower our prices on certain products, but on others, this will not be possible (because we would be below the European level and they would no longer be profitable) and we will have to withdraw these products from the market. Moreover, we have an example today since we are withdrawing 2 products, the ECS and the TLCIO."</w:t>
      </w:r>
    </w:p>
    <w:p>
      <w:r>
        <w:t>35. Symmetrically, in the other company, an internal email from July 2001 mentions the surprise of its executives regarding the price increase contemplated by Ethicon: "I had an interesting conversation with Professor X... this morning about the potential TIPS issue. He is still working on the proposal we discussed at the US embassy last Tuesday, but the other interesting comment he made was about a phone conversation he had with Mr. Y... from Ethicon, yesterday during which the latter informed him that Ethicon was considering increasing its prices at the TIPS level as early as next week. I am very surprised by this information. Could you check with your organization if any feedback has been given to you by your consumers regarding a potential decision from J&amp;J [the group to which Ethicon belongs]?</w:t>
      </w:r>
    </w:p>
    <w:p>
      <w:r>
        <w:t>On the other hand, I would like to have a small discussion with you and Serge on Monday after the debriefing with Mrs. Z... to anticipate what our attitude might be if this were true" (emphasis added).</w:t>
      </w:r>
    </w:p>
    <w:p>
      <w:r>
        <w:t>36. The response to this email equally demonstrates the lack of coordination between the two companies: "Now, regarding the info related to TIPS in the field: Serge informed me this morning that a Regional Sales Director had informed him of rumors indicating that Ethicon was going to increase its prices by 30%. I also spoke to Pascal A... last Friday who told me there were rumors of an 8% decrease in TIPS prices. It seems that the info related to TIPS has been leaked and it is important that we keep our regional sales directors on alert. Regarding the info related to ETHICON's prices, it is difficult to know if this is reliable information from Serge. On the other hand, we have the information coming from Professor X.... In light of what is above, I suggest that we organize a conference call with our regional sales directors, to keep them informed and to clarify as much as possible the market rumor regarding the price increase of ETHICON."</w:t>
      </w:r>
    </w:p>
    <w:p>
      <w:r>
        <w:t>37. Not only do the material elements fail to demonstrate coordination, but the evolution of regulated reimbursement rates seems capable of explaining alone the behavior adopted by Ethicon and Tyco.</w:t>
      </w:r>
    </w:p>
    <w:p>
      <w:r>
        <w:t>2. A REGULATION INCITING PARALLEL BEHAVIOR</w:t>
      </w:r>
    </w:p>
    <w:p>
      <w:r>
        <w:t>38. While the similarity of the pricing behavior of the two companies is undeniable, it should be recalled that parallel behavior alone is not sufficient to demonstrate the existence of an anti-competitive agreement. Indeed, this parallelism may result from the implementation of autonomous strategies by companies wishing to adapt to market developments. As the Competition Council recalls in its annual report 2006, "even if this alignment behavior may have the same object or restrictive effect on competition as an agreement, the concurrence of will, which has been emphasized as a constitutive element of the offense of anti-competitive agreement, is lacking. The offense is therefore not characterized. Oligopolies do not in themselves constitute infringements of competition."</w:t>
      </w:r>
    </w:p>
    <w:p>
      <w:r>
        <w:t>39. As the Competition Council stated in its opinion No. 01-A-14 of October 23, 2001: "Parallel but independent responses can occur [when] an external event affects all competitors in the same way, all of whom are equally informed."</w:t>
      </w:r>
    </w:p>
    <w:p>
      <w:r>
        <w:t>40. In this case, the evolution of pricing regulation has changed the functioning of the market and provided both companies with sufficient incentives to modify their behaviors in a parallel manner.</w:t>
      </w:r>
    </w:p>
    <w:p>
      <w:r>
        <w:t>41. Thus, Ethicon and Tyco have been doubly incentivized to align their prices with public establishments on the maximum reimbursement rate: on the one hand, this rate constitutes a focal point facilitating the adoption of an identical strategic position by both companies; on the other hand, and above all, the CEPS has several times justified the new price reduction by the differential between public sector prices and private sector prices, thus mechanically pushing both companies to eliminate this differential.</w:t>
      </w:r>
    </w:p>
    <w:p>
      <w:r>
        <w:t>42. Indeed, both the companies' statements and the documents seized, notably at Snitem, attest that this justification was put forward by the CEPS, as shown, for example, by the minutes of a meeting of the professional organization on September 23, 2001: "The decision to proceed with a price reduction on certain lines being motivated by the observation of a price differential between the private and public sectors, I suggested several times to the two companies to have a legal analysis conducted that would determine the degree of admissibility of the argument used by the CEPS to justify its decision."</w:t>
      </w:r>
    </w:p>
    <w:p>
      <w:r>
        <w:t>43. Furthermore, if this regulatory measure is sufficient to explain the parallel behavior of the companies, it must be placed in the context of successive reductions in maximum reimbursement rates. Public authorities seem to have committed to stopping them after 1996.</w:t>
      </w:r>
    </w:p>
    <w:p>
      <w:r>
        <w:t>44. Thus, Ethicon, which was the first to align its prices with the maximum reimbursement rate, indicated that the loss of earnings caused by the successive reductions of this rate amounted, since 1996, to more than 76 million euros in revenue. In comparison, the company specified that the gains related to the alignment strategy amounted to less than 26 million euros.</w:t>
      </w:r>
    </w:p>
    <w:p>
      <w:r>
        <w:t>45. Ethicon also explains its decision to align its prices with the maximum reimbursement rate as follows: "Starting from the observation of the relatively low prices practiced in the public sector for the aforementioned reasons [difference in the coverage system between public and private establishments], the public authorities decided to significantly and repeatedly reduce TIPS prices. Specifically, the lower the prices fell in the public sector, the more the TIPS price fell or risked falling. As a result of this dual system, the selling prices of Ethicon products were in permanent decline, significantly reducing the profitability of marketing these products. Moreover, compared to the selling prices of other comparable European countries, such as the United Kingdom and Italy, French prices were the lowest. In anticipation of the establishment of European tenders in our market, Ethicon's European headquarters therefore decided to implement a price harmonization strategy, also with the aim of limiting the hemorrhage of price reductions and thus loss of profitability in France."</w:t>
      </w:r>
    </w:p>
    <w:p>
      <w:r>
        <w:rPr>
          <w:b/>
        </w:rPr>
        <w:t>[Pages 10–12]</w:t>
      </w:r>
    </w:p>
    <w:p>
      <w:r>
        <w:t>46. It must therefore be noted that the thesis of concerted action cannot be upheld. It is then necessary to examine that of tacit collusion.</w:t>
      </w:r>
    </w:p>
    <w:p>
      <w:r>
        <w:t>B. ON THE EXISTENCE OF A POSSIBLE ABUSE OF COLLECTIVE DOMINANT POSITION</w:t>
      </w:r>
    </w:p>
    <w:p>
      <w:r>
        <w:t>47. Demonstrating the existence of an abuse of collective dominant position requires defining the relevant market, demonstrating that the companies involved hold a collective dominant position in that market, and finally characterizing the abuse that has been committed. In this case, it is possible to demonstrate the absence of abuse without needing to delineate the market and characterize a collective dominant position.</w:t>
      </w:r>
    </w:p>
    <w:p>
      <w:r>
        <w:t>48. The practices identified, consisting of raising prices for public establishments and aligning them jointly to the level of the maximum reimbursable rate, could only be understood from the perspective of excessively high prices.</w:t>
      </w:r>
    </w:p>
    <w:p>
      <w:r>
        <w:t>49. In this case, it does not appear that the price individually set by the members of the duopoly is excessively high. A practice of excessively high prices can be established if there is a manifest disproportion between this price and the value of the corresponding service, and that this disproportion is not supported by any economic justification. Thus, in principle, the assessment of an excessively high price must initially be evaluated in light of the costs of the service. If it is not possible to establish this disproportion through an examination of costs, it is permissible to resort to an evaluation by comparison with the prices charged by companies placed in equivalent situations (see in particular decisions No. 03-D-18 of April 10, 2003, regarding a referral from GLEM, No. 05-D-15 of April 13, 2005, regarding a referral from Regal Pat against Electricité de Strasbourg, and No. 06-D-39 of December 15, 2006, regarding a request for interim measures from Impression des Pyrénées).</w:t>
      </w:r>
    </w:p>
    <w:p>
      <w:r>
        <w:t>50. In this case, it is impossible to demonstrate the existence of a disproportion between the price charged, which is the maximum reimbursement rate, and the value of the corresponding product, as it is precisely the rate reimbursed by social security and thus implicitly recognized by public authorities as corresponding to the value that the company assigns to this product.</w:t>
      </w:r>
    </w:p>
    <w:p>
      <w:r>
        <w:t>51. Indeed, the rate is determined by the CEPS based on the criteria set forth in Article R. 165-14 of the Social Security Code, which states in particular that "The determination of these rates takes into account primarily the service rendered, any potential improvement thereof, the rates and prices of comparable products or services listed, the expected sales volumes, and the foreseeable and actual conditions of use." Therefore, it is impossible to consider that this maximum reimbursement rate can constitute an excessively high price.</w:t>
      </w:r>
    </w:p>
    <w:p>
      <w:r>
        <w:t>52. Finally, as a subsidiary point, it should be noted that the prices charged by both Ethicon and Tyco in other European countries at the time of the facts were mostly higher than those in force in France.</w:t>
      </w:r>
    </w:p>
    <w:p>
      <w:r>
        <w:t>53. In this regard, Tyco provided a table, reproduced below, specifying the average prices of its main products in 2003, for France and four other European countries: Germany, Italy, the United Kingdom, and Spain. The international comparison shows that Tyco sells its products in France at prices lower than those charged in other countries, and this in 2003, the year during which the identified practice is still being implemented.</w:t>
      </w:r>
    </w:p>
    <w:p>
      <w:r>
        <w:t>| Instrument         | France | Germany | Spain | United Kingdom | Italy |</w:t>
        <w:br/>
        <w:t>|--------------------|--------|---------|-------|----------------|-------|</w:t>
        <w:br/>
        <w:t>| TA Roticulator     | 324.26 | 474     | 434.3 | 453.9          | 470   |</w:t>
        <w:br/>
        <w:t>| Versafire DLU      | 98.47  | 140.2   | 160.4 | 212            | 217.6 |</w:t>
        <w:br/>
        <w:t>| Endo Roticulator DIu | 98.47 | 161     | 234.5 | 270            | 248   |</w:t>
        <w:br/>
        <w:t>| GIA                | 141.13 | 151.7   | 204.9 | 320            | 232   |</w:t>
        <w:br/>
        <w:t>| Endo GIA           | 198.26 | 255.3   | 348.2 | 344.8          | 387   |</w:t>
        <w:br/>
        <w:t>| PLDS               | 147.97 | 162.7   | 196.6 | 262.2          | 248   |</w:t>
        <w:br/>
        <w:t>| EEA                | 289.58 | 460.4   | 503   | 450            | 594   |</w:t>
        <w:br/>
        <w:t>| Premium surgiclip  | 81.22  | 91.7    | 125.7 | 137.2          | 119   |</w:t>
        <w:br/>
        <w:t>| Endo clip ML II    | 153.08 | 177     | 232.8 | 189.6          | 232   |</w:t>
        <w:br/>
        <w:t>| GIA DIu            | 98.47  | 106     | 136.7 | 144.2          | 181   |</w:t>
        <w:br/>
        <w:t>| Endo GIA DIu       | 98.47  | 130     | 139.4 | 154.3          | 194   |</w:t>
        <w:br/>
        <w:t>| Endo Hernia DIu    | 46.67  | 68.2    | 79.7  | 67.1           | 67    |</w:t>
        <w:br/>
        <w:t>| TA                 | 141.13 | 124     | 221.6 | 276.2          | 284   |</w:t>
        <w:br/>
        <w:t>| Protack            | 212.43 | 182.2   | 221.1 | 286.4          | 263   |</w:t>
        <w:br/>
        <w:t>| Versatack          | 75.72  | 63.5    | 103.7 | 123.7          | 85    |</w:t>
        <w:br/>
        <w:t>| Endo Hernia        | 236.55 | 175.5   | 197.6 | 199.9          | 237   |</w:t>
        <w:br/>
        <w:t>| TA DIu             | 98.47  | 73      | 95.4  | 173.7          | 132   |</w:t>
        <w:br/>
        <w:t>| Endo Universal     | 236.55 | 182.2   | 321.3 | 222.1          | 263   |</w:t>
      </w:r>
    </w:p>
    <w:p>
      <w:r>
        <w:t>Table 2 - Comparison of average prices charged by Tyco in 2003 (euros) (in red, the highest average price per product)</w:t>
      </w:r>
    </w:p>
    <w:p>
      <w:r>
        <w:t>54. Regarding Ethicon, it provided the average prices it charged in other countries in 2001. Table 3 below shows a comparison of these average prices with the maximum reimbursement rate set by the CEPS in 2001 and adopted as the price in France by the company at that time. This comparison also does not highlight that Ethicon could have benefited from market power to impose excessively high prices.</w:t>
      </w:r>
    </w:p>
    <w:p>
      <w:r>
        <w:t>| Tips (price in France) | Germany | Italy | United Kingdom | France |</w:t>
        <w:br/>
        <w:t>|------------------------|---------|-------|----------------|-------|</w:t>
        <w:br/>
        <w:t>| 301J0322               | 342.1   | 375.77| 382.34         | 413.9 |</w:t>
        <w:br/>
        <w:t>| 301J0323               | 110.53  | 93.73 | 147.77         | 115.35|</w:t>
        <w:br/>
        <w:t>| 301J0343               | 44.06   | 34.89 | 58.88          | 58.38 |</w:t>
        <w:br/>
        <w:t>| 301J03112              | 224.11  | 146.62| 183.27         | 225.23|</w:t>
        <w:br/>
        <w:t>| 301J03211              | 158.39  | 117.14| 244.46         | 183.74|</w:t>
        <w:br/>
        <w:t>| 301J03212              | 209.16  | 253.01| 348.27         | 341.75|</w:t>
        <w:br/>
        <w:t>| 301J03311              | 305.51  | 311.18| 438.01         | 339.22|</w:t>
        <w:br/>
        <w:t>| 301J03312              | 334.63  | 302.85| 416.63         | 413.21|</w:t>
        <w:br/>
        <w:t>| 301J03411              | 91.16   | 68.96 | 85.93          | 91.37 |</w:t>
        <w:br/>
        <w:t>| 301J03412              | 171.81  | 101.96| 156.58         | 186.08|</w:t>
      </w:r>
    </w:p>
    <w:p>
      <w:r>
        <w:t>Table 3 - Comparison of average prices charged by Ethicon in 2001 (euros) (in red, the highest average price per product)</w:t>
      </w:r>
    </w:p>
    <w:p>
      <w:r>
        <w:t>55. It follows from all these elements that the observed practices, consisting of a parallel increase in the prices of ISLIM sold to public hospitals to bring them to the level of the maximum reimbursable rate, do not result from concerted practices prohibited by Articles L. 420-1 of the Commercial Code and 101 of the TFEU, and are not constitutive of an abuse of collective dominant position prohibited by Articles L. 420-2 of the Commercial Code and 102 of the TFEU.</w:t>
      </w:r>
    </w:p>
    <w:p>
      <w:r>
        <w:t>DECISION</w:t>
      </w:r>
    </w:p>
    <w:p>
      <w:r>
        <w:t>Single Article: There is no need to continue the proceedings.</w:t>
      </w:r>
    </w:p>
    <w:p>
      <w:r>
        <w:t>Deliberated on the oral report of Ms. Constance Valigny and the oral intervention of Mr. Stanislas Martin, deputy general rapporteur, by Ms. Élisabeth Flüry-Hérard, vice-president, chairing the session, and Messrs. Emmanuel Combe, Noël Diricq, Jean-Bertrand Drummen, and Pierre Godé, members.</w:t>
      </w:r>
    </w:p>
    <w:p>
      <w:r>
        <w:t>The session secretary, The vice-president,</w:t>
        <w:br/>
        <w:t>Marie-Anselme Lienafa Élisabeth Flüry-Hérard</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