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https://www.autoritedelaconcurrence.fr/fr/decision/relative-des-pratiques-mises-en-oeuvre-par-letablissement-public-port-autonome-de-paris</w:t>
      </w:r>
    </w:p>
    <w:p>
      <w:r>
        <w:t>Pages translated : 2</w:t>
      </w:r>
    </w:p>
    <w:p/>
    <w:p>
      <w:r>
        <w:rPr>
          <w:b/>
        </w:rPr>
        <w:t>[Pages 1–2]</w:t>
      </w:r>
    </w:p>
    <w:p>
      <w:r>
        <w:t xml:space="preserve">FRENCH REPUBLIC  </w:t>
        <w:br/>
        <w:t xml:space="preserve">Decision No. 02-D-72 of December 10, 2002  </w:t>
        <w:br/>
        <w:t xml:space="preserve">regarding practices implemented  </w:t>
        <w:br/>
        <w:t xml:space="preserve">by the public establishment Port autonome de Paris  </w:t>
        <w:br/>
        <w:t xml:space="preserve">The Competition Council (permanent commission),  </w:t>
        <w:br/>
        <w:t xml:space="preserve">Having regard to the letter registered on September 9, 1999, under No. F 1168, by which the company Compagnie des Bateaux-mouches, in association with the company Skip System, referred to the Competition Council practices implemented by the public establishment Port autonome de Paris;  </w:t>
        <w:br/>
        <w:t xml:space="preserve">Having regard to Book IV of the Commercial Code, relating to the freedom of prices and competition, Decree No. 86-1309 of December 29, 1986, as amended, adopted for the application of Ordinance No. 86-1243 of December 1, 1986, as well as Decree No. 2002-689 of April 30, 2002, setting the conditions for the application of Book IV of the Commercial Code;  </w:t>
        <w:br/>
        <w:t xml:space="preserve">Having regard to the other documents in the file;  </w:t>
        <w:br/>
        <w:t xml:space="preserve">The rapporteur, the deputy general rapporteur, the Government commissioner, the representatives of the companies Compagnie des Bateaux-mouches and Skip System heard during the session of October 29, 2002;  </w:t>
        <w:br/>
        <w:t xml:space="preserve">Considering that under the first paragraph of Article L. 462-8 of the Commercial Code, "The Competition Council may declare, by reasoned decision, the referral inadmissible ... if it considers that the facts invoked do not fall within the scope of its jurisdiction."  </w:t>
        <w:br/>
        <w:t>Considering that the companies Compagnie des Bateaux-mouches and Skip System state that the agreement for the occupation of the public river domain, signed between Port autonome de Paris, a public establishment of the State created by Law No. 68-917 of October 24, 1968, and the Compagnie des Batobus following the call for tenders launched on March 29, 1996, is contrary to the rules of competition, in particular Article 8 of the ordinance of December 1, 1986, which has become Article L. 420-2 of the Commercial Code; that the referring companies indicate in particular that "(…) Port autonome de Paris uses its public power prerogatives regarding the occupation of the public domain to grant exclusive rights to a company in an area, that of tourist shuttle services, which the law has not declared to be a service of general economic interest, and for which the law has not created a legal monopoly, and to deny competing companies access to essential infrastructures (…)";</w:t>
      </w:r>
    </w:p>
    <w:p>
      <w:r>
        <w:t xml:space="preserve">Considering that, by a ruling dated October 18, 1999, Aéroports de Paris, the conflict tribunal ruled that "if, insofar as they carry out production, distribution, or service activities, public entities may be sanctioned by the Competition Council acting under the control of the judicial authority, the decisions by which these entities ensure the public service mission incumbent upon them through public power prerogatives fall within the jurisdiction of the administrative court to assess their legality and, where appropriate, to rule on the liability incurred by these public entities," that the decisions of Aéroports de Paris "which relate to the management of the public domain constitute the exercise of public power prerogatives" and that the practices of Aéroports de Paris that are inseparable from them fall solely within the jurisdiction of the administrative court;  </w:t>
        <w:br/>
        <w:t xml:space="preserve">Considering that the conclusion of an agreement concerning the occupation of the public river domain, which relates to the management of the public domain, implements public power prerogatives whose assessment falls solely within the jurisdiction of the administrative court; that, therefore, the facts referred to in the referral do not fall within the jurisdiction of the Competition Council;  </w:t>
        <w:br/>
        <w:t xml:space="preserve">Considering that it follows from the above that it is necessary to apply the provisions of Article L. 462-8 of the Commercial Code;  </w:t>
        <w:br/>
        <w:t xml:space="preserve">DECIDES  </w:t>
        <w:br/>
        <w:t xml:space="preserve">Sole Article - The referral registered under number F 1168 is declared inadmissible.  </w:t>
        <w:br/>
        <w:t xml:space="preserve">Deliberated, on the oral report of Ms. Descours-Gatin, by Ms. Hagelsteen, president, Ms. Pasturel and Mr. Jenny, vice-presidents.  </w:t>
        <w:br/>
        <w:t xml:space="preserve">The session secretary,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