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https://www.autoritedelaconcurrence.fr/fr/decision/relative-des-pratiques-mises-en-oeuvre-par-lurssaf-de-la-haute-vienne</w:t>
      </w:r>
    </w:p>
    <w:p>
      <w:r>
        <w:t>Pages translated : 2</w:t>
      </w:r>
    </w:p>
    <w:p/>
    <w:p>
      <w:r>
        <w:rPr>
          <w:b/>
        </w:rPr>
        <w:t>[Pages 1–2]</w:t>
      </w:r>
    </w:p>
    <w:p>
      <w:r>
        <w:t xml:space="preserve">FRENCH REPUBLIC  </w:t>
        <w:br/>
        <w:t xml:space="preserve">Decision No. 03-D-48 of October 22, 2003  </w:t>
        <w:br/>
        <w:t>concerning practices implemented by the URSSAF of Haute-Vienne</w:t>
      </w:r>
    </w:p>
    <w:p>
      <w:r>
        <w:t>The Competition Council (permanent commission),</w:t>
      </w:r>
    </w:p>
    <w:p>
      <w:r>
        <w:t>Having regard to the letter registered on November 5, 2001, under number F 1355, by which Mr. X... referred to the Competition Council practices attributable to the URSSAF of Haute-Vienne and URSSAFs in general;</w:t>
      </w:r>
    </w:p>
    <w:p>
      <w:r>
        <w:t>Having regard to Book IV of the Commercial Code relating to the freedom of prices and competition, Decree No. 86-1309 of December 29, 1986, as amended, as well as Decree No. 2002-689 of April 30, 2002, setting the conditions for the application of Book IV of the Commercial Code;</w:t>
      </w:r>
    </w:p>
    <w:p>
      <w:r>
        <w:t>Having regard to the other documents in the file;</w:t>
      </w:r>
    </w:p>
    <w:p>
      <w:r>
        <w:t>Having regard to the observations presented by the Government Commissioner;</w:t>
      </w:r>
    </w:p>
    <w:p>
      <w:r>
        <w:t>The rapporteur, the general rapporteur, and the Government Commissioner heard during the session of September 10, 2003; Mr. X... having been regularly summoned;</w:t>
      </w:r>
    </w:p>
    <w:p>
      <w:r>
        <w:t>Adopts the following decision:</w:t>
      </w:r>
    </w:p>
    <w:p>
      <w:r>
        <w:t>1. By letter of October 31, 2001, Mr. X... lodged a complaint with the Council for unfair competition against the Union for the collection of social security contributions and family allowances (URSSAF) of Haute-Vienne and URSSAFs in general, on the grounds that the investigating commissioners and engineers of the Equipment are not subject to URSSAF contributions when they work for municipalities, which would result in a distortion of competition to the detriment of liberal consulting engineers.</w:t>
      </w:r>
    </w:p>
    <w:p>
      <w:r>
        <w:t>2. The complainant states that having been appointed as an investigating commissioner, he was imposed a rate of 68 francs per hour, whereas his hourly rate as a liberal consulting engineer cannot be less than 180 francs excluding tax since he is subject to URSSAF contributions.</w:t>
      </w:r>
    </w:p>
    <w:p>
      <w:r>
        <w:t>3. He declares that he learned that "investigating commissioners were not subject to URSSAF contributions, just like engineers and personnel of the Equipment and DDA when they work on a fee basis for municipalities, in the competitive sector."</w:t>
      </w:r>
    </w:p>
    <w:p>
      <w:r>
        <w:t>4. Mr. X... argues, firstly, that he is "driven to partial unemployment or RMI" due to this discriminatory treatment. He invokes a distortion in "the essential facilities granted to the liberal exercise of his profession," which, according to him, allows for the establishment of unfair competition by investigating commissioners and personnel of the Ministry of Equipment as soon as they work, for municipalities, in the competitive sector.</w:t>
      </w:r>
    </w:p>
    <w:p>
      <w:r>
        <w:t>5. Mr. X... denounces, secondly, the fact that, "due to a lack of essential facilities," the lists of investigating commissioners are composed almost exclusively of retirees and former officials of the Equipment and Agriculture.</w:t>
      </w:r>
    </w:p>
    <w:p>
      <w:r>
        <w:t>6. He requests the Council to put an end to the "discriminatory practices" of the URSSAF and that he be granted damages as well as payment deadlines for his URSSAF contributions.</w:t>
      </w:r>
    </w:p>
    <w:p>
      <w:r>
        <w:t>7. Under Article L. 462-8 of the Commercial Code, "the Competition Council may declare, by reasoned decision, the referral inadmissible for lack of interest or standing of the author thereof, or if the facts are time-barred within the meaning of Article L. 462-7, or if it considers that the facts invoked do not fall within its jurisdiction."</w:t>
      </w:r>
    </w:p>
    <w:p>
      <w:r>
        <w:t>8. In this case, the complainant denounces the decision that would have been taken by the URSSAF to exempt investigating commissioners, engineers, and personnel of the Equipment and DDA from the payment of contributions and requests the Council to assess, in light of competition law, the consequences of such a decision.</w:t>
      </w:r>
    </w:p>
    <w:p>
      <w:r>
        <w:t>9. The existence of URSSAFs and the content of their mission are provided for by Article L. 213-1 of the Social Security Code. Their status is that of bodies entrusted with a public service mission, placed under the control of public authority, as recalled by the Constitutional Council in its decision No. 90-285 of December 28, 1990. The collection of contributions by URSSAFs constitutes the exercise of a prerogative of public power, within the framework of the execution of their public service mission and not the exercise of an economic activity.</w:t>
      </w:r>
    </w:p>
    <w:p>
      <w:r>
        <w:t>10. Furthermore, Article L. 142-1 of the Social Security Code assigns to the courts of the judicial order the responsibility for settling disputes arising from the application of legislative and regulatory texts in the field of social security, as long as these issues do not fall, by their nature, under another type of litigation.</w:t>
      </w:r>
    </w:p>
    <w:p>
      <w:r>
        <w:t>11. Consequently, any decision that may have been taken by the URSSAF to exempt a category of persons from the payment of contributions and the assessment of whether such an exemption creates or not a distortion in terms of competition does not fall within the jurisdiction of the Competition Council.</w:t>
      </w:r>
    </w:p>
    <w:p>
      <w:r>
        <w:t>12. It follows from the above that the referral is inadmissible under Article L. 462-8 of the Commercial Code.</w:t>
      </w:r>
    </w:p>
    <w:p>
      <w:r>
        <w:t xml:space="preserve">DECISION  </w:t>
        <w:br/>
        <w:t>Single Article – The referral registered under number F 1355 is inadmissible.</w:t>
      </w:r>
    </w:p>
    <w:p>
      <w:r>
        <w:t>Deliberated, on the oral report of Ms. Chaulet-Philippe, by Ms. Hagelsteen, president, Ms. Pasturel, vice-president, and Mr. Piot, member.</w:t>
      </w:r>
    </w:p>
    <w:p>
      <w:r>
        <w:t xml:space="preserve">The session secretary, The session president,  </w:t>
        <w:br/>
        <w:t xml:space="preserve">Nadine Bellegarde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