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https://www.autoritedelaconcurrence.fr/fr/decision/relative-des-pratiques-mises-en-oeuvre-par-suzuki-et-autres-sur-le-marche-de-la</w:t>
      </w:r>
    </w:p>
    <w:p>
      <w:r>
        <w:t>Pages translated : 14</w:t>
      </w:r>
    </w:p>
    <w:p/>
    <w:p>
      <w:r>
        <w:rPr>
          <w:b/>
        </w:rPr>
        <w:t>[Pages 1–3]</w:t>
      </w:r>
    </w:p>
    <w:p>
      <w:r>
        <w:t xml:space="preserve">FRENCH REPUBLIC  </w:t>
        <w:br/>
        <w:t xml:space="preserve">Decision No. 03-D-42 of August 18, 2003  </w:t>
        <w:br/>
        <w:t xml:space="preserve">regarding practices implemented by Suzuki and others  </w:t>
        <w:br/>
        <w:t xml:space="preserve">in the motorcycle distribution market  </w:t>
        <w:br/>
        <w:t xml:space="preserve">The Competition Council (Section II),  </w:t>
        <w:br/>
        <w:t xml:space="preserve">Having regard to the letter registered on May 16, 2003, under numbers 03/0035 F and 03/0036 M, by which the National Center of Automotive Professionals (CNPA) referred to the Competition Council practices implemented by the companies Suzuki France, Yamaha Motor France, Honda Motor South, Kawasaki Motor France, MBK, Peugeot, Motana-Derbi, and Piaggio that it considers anti-competitive and requested the issuance of interim measures;  </w:t>
        <w:br/>
        <w:t xml:space="preserve">Having regard to Book IV of the Commercial Code relating to price freedom and competition and Decree No. 2002-689 of April 30, 2002, setting the conditions for its application;  </w:t>
        <w:br/>
        <w:t xml:space="preserve">Having regard to the observations presented by the companies Suzuki France, Yamaha Motor France, Honda Motor South, Kawasaki Motor France, MBK, Peugeot, and Motana-Derbi and by the Government Commissioner;  </w:t>
        <w:br/>
        <w:t xml:space="preserve">The rapporteur, the general rapporteur, the Government Commissioner, the CNPA, the companies Suzuki France, Yamaha Motor France, Honda Motor South, Kawasaki Motor France, MBK, Peugeot, and Motana-Derbi heard during the session of July 16, 2003;  </w:t>
        <w:br/>
        <w:t xml:space="preserve">I. - On the referral  </w:t>
        <w:br/>
        <w:t xml:space="preserve">On the admissibility of the CNPA's action  </w:t>
        <w:br/>
        <w:t xml:space="preserve">1. The company Yamaha argues that the referral of the Competition Council by the CNPA aims to defend the interests of one profession, that of distributors, against the interests of another profession, that of manufacturers, both of which fall within the automotive sector, and that this action is contrary to the statutory purpose of the CNPA defined in Article 4.1 of the statutes, according to which this professional organization "brings together for a common action all professionals whose activity is linked or related to Trade, Automotive Repair, and Automotive Services."  </w:t>
        <w:br/>
        <w:t xml:space="preserve">2. The companies Honda, Kawasaki, Suzuki, MBK, Peugeot, and Motana note that, contrary to the provisions of Article 30 of Decree No. 2002-689 of April 30, 2002, the referring party did not provide, with the referral, the statutes of the CNPA nor the mandate given to its representative and that the referral must therefore be declared inadmissible on the basis of Article L. 462-8 of the Commercial Code.  </w:t>
        <w:br/>
        <w:t xml:space="preserve">3. According to the statutes of the CNPA submitted by Yamaha, this organization is a union with a federal framework governed by the laws of March 21, 1884, and March 12, 1920. This union comprises 17 professional branches or professional commissions, which correspond to each of the activities and professions represented within it, as well as departmental and regional sectors common to all CNPA members. A "national branch of cycles, motorcycles, and mini cars" represents the interests of professionals in cycles, motorcycles, and mini cars. Only the central headquarters of the CNPA has legal personality. By initiating an action aimed at defending the interests of the profession of two-wheeled vehicle dealers, the CNPA defends the interests for which it is responsible.  </w:t>
        <w:br/>
        <w:t xml:space="preserve">4. Furthermore, the author of the referral is the CNPA represented by its national president, Mr. Roland Gardin, in accordance with Article 72 of the statutes of this professional organization, which provides that "The National President presides by right over all bodies of the CNPA. The National Council grants him a permanent delegation and the broadest powers for the internal administration of the CNPA and the application of professional policy as resulting from the various national bodies. He represents the CNPA in court, in demand and in defense, and may, for this purpose, give special mandate to a national, regional, or departmental elected official." In the absence of other provisions in the statutes restricting the powers of the president, particularly by subjecting his power to refer to a decision of the national bodies, the president is qualified to refer to the Competition Council. For this reason, the referral to the Council by the CNPA is regular.  </w:t>
        <w:br/>
        <w:t xml:space="preserve">On the admissibility of the CNPA's supplementary pleadings of June 23 and July 11, 2003  </w:t>
        <w:br/>
        <w:t xml:space="preserve">5. In the letter transmitting the referral, the general rapporteur indicated to the parties in the present procedure that they could submit their observations until July 4, 2003. The referring party submitted a supplementary pleading to its referral, which was registered with the Competition Council on June 23, 2003, and sent to the companies involved as well as to the Government Commissioner on July 4, 2003.  </w:t>
        <w:br/>
        <w:t xml:space="preserve">6. The company Yamaha argues, in its supplementary observations submitted on July 11, 2003, that this supplementary pleading is inadmissible as it was submitted outside the period set by the general rapporteur for the exercise of the defense rights of the companies involved. It adds that the late submission of this pleading deprived it of the necessary time to prepare its defense.  </w:t>
        <w:br/>
        <w:t xml:space="preserve">7. The company Peugeot considers, in its supplementary observations dated July 11, 2003, that no developments since the date of the initial referral of May 16, 2003, justify the submission of a supplementary pleading by the referring party and that the elements it contains could have been included in the initial referral. It indicates that the late submission of this document constitutes an infringement of the rights of defense and that it must therefore be declared inadmissible.  </w:t>
        <w:br/>
        <w:t xml:space="preserve">8. The CNPA submitted, on July 11, 2003, "brief observations in response" in which it specifies "In the interest of speed, I am sending a copy of this and the new documents directly to my opponents by fax and will submit the required number of documents on Tuesday morning." This document, registered with the Council on July 15, 2003, was also distributed by fax to all parties. The company Yamaha submitted, on July 15, 2003, "brief observations in response following the CNPA's response observations" in which it states "To ensure that the adversarial process is fully respected, I am also sending a copy of this directly by fax to the CNPA and to the counsel of the other supplier brands as well as to Mr. the Government Commissioner."  </w:t>
        <w:br/>
        <w:t xml:space="preserve">9. During the session, the companies Peugeot and Honda argued that the referring party had organized the procedure at its convenience by submitting successive supplementary pleadings and that the principles of adversarial proceedings had been violated.  </w:t>
        <w:br/>
        <w:t xml:space="preserve">10. As already noted by the Competition Council1, no provision of the Commercial Code and Decree No. 2002-689 of April 30, 2002, imposes deadlines for the preparation of proceedings for interim measures, which are characterized by urgency and whose investigation must allow, in a necessarily limited time, to gather as many elements as possible on the merits of the request. When the general rapporteur, using the power granted to him by Article 34 of the aforementioned decree, decides, in order to ensure better organization of the debate, to set deadlines for the parties to submit their pleadings, the submission of documents after the expiration of the allotted time cannot, on this sole basis, justify their exclusion from the procedure, as long as the opposing parties have benefited from sufficient time to respond and thus ensure their defense in light of the documents submitted.  </w:t>
        <w:br/>
        <w:t xml:space="preserve">11. In this case, the supplementary pleading of the CNPA, registered on June 23 with the Council, was distributed to the companies involved on July 4, more than a week before the session scheduled for July 16, 2003. The companies involved therefore had a reasonable time to become acquainted with it and produce written observations. The companies Yamaha, Peugeot, and Suzuki have, moreover, availed themselves of this opportunity by submitting, on July 11, supplementary observations that were distributed to all parties. It was also possible for the latter to reply to the "brief observations in response" from the CNPA that they received on July 11, either in writing as Yamaha did, or during the session. The principle of adversarial proceedings has therefore been respected, as the companies were able to organize their defense in view of the elements provided by these pleadings. Consequently, there is no reason to exclude from the file both the supplementary pleading of the referring party registered on June 23, 2003, and the observations of the parties in response to this pleading, the "brief observations in response" of the CNPA, and the reply from Yamaha.  </w:t>
        <w:br/>
        <w:t xml:space="preserve">On the relevant market  </w:t>
        <w:br/>
        <w:t xml:space="preserve">12. In accordance with the case law of the Council2, it is necessary to distinguish two markets for two-wheeled motor vehicles, depending on whether they are registered or not, the geographical dimension of these markets being that of French territory.  </w:t>
        <w:br/>
        <w:t xml:space="preserve">13. The market for unregistered mopeds not exceeding 50 cc represented 166,124 vehicles in 2002, according to the National Union of Motorcycles (CSNM), and its volume has decreased compared to what it was in the mid-1990s3. It is composed of several segments: traditional mopeds, which are in sharp decline, scooters whose share has significantly increased in the 1990s and which now represent the largest share of mopeds, thus surpassing traditional mopeds, and finally, gear mopeds, which appeared in the mid-1990s and are growing. This market is served by Peugeot (whose market share in 2002 was 32.1%, according to the CSNM), by MBK (28.2%), by Yamaha (11.6%), by Piaggio (9.1%), Derbi (8.2%), Aprilia (4.2%) as well as by 8 other brands whose individual market share is less than 2%4.  </w:t>
        <w:br/>
        <w:t xml:space="preserve">14. The market for registered motorcycles represented 168,754 vehicles in 2002, according to the CSNM. It had experienced a significant increase in volumes starting in 19965, but sales have seen a relative decline in the last two years. It is composed of two segments: light motorcycles not exceeding 125 cc and 11 kw and motorcycles.  </w:t>
        <w:br/>
        <w:t xml:space="preserve">1 Decision 01-MC-07 of December 21, 2001  </w:t>
        <w:br/>
        <w:t xml:space="preserve">2 Decision 91-D-31 of June 18, 1991  </w:t>
        <w:br/>
        <w:t xml:space="preserve">3 In 1995, 218,198 vehicles, in 1996, 220,099 and in 1997, 214,979.  </w:t>
        <w:br/>
        <w:t xml:space="preserve">4 All market shares are provided by the CSNM.  </w:t>
        <w:br/>
        <w:t>5 In 1995, 84,249 vehicles sold, in 1996, 115,958, in 1997, 147,890, in 1998, 172,336, and in 1999, 192,744.</w:t>
      </w:r>
    </w:p>
    <w:p>
      <w:r>
        <w:rPr>
          <w:b/>
        </w:rPr>
        <w:t>[Pages 4–6]</w:t>
      </w:r>
    </w:p>
    <w:p>
      <w:r>
        <w:t>supérieure à 125 cc or 11 kW, these large displacement vehicles representing the majority of sales6. This market is served by Yamaha (whose market share is 26% in 2002, according to the CSNM), by Honda (19%), Suzuki (17%), Kawasaki (7%), Piaggio (6%), BMW (4%), Aprilia (3%) as well as by other brands individually representing less than 2% of the market.</w:t>
      </w:r>
    </w:p>
    <w:p>
      <w:r>
        <w:t>15. The complainant does not specify the market concerned by the practices denounced in the complaint. It first denounces "anti-competitive measures by Suzuki France and its partners as well as various practices implemented in the market for motorized two-wheelers, particularly by the dominant brands, Yamaha, Honda, Kawasaki, MBK, and Peugeot," targeting the four main suppliers in the market for registered motorcycles as well as the two main suppliers in the market for unregistered mopeds. However, in the continuation of its complaint (pp. 21 to 71), it primarily provides elements regarding the contracts of Suzuki, Honda, Kawasaki, and Yamaha, suppliers in the market for registered motorcycles. The indications regarding the contracts of MBK are relatively isolated and, as highlighted by Peugeot and Motana in their observations of July 4, 2003, these companies are not mentioned in the body of the complaint. Finally, the third section of the complaint is titled "On the absence of exemption for motorcycle distribution contracts" and the fourth "On the other common practices of Japanese motorcycle manufacturers." The Government Commissioner observes that "in light of the practices described by the CNPA, it seems that the relevant market to be considered for the examination of this case is that of registered motorized two-wheel vehicles."</w:t>
      </w:r>
    </w:p>
    <w:p>
      <w:r>
        <w:t>16. In view of the above, it should be considered that the market concerned by the CNPA's complaint is that of registered motorized two-wheel vehicles.</w:t>
      </w:r>
    </w:p>
    <w:p>
      <w:r>
        <w:t>On the denounced practices</w:t>
      </w:r>
    </w:p>
    <w:p>
      <w:r>
        <w:t>17. According to the CNPA, "Concerned with increasing the economic dependence of their dealers, all licensors have imposed restrictive competition contracts on their business partners aimed at closing the market and excluding any inter-brand competition through practices falling under Articles L. 420-1, L. 420-2 of the Commercial Code and Article 81 of the Treaty of Rome7." It accuses the two-wheel vehicle licensors of having imposed contracts on their networks that would clearly violate Community Regulation 2790/99 of December 22, 19998 and argues that the organization of the main distribution networks according to similar legal and economic modalities would lead to a cumulative effect likely to reduce competition at the retail sales stage. Furthermore, according to the CNPA, the new contractual provisions place dealers in a situation of economic dependence on the licensors, and the latter can abuse these situations of dependence to impose on their dealers "economically and objectively unjustifiable obligations"9.</w:t>
      </w:r>
    </w:p>
    <w:p>
      <w:r>
        <w:t>On the distribution contracts of Suzuki, Yamaha, Honda, and Kawasaki</w:t>
      </w:r>
    </w:p>
    <w:p>
      <w:r>
        <w:t>18. Community Regulation 2790/99 of December 22, 1999, lists a number of characterized restrictions that result in the exclusion of the entirety of the vertical agreement from the scope of said regulation even if the market share threshold is not exceeded. Under Article 4 point c) of this regulation, limitations on passive and active sales to end users imposed on distributors of a selective distribution system constitute one of these restrictions. Limitations on passive sales imposed on distributors of a system benefiting from territorial exclusivity also constitute a characterized restriction, under Article 4 point b).</w:t>
      </w:r>
    </w:p>
    <w:p>
      <w:r>
        <w:t>19. The CNPA argues that the new distribution contracts established by Suzuki, Yamaha, Honda, and Kawasaki combine territorial exclusivity with the selection of distributors and that they contain characterized competition restrictions or "black clauses." In the case of an exclusive and selective distribution system, point 53 of the guidelines on vertical restrictions10 provides, regarding the characterized restriction referred to in Article 4 point c, that "Selective distribution may be combined with exclusive distribution provided that active and passive sales are not limited anywhere." Furthermore, point 186 of the guidelines states that "Selective distribution, whether qualitative or quantitative, benefits from the block exemption as long as the market share does not exceed 30%, even if it is associated with other vertical restrictions that are not characterized, such as a non-competition obligation or exclusive distribution, provided that authorized distributors can engage in active sales both among themselves and to end consumers."</w:t>
      </w:r>
    </w:p>
    <w:p>
      <w:r>
        <w:t>20. Moreover, the eleventh recital of the Community regulation states that "in order to ensure access to the relevant market or to limit collusion in this market, the block exemption must be subject to several conditions. To this end, the exemption from non-competition obligations must be limited to obligations that do not exceed a certain duration; for the same reasons, any direct or indirect obligation imposing on members of a selective distribution system not to sell brands of competing suppliers must be excluded from the benefit of this regulation." Article 5 of the Community regulation excludes certain obligations from the benefit of the exemption even if the market share threshold is not exceeded, but the regulation continues to apply to the remaining provisions of the vertical agreement if they are separable from the non-exempt obligations, these clauses being referred to as "red clauses." The CNPA argues that the new distribution contracts established by Suzuki, Yamaha, Honda, and Kawasaki contain such "red clauses."</w:t>
      </w:r>
    </w:p>
    <w:p>
      <w:r>
        <w:t>The Suzuki distribution contracts</w:t>
      </w:r>
    </w:p>
    <w:p>
      <w:r>
        <w:t>21. Article 2 of the Suzuki distribution contract states that "The dealer is prohibited from any active or passive sales from an establishment not authorized by Suzuki France. The dealer is prohibited from selling to unauthorized resellers." And Article 13 states that "He (the dealer) is prohibited from reselling the products to unauthorized Suzuki distributors within the European Union." These clauses could constitute an absolute territorial protection or a limitation on resales to end users. Furthermore, Article 16 of the single-brand and multi-brand contracts of this licensor stipulates that they are concluded "intuitu personae, that is to say, in consideration of the personality of the parties." The maintenance of such a clause could constitute an obstacle to the objective selection of dealers as long as the approval criteria are not previously defined and communicated to any operator wishing to join the network.</w:t>
      </w:r>
    </w:p>
    <w:p>
      <w:r>
        <w:t>22. Suzuki does not contest that its distribution contracts combine territorial exclusivity and distributor selection, but argues that, in a letter dated May 23, 2003, the DGCCRF, which examined the Suzuki distribution contract, raised no objections against this combination of exclusivity and selection and that this silence leads to the consideration that there are not sufficiently convincing elements in the CNPA's complaint to deem it admissible insofar as it concerns the combination of exclusivity and selection.</w:t>
      </w:r>
    </w:p>
    <w:p>
      <w:r>
        <w:t>23. However, the letter from the DGCCRF, sent during the investigation of the present case, does not constitute a decision capable of causing harm or, conversely, of exonerating the company Suzuki. The Government Commissioner, in his observations, acknowledges, moreover, that a substantive examination of the distribution contracts is justified with regard to Article L. 420-1 of the Commercial Code, Article 81 of the Treaty of Rome, and the Community regulation on vertical restrictions.</w:t>
      </w:r>
    </w:p>
    <w:p>
      <w:r>
        <w:t>24. Article 3 of the Suzuki multi-brand contract contains a prohibition on distributing during the execution of the contract, directly or indirectly, any brand relating to products competing with those covered by the contract. Article 18 of the same contract provides for a post-contractual non-competition commitment of 6 months in the event that the termination of the contract occurs at the initiative of the dealer. In its observations in response to the complaint, Suzuki mentions, on these points, the letter sent to it by the DGCCRF on May 23, 2003, in which the latter considers that the non-competition clause "appears excessive in light of the principles set out by the European Commission in its exemption regulation." It indicates that "Of course, Suzuki France reserves the right to make any necessary modifications to its contracts." Finally, Suzuki admitted, during the hearing, that the compliance of its distribution contracts with the Community regulation warranted thorough examination.</w:t>
      </w:r>
    </w:p>
    <w:p>
      <w:r>
        <w:t>25. It cannot therefore be excluded, at this stage of the procedure and subject to a substantive investigation, that the limitations on the outlets of Suzuki dealers contravene the provisions of Article 4 of the regulation on vertical restrictions and that the non-competition commitments contained in these contracts contravene the provisions of Article 5 of the same regulation.</w:t>
      </w:r>
    </w:p>
    <w:p>
      <w:r>
        <w:t>The Kawasaki distribution contracts</w:t>
      </w:r>
    </w:p>
    <w:p>
      <w:r>
        <w:t>26. The complainant argues that the Kawasaki contracts combine exclusivity and selection and that they contain restrictions that can only be authorized in a selective distribution system. Kawasaki prohibits its dealers "from engaging in an active resale policy outside the territory from an unauthorized establishment" and also prohibits them "from reselling products to resellers not part of the network." Furthermore, the Kawasaki multi-brand contract contains a clause that makes the representation of other brands than those listed in the contract subject to the licensor's authorization. Without providing answers on these points, the company Kawasaki indicated, during the hearing, that it was open to amendments to its contracts in order to bring them into compliance with the Community regulation.</w:t>
      </w:r>
    </w:p>
    <w:p>
      <w:r>
        <w:t>27. It cannot therefore be excluded, at this stage of the procedure and subject to a substantive investigation, that the Kawasaki contracts combine exclusive and selective provisions, that they contain limitations on the outlets of dealers contrary to the provisions of Article 4 of the regulation on vertical restrictions, and that the non-competition commitments they contain contravene the provisions of Article 5 of the same regulation.</w:t>
      </w:r>
    </w:p>
    <w:p>
      <w:r>
        <w:t>The Honda distribution contracts</w:t>
      </w:r>
    </w:p>
    <w:p>
      <w:r>
        <w:t>28. The complainant argues that the contracts established by Honda combine distributor selection and territorial exclusivity, and that the setting of sales targets to be achieved within a territory constitutes an indirect limitation on sales.</w:t>
      </w:r>
    </w:p>
    <w:p>
      <w:r>
        <w:rPr>
          <w:b/>
        </w:rPr>
        <w:t>[Pages 7–9]</w:t>
      </w:r>
    </w:p>
    <w:p>
      <w:r>
        <w:t>contracts of Honda</w:t>
        <w:br/>
        <w:t>28. The applicant argues that the contracts established by Honda combine distributor selection and territorial exclusivity, and that the setting of sales targets to be achieved within a territory constitutes an indirect limitation on the passive sales of dealers. Honda specifies that motorcycles over 125 cc are distributed under selective distribution contracts and those under 125 cc are distributed under an exclusive system. It emphasizes that the provisions regarding targets within a territory are contained in the exclusive contract, and that the market share targets presented by the applicant as limitations on passive sales are not assigned solely to the exclusive dealer of the area, but rather are market share targets for Honda products in that territory, which include sales made by external dealers, as indicated in Article 7.2 of the exclusive contract, which states: "to avoid any ambiguity, (...), that all products registered in this territory, including those sold by a third party, will be taken into account to determine whether the minimum coverage has been achieved."</w:t>
      </w:r>
    </w:p>
    <w:p>
      <w:r>
        <w:t>29. However, Article 29 of the selective distribution contract provides that this contract is concluded intuitu personae, "in consideration of the person of the dealer, and in particular the legal form of their business, the identity and qualifications of their owners and managers, whether direct or indirect, and of their managers." The existence of such a clause could constitute an obstacle to the objective selection of dealers since the approval criteria would not be defined and communicated in advance to any operator wishing to join the network.</w:t>
      </w:r>
    </w:p>
    <w:p>
      <w:r>
        <w:t>30. Article 2 of the Honda contract provides that "the grantor designates the dealer as the exclusive dealer of the products in the territory. Throughout the duration of this contract, the grantor is prohibited from appointing other dealers for the products in the territory." The contract provided by Honda for the distribution of motorcycles over 125 cc thus combines distributor selection and territorial exclusivity.</w:t>
      </w:r>
    </w:p>
    <w:p>
      <w:r>
        <w:t>31. Under Article 6 of this contract, titled "activity outside the agreed territory," it is provided that "during the duration of this contract, the dealer agrees not to solicit customers for the products or maintain branches or depots for the distribution of the products outside the territory." The wording of this article could limit the incentives for dealers to develop active and passive sales outside their area.</w:t>
      </w:r>
    </w:p>
    <w:p>
      <w:r>
        <w:t>32. Finally, the selective contract of Honda contains in its Article 3.2 a non-competition clause worded as follows: "During the entire duration of the contract, the dealer is prohibited, directly or indirectly, from manufacturing, purchasing, using, selling, renting, or making available by any other means, competing products without the prior written consent of the Grantor." In its observations and during the session, Honda argued that Article 5 point c of the Community regulation stipulates that the non-competition clause must target "determined" competitors to be prohibited, and that in the absence of a precise identification of the companies, this non-competition clause is valid.</w:t>
      </w:r>
    </w:p>
    <w:p>
      <w:r>
        <w:t>33. However, point 61 of the guidelines specifies: "the block exemption regulation covers selective distribution accompanied by a non-competition obligation, which prohibits distributors from reselling competing brands in a general manner. However, if the supplier prevents its designated distributors, either directly or indirectly, from purchasing products from certain competing suppliers for resale, this obligation cannot benefit from the block exemption. By excluding this obligation, the objective pursued is to prevent a number of suppliers who use the same selective distribution points from preventing one or more determined competitors from using those same points to distribute their products." The Honda distribution contract being a multi-brand contract, its Article 3.2 could create conditions for limiting the penetration of competing suppliers within a point of sale.</w:t>
      </w:r>
    </w:p>
    <w:p>
      <w:r>
        <w:t>34. In light of the above, it cannot be excluded, at this stage of the proceedings and subject to a thorough investigation, that the distribution contract for motorcycles registered over 125 cc from Honda combines distributor selection and territorial exclusivity, and that the limitations on the outlets for dealers contained therein contravene the provisions of Article 4 of the regulation on vertical restraints. It cannot also be excluded, at this stage of the proceedings and under the same reservations, that the non-competition commitments of the Honda contracts contravene the provisions of Article 5 of the said regulation.</w:t>
      </w:r>
    </w:p>
    <w:p>
      <w:r>
        <w:t>The Yamaha concession contracts</w:t>
        <w:br/>
        <w:t>35. The applicant argues that the contracts established by Yamaha combine exclusivity and selectivity. He adds that the non-competition clauses contained in Yamaha's distribution contracts are contrary to the regulation on vertical restraints.</w:t>
      </w:r>
    </w:p>
    <w:p>
      <w:r>
        <w:t>36. Yamaha, in its observations, demonstrates that the exclusive and selective distribution contract, which is in force for the distribution of motorcycles over 125 cc, does not restrict in any way the possibility for a dealer to sell products to final consumers or to other members of the network. It further argues that the non-competition commitment clause of the exclusive and selective distribution contract that is in force for the distribution of motorcycles over 125 cc is not, in itself, contrary to the provisions of Article 5 since it is limited to 5 years and that the benefit of the exemption for this clause cannot be lost for this reason.</w:t>
      </w:r>
    </w:p>
    <w:p>
      <w:r>
        <w:t>37. It follows from all of the above that the application contains sufficient evidence to justify a substantive examination of the distribution contracts implemented by Suzuki, Honda, and Kawasaki in the market for registered motorcycles. Article 7 of the Community regulation provides that national competition authorities have the competence to withdraw the benefit of the exemption when the vertical agreements in question have effects on the territory of a Member State and that the relevant geographic market is distinct. The contracts in question constitute vertical agreements that limit the distributors allowed to distribute the products of the suppliers and thus to be part of the distribution networks. Articles 81, paragraph 1, of the Treaty of Rome, on the one hand, and Article L. 420-1 of the Commercial Code, on the other hand, prohibit in substantially similar terms agreements between companies that have as their object or effect the prevention, restriction, or distortion of competition in the market. The application is therefore admissible insofar as it concerns the distribution contracts of Suzuki, Honda, and Kawasaki taken individually. On the other hand, there is not in the file sufficient evidence concerning the Yamaha contract. It is therefore appropriate to apply Article L. 462-8 of the Commercial Code and to reject the application on the merits as it concerns the clauses of the Yamaha contract taken individually.</w:t>
      </w:r>
    </w:p>
    <w:p>
      <w:r>
        <w:t>On the cumulative effects of the distribution contracts of Suzuki, Yamaha, Honda, and Kawasaki</w:t>
        <w:br/>
        <w:t>38. The applicant argues that the adoption of similar distribution contracts by the 4 main motorcycle grantors, who together hold nearly 70% of the market, restricts access to the final market for new entrants and limits competition between the existing brands. He argues that "the absence of price competition results from the limitation of inter-brand competition by the imposed and generalized subscription among the four Japanese brands of a mono-brandism or false multi-brandism; from the combined limitation of intra-brand competition by the granting of territorial exclusivity." It considers that, in accordance with its Article 8, the Community block exemption regulation does not apply to parallel networks of vertical restrictions that cover more than 50% of the market.</w:t>
      </w:r>
    </w:p>
    <w:p>
      <w:r>
        <w:t>39. The CNPA further argues that the average prices of vehicles sold by the main manufacturers are very close and that there is a "gradual and constant increase in sales prices." It adds that "While the CNPA acknowledges it cannot demonstrate concerted action among the main players in this market, the choice of a similar distribution model encourages the risks of collusion, which for the 5 dominant players results in the elimination of any inter-brand competition at the retail sales stage and in a homogenization of prices by the obligation imposed on dealers to follow the promotional policies of the grantor."</w:t>
      </w:r>
    </w:p>
    <w:p>
      <w:r>
        <w:t>40. However, first, the application does not provide any comparative elements of price levels between directly substitutable models. Furthermore, it cannot be argued, based on the elements provided by the applicant regarding the average price of all vehicles sold by each of the grantors in 2001, that Suzuki, Kawasaki, Honda, and Yamaha practice prices that are close. Indeed, there is a difference of 19.8% between the lowest average price of sold vehicles (Yamaha, 42,789 FF) and the highest (Kawasaki, 51,284 F).</w:t>
      </w:r>
    </w:p>
    <w:p>
      <w:r>
        <w:t>41. Secondly, the evolution of prices is not uniform, according to the manufacturers. According to the information provided by the applicant, the average price of Honda increased by 1.7% between 2000 and 2001; that of Kawasaki increased by 3.8% and that of Yamaha by 9.2%. Suzuki argues that between 2000 and 2001, price increases, across all models, were only 3.4% and not 16% as erroneously indicated by the applicant, and that between 2001 and 2002, prices decreased by 0.11%. Thus, the elements in the file do not constitute sufficiently convincing evidence of parallel behavior or price alignment; on the contrary, the gap between average prices according to the manufacturers as well as the differences in trends seem to reflect the independence and autonomy of the suppliers.</w:t>
      </w:r>
    </w:p>
    <w:p>
      <w:r>
        <w:t>42. Thirdly, the Council noted in 1991 that "Honda, like the major brands, is not immune to fluctuations due to fashion phenomena and the particular success of a model from another brand thus diminishing its position in a category." According to the elements provided by Honda on the evolution of market shares of the four Japanese manufacturers since 1980, the fluctuations in individual positions are significant. For example, Honda, which held nearly 19% of the market in 2002, held 25% in 1995, 20% in 1991, 33% in 1985, and over 38% in 1980; the market share of Suzuki, which stands at nearly 18% in 2002, was 12% in 1995, 20% in 1991, 7% in 1984, and 11% in 1980. The analysis that the Council developed in 1991 is still relevant and the motorcycle producers present in the market do not seem able to escape the competition they exert on each other.</w:t>
      </w:r>
    </w:p>
    <w:p>
      <w:r>
        <w:t>43. Furthermore, according to the elements provided by Honda, the share of the main Japanese manufacturers (Honda, Yamaha, Suzuki, and Kawasaki) has declined since 1980. Indeed, these brands together represented nearly 88% of the motorcycle market in 1980, compared to 77% in 1990 and 68% in 2000. The main players in the market of...</w:t>
      </w:r>
    </w:p>
    <w:p>
      <w:r>
        <w:rPr>
          <w:b/>
        </w:rPr>
        <w:t>[Pages 10–12]</w:t>
      </w:r>
    </w:p>
    <w:p>
      <w:r>
        <w:t>les véhicules conformes et non conformes à la réglementation européenne. De plus, il n'est pas établi que les concessionnaires aient été contraints d'acheter des véhicules non conformes.</w:t>
      </w:r>
    </w:p>
    <w:p>
      <w:r>
        <w:t>61. En conséquence, la demande de mesures conservatoires formulée par le CNPA ne repose pas sur des éléments suffisamment probants pour établir un lien de causalité direct et certain entre les pratiques anticoncurrentielles dénoncées et l'atteinte grave et immédiate alléguée.</w:t>
      </w:r>
    </w:p>
    <w:p>
      <w:r>
        <w:t>62. Par conséquent, il convient de rejeter la demande de mesures conservatoires.</w:t>
      </w:r>
    </w:p>
    <w:p>
      <w:r>
        <w:rPr>
          <w:b/>
        </w:rPr>
        <w:t>[Pages 13–14]</w:t>
      </w:r>
    </w:p>
    <w:p>
      <w:r>
        <w:t xml:space="preserve">dealers by the licensors.  </w:t>
        <w:br/>
        <w:t xml:space="preserve">60. According to the complainant, the examination of the pre-order forms from Peugeot and MBK (document 78) shows that these licensors have organized forced sales. However, these pre-order forms list the vehicles that dealers can purchase and include models that will no longer comply with the new European standards as of September 17, 2003, and models that will be compliant. The choice of supply is left to the dealer, and no element allows one to deduce a forced sale.  </w:t>
        <w:br/>
        <w:t xml:space="preserve">61. The letter from a regional sales inspector of Suzuki (document 100) would demonstrate, according to the complainant, that a dealer was imposed the delivery of a non-compliant model, which would establish that this licensor resorted to forced sales. However, Suzuki provided, on July 11, 2003, a letter from this sales representative stating, "Indeed, during the promotion of the GZ 125 K2 at a possible price of 1,999 euros, I sent a fax to my clients who did not have this motorcycle in stock to offer them this excellent deal (possible price before promotion: 2,590 euros). My goal was to offer them this excellent deal because the quantities in stock at Suzuki France were low, thus allowing them to benefit from at least one unit. (…) AZ moto refused my proposal… which did not prevent them from ordering 6 in May and complaining (…) about not being able to buy more." It is therefore appropriate to dismiss any implementation of pressure from Suzuki.  </w:t>
        <w:br/>
        <w:t xml:space="preserve">62. According to the complainant, MBK would also have organized tied sales. The MBK order form titled "special pre-season conditions May-September 2003" (document 79) provides for an "obligation to order one unit of XLIMITSM/SL 2002 [model that will no longer be compliant as of September 17, 2003] for any order of a 2003 model." No other element allows this subordinate sale to be qualified as an anti-competitive practice contrary to the provisions of Articles L. 420-1 or L. 420-2 of the Commercial Code, as it is not demonstrated that it results from an agreement between MBK and its distributors and no element suggests that MBK would have a dominant position or would hold distributors in its dependence.  </w:t>
        <w:br/>
        <w:t xml:space="preserve">63. Furthermore, the other manufacturers explain how they organized the sales of non-compliant models as of September 18, 2003, and no element of constraint can be deduced from this.  </w:t>
        <w:br/>
        <w:t xml:space="preserve">64. In light of the above, it appears, on the one hand, that the request for interim measures is not linked to the substantive referral and, on the other hand, it is not established that the facts invoked in support of this request can be qualified as anti-competitive practices, within the meaning of the provisions of Book IV of the Commercial Code. Therefore, the request for interim measures registered under number 03/0036 M must be rejected.  </w:t>
        <w:br/>
        <w:t xml:space="preserve">DECISION  </w:t>
        <w:br/>
        <w:t xml:space="preserve">Article 1: The referral number 03/0035 F from the CNPA is rejected insofar as it concerns the clauses of the Yamaha contract, insofar as it concerns the cumulative effect of the contracts of Suzuki, Yamaha, Honda, and Kawasaki on the market for registered two-wheeled motor vehicles, and concerning the abuse of economic dependence in which each of these manufacturers, or all of them, would hold the dealers.  </w:t>
        <w:br/>
        <w:t xml:space="preserve">Article 2: The request for interim measures registered under number 03/0036 M is rejected.  </w:t>
        <w:br/>
        <w:t xml:space="preserve">Deliberated, on the oral report of Ms. Aloy, by Mr. Jenny, Vice-President, presiding over the session, Messrs. Flichy, Gauron, and Robin, members.  </w:t>
        <w:br/>
        <w:t xml:space="preserve">The session secretary, The Vice-President, presiding over the session,  </w:t>
        <w:br/>
        <w:t xml:space="preserve">Christine Charron Frédéric Jenny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