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https://www.autoritedelaconcurrence.fr/fr/decision/relative-des-pratiques-mises-en-oeuvre-sur-le-marche-de-la-cetirizine-en-comprimes</w:t>
      </w:r>
    </w:p>
    <w:p>
      <w:r>
        <w:t>Pages translated : 13</w:t>
      </w:r>
    </w:p>
    <w:p/>
    <w:p>
      <w:r>
        <w:rPr>
          <w:b/>
        </w:rPr>
        <w:t>[Pages 1–3]</w:t>
      </w:r>
    </w:p>
    <w:p>
      <w:r>
        <w:t xml:space="preserve">FRENCH REPUBLIC  </w:t>
        <w:br/>
        <w:t xml:space="preserve">Decision No. 10-D-37 of December 17, 2010  </w:t>
        <w:br/>
        <w:t xml:space="preserve">regarding practices implemented in the cetirizine market  </w:t>
        <w:br/>
        <w:t xml:space="preserve">in tablet form  </w:t>
        <w:br/>
        <w:t xml:space="preserve">The Competition Authority,  </w:t>
        <w:br/>
        <w:t xml:space="preserve">Having regard to the letter, registered on January 30, 2008 under number 08/0011 F, by which the Minister of Economy, Finance, and Employment referred to the Competition Council practices implemented in the cetirizine market:  </w:t>
        <w:br/>
        <w:t xml:space="preserve">Having regard to Article 102 of the Treaty on the Functioning of the European Union;  </w:t>
        <w:br/>
        <w:t xml:space="preserve">Having regard to Book IV of the Commercial Code:  </w:t>
        <w:br/>
        <w:t xml:space="preserve">Having regard to the other documents in the file:  </w:t>
        <w:br/>
        <w:t xml:space="preserve">Having regard to the observations presented by the Government Commissioner:  </w:t>
        <w:br/>
        <w:t xml:space="preserve">The rapporteur, the general rapporteur, and the Government Commissioner heard during the session of the Competition Authority on December 7, 2010:  </w:t>
        <w:br/>
        <w:t>Adopts the following decision:</w:t>
      </w:r>
    </w:p>
    <w:p>
      <w:r>
        <w:t xml:space="preserve">I. FINDINGS  </w:t>
        <w:br/>
        <w:t xml:space="preserve">A. MINISTERIAL REFERRAL  </w:t>
        <w:br/>
        <w:t xml:space="preserve">1. By letter dated January 28, 2008, the Minister of Economy, Finance, and Employment referred to the Competition Council practices implemented by the company UCB Pharma (hereinafter UCB) in the cetirizine market.  </w:t>
        <w:br/>
        <w:t xml:space="preserve">2. In his referral, the referring minister initially indicates that cetirizine is the active ingredient of a pharmaceutical specialty, marketed by UCB under the name Zyrtec® but also by the laboratory Sanofi-Aventis under the name Virlix®, and that these two products are used in the treatment of allergies. According to the referring party, Zyrtec® was, in 2003, the leading prescribed medication in the treatment of allergies, with annual sales ranging between 12 and 14 million boxes.  </w:t>
        <w:br/>
        <w:t xml:space="preserve">3. The referring party challenges UCB's practices which consisted of withdrawing Zyrtec® from the market on September 8, 2004, three months before the expiration of the patent that protected it, a withdrawal preceded by the launch in May 2003 of a new antihistamine, Xyzall®, accompanied by an intense promotional campaign, in order to ensure the transfer of prescriptions from the old to the new medication. The referring party also notes the launch of a non-reimbursable version of Zyrtec® (Zyrtec® set) in 2005.  </w:t>
        <w:br/>
        <w:t xml:space="preserve">4. This practice of withdrawing Zyrtec® preceded by the launch of Xyzall, and followed by the marketing of a non-reimbursable version of Zyrtec® (Zyrtec set) would, according to the referring party, constitute a single practice with anti-competitive intent.  </w:t>
        <w:br/>
        <w:t xml:space="preserve">5. The referring party indeed believes that UCB could not have been unaware that the withdrawal of Zyrtec from the market meant the immediate cessation of prescriptions by doctors for Zyrtec®, and the impossibility of substitution by generics, since substitution occurs in pharmacies, based on a prescription that includes the brand name of the medication. Therefore, for the referring party, the deliberate withdrawal of Zyrtec® from the market, just before the end of the patent, would necessarily have an anti-competitive object: that of preventing generics from developing, a development that would have hindered UCB by disrupting the transfer of prescriptions to Xyzall® or to Zyrtec® set.  </w:t>
        <w:br/>
        <w:t xml:space="preserve">6. Furthermore, according to the referring party, the practice would also have had effects. The laboratories manufacturing generics would have faced a "shrinking market" for cetirizine: the turnover generated by generics would not have been as significant as it should have been, due to the withdrawal of the original product from the market. The minister cites in this regard an excerpt from the statement of the president of GEMME1: "(...) who believes that UCB's behavior has halved, if not tripled, the commercial potential of generics."  </w:t>
        <w:br/>
        <w:t xml:space="preserve">7. Finally, according to the referring party, the practice would have caused significant harm to health insurance, calculated by measuring the price difference between Xyzall and the generics, based on the reimbursement rate of health insurance.  </w:t>
        <w:br/>
        <w:t xml:space="preserve">8. The referring party concludes that UCB, in a dominant position in the cetirizine market (active ingredient of Zyrtec®), would have abused this position.  </w:t>
        <w:br/>
        <w:t xml:space="preserve">B. THE RELEVANT SECTOR  </w:t>
        <w:br/>
        <w:t xml:space="preserve">1. PHARMACEUTICAL SPECIALTIES INDICATED IN THE TREATMENT OF ALLERGIC PATHOLOGIES  </w:t>
        <w:br/>
        <w:t xml:space="preserve">9. According to a study from the journal Impact Médecine cited in an internal document of UCB2, 25% to 35% of the population in industrialized countries suffers from allergic rhinitis. In France, 7 to 8 million French people would be affected by seasonal rhinitis, and 4 to 5 million by perennial rhinitis. The study further emphasizes that if 35% of the French population was affected by an allergic disease in 2005, forecasts for the year 2010 indicate a percentage of 50%3. A still significant portion of the allergic population would not be treated (approximately 30% of the French population4).  </w:t>
        <w:br/>
        <w:t xml:space="preserve">10. The most common allergic pathologies, namely seasonal and perennial allergic rhinitis, chronic urticaria, and allergic conjunctivitis, are commonly treated in general medicine and allergology with the use of H1 antihistamines.  </w:t>
        <w:br/>
        <w:t xml:space="preserve">11. According to medical literature, the mechanism of action of this class of medication is a competitive antagonism of histamine on H1 receptors, present at the nerve endings of smooth muscle and glandular cells.  </w:t>
        <w:br/>
        <w:t xml:space="preserve">12. From a pharmacological point of view, two classes are traditionally distinguished: first-generation H1 antihistamines, which are anticholinergic and sedative, and second-generation H1 antihistamines, generally devoid of anticholinergic effects and minimally or not sedative. Due to their advantages over first-generation H1 antihistamines, second-generation H1 antihistamines have gradually replaced first-generation H1 antihistamines.  </w:t>
        <w:br/>
        <w:t xml:space="preserve">2. REIMBURSABLE SECOND-GENERATION ANTIHISTAMINE SPECIALTIES  </w:t>
        <w:br/>
        <w:t xml:space="preserve">13. In France, the first H1 antihistamine molecules or "anti-H1" of the second generation are loratadine and cetirizine, both launched in 1988. These pharmaceutical specialties are sold on prescription from a doctor (general practitioner, ENT specialist, allergist). Loratadine is marketed by the laboratory Schering-Plough under the brand Clarytine®. Cetirizine, before 2005, is marketed, as mentioned above, both under the brand Zyrtec® by the laboratory UCB, and under the brand Virlix®, by the laboratory Synthélabo (which became, following a succession of company mergers, Sanofi-Aventis).  </w:t>
        <w:br/>
        <w:t xml:space="preserve">14. In 2002, a specialty with desloratadine as the active ingredient (the main active metabolite of loratadine, the active ingredient of Clarytine®) was launched by the laboratory Schering-Plough under the brand Aerius®.  </w:t>
        <w:br/>
        <w:t xml:space="preserve">2 Study describing the state of the antihistamine market in February 2005.  </w:t>
        <w:br/>
        <w:t xml:space="preserve">3 Reference 353.  </w:t>
        <w:br/>
        <w:t>4 See reference 2304.</w:t>
      </w:r>
    </w:p>
    <w:p>
      <w:r>
        <w:rPr>
          <w:b/>
        </w:rPr>
        <w:t>[Pages 4–6]</w:t>
      </w:r>
    </w:p>
    <w:p>
      <w:r>
        <w:t xml:space="preserve">15. Then, on April 22, 2003, a new antihistamine molecule, levocetirizine, appeared under the commercial name Xyzall®, by the laboratory UCB Pharma.  </w:t>
        <w:br/>
        <w:t xml:space="preserve">16. The rest of the antihistamine sector is mainly divided between two other molecules: fexofenadine, marketed since 1998 under the brand Telfast® by Aventis (now Sanofi-Aventis), and ebastine, marketed under the brand Kestin® by Almirall, since 2002. Other antihistamine molecules are marketed under the brands Mizollen® (Sanofi-Aventis), Primalan® (Pierre Fabre Médicaments), and Mistaline® (Galderma).  </w:t>
        <w:br/>
        <w:t xml:space="preserve">17. At the end of 2004, the sector of reimbursable antihistamines (second generation) represented a total turnover of approximately 181.5 million euros, of which about 59.1 million euros for UCB and 83.2 million euros for Schering Plough® (source AFSSAPS retired).  </w:t>
        <w:br/>
        <w:t xml:space="preserve">18. All these antihistamine specialties are reimbursed by Health Insurance, and their prices are set after negotiation between the pharmaceutical laboratory and the Economic Committee for Health Products (CEPS), taking into account the medical service rendered, evaluated by the transparency commission. The assessment of the improvement in the medical service rendered also determines the reimbursement rate of the medication.  </w:t>
        <w:br/>
        <w:t xml:space="preserve">19. For Zyrtec®, the price was set at €7.52 per box of 15 tablets, with a reimbursement rate of 65%.  </w:t>
        <w:br/>
        <w:t xml:space="preserve">20. In contrast, for Xyzall® 5mg, the finding of a moderate medical service rendered and the absence of improvement in the medical service rendered compared to cetirizine and other non-sedating antihistamines determined its inclusion on the list of reimbursable medications at a rate of 35% and an initial selling price set 15% below the selling price of Zyrtec®, namely €6.42 per box of 15 tablets, which is €0.43 per tablet. The price of Xyzall was then reduced by 25% in June 2005, and set at €5.02 per box of 15 tablets, reaching €4.86 including tax, or €0.32 per tablet.  </w:t>
        <w:br/>
        <w:t xml:space="preserve">3. GENERICS OF CETIRIZINE  </w:t>
        <w:br/>
        <w:t xml:space="preserve">21. The patent on the active ingredient of Zyrtec expired in December 2004. Most generic manufacturers launched their cetirizine in tablet form at that date (Arrow Generics, Laboratoires Biogaran, Laboratoires Eurogenerics (EG), Laboratoires GGAM, Merck Generics, Laboratoire Qualimed, Ratiopharm GmbH, and Teva Classics). However, others launched it later: Ranbaxy and Sandoz in June 2005, Winthrop in January 2006.  </w:t>
        <w:br/>
        <w:t xml:space="preserve">22. In 2005, generics represented [35 to 40]% in value and [45 to 50]% in volume of the cetirizine market. By 2008, they reached [75 to 80]% in value and [85 to 90]% in volume of this market.  </w:t>
        <w:br/>
        <w:t xml:space="preserve">23. The turnover of generics, after having significantly increased from 2004 to 2005, remained stable thereafter and was around [9 to 9.5] million euros in 2008, corresponding to [4 to 4.5] million boxes.  </w:t>
        <w:br/>
        <w:t xml:space="preserve">24. The price of cetirizine generics was, in December 2005, €5.05 per box of 15 tablets, or €0.34 per tablet, then in June 2006, €4.34 per box, or €0.29 per tablet.  </w:t>
        <w:br/>
        <w:t xml:space="preserve">4. EVOLUTION OF THE REIMBURSABLE SECOND-GENERATION ANTIHISTAMINES SECTOR  </w:t>
        <w:br/>
        <w:t xml:space="preserve">25. The evolution of the reimbursable second-generation antihistamines sector can be summarized in the following tables:  </w:t>
        <w:br/>
        <w:t xml:space="preserve">Turnover and market shares of reimbursable antihistamines  </w:t>
        <w:br/>
        <w:t xml:space="preserve">Reimbursable 2003 2004 2005 2006 2007 2008  </w:t>
        <w:br/>
        <w:t xml:space="preserve">TOTAL GENERIC CETIRIZINE 0 751 777 [5 to 10,000,000] [5 to 10,000,000] [5 to 10,000,000] [5 to 10,000,000]  </w:t>
        <w:br/>
        <w:t xml:space="preserve">% generic cetirizines 0 2 [35 to 40] [55 to 60] [65 to 70] [75 to 80]  </w:t>
        <w:br/>
        <w:t xml:space="preserve">ZYRTEC 53 100 140 22 987 484 0 [350 to 400] 0 0  </w:t>
        <w:br/>
        <w:t xml:space="preserve">VIRLIX 11 558 005 13 100 716 [13 to 13.5 million] [7 to 7,500,000] [7 to 4.5 million] [2 to 2.5 million]  </w:t>
        <w:br/>
        <w:t xml:space="preserve">% Zyrtec cetirizine segment 82.1 62.4 0 0 0 0  </w:t>
        <w:br/>
        <w:t xml:space="preserve">TOTAL CETIRIZINE SEGMENT 64 658 145 36 839 977 [20 to 25 million] [16.5 to 17 million] [14 to 14.5 million] [11 to 11.5 million]  </w:t>
        <w:br/>
        <w:t xml:space="preserve">XYZALL 10 434 815 36 118 977 [35 to 40 million] [35 to 40 million] [40 to 45 million] [30 to 35 million]  </w:t>
        <w:br/>
        <w:t xml:space="preserve">CLARITYNE 28 857 555 24 361 608 [20 to 25 million] [19.5 to 20 million] [15 to 20 million] [5 to 10 million]  </w:t>
        <w:br/>
        <w:t xml:space="preserve">AERIUS 46 161 106 58 912 808 [60 to 65 million] [65 to 70 million] [65 to 70 million] [65 to 70 million]  </w:t>
        <w:br/>
        <w:t xml:space="preserve">TOTAL UCB 63 534 955 59 106 461 [35 to 40 million] [35 to 40 million] [35 to 40 million] [30 to 35 million]  </w:t>
        <w:br/>
        <w:t xml:space="preserve">TOTAL SCHERING PLOUGH 75 018 661 83 274 416 [85 to 90 million] [85 to 90 million] [85 to 90 million] [75 to 80 million]  </w:t>
        <w:br/>
        <w:t xml:space="preserve">TOTAL OTHER PRINCIPALS 23 338 747 25 222 298 [25 to 30 million] [30 to 35 million] [30 to 35 million] [30 to 35 million]  </w:t>
        <w:br/>
        <w:t xml:space="preserve">TOTAL GENERIC CLARITYNE 0 0 0 0 [1 to 1.5 million]  </w:t>
        <w:br/>
        <w:t xml:space="preserve">Σ GENERICS OTHERS 0 0 0 [100,000 to 150,000] [250,000 to 300,000] [10 to 15 million]  </w:t>
        <w:br/>
        <w:t xml:space="preserve">Σ MARKET ANTIHISTAMINES 173 450 368 181 455 668 170 to 175 million [170 to 175 million] [170 to 175 million] [160 to 165 million]  </w:t>
        <w:br/>
        <w:t xml:space="preserve">TOTAL GENERICS 0 751 777 [5 to 10 million] [5 to 10 million] [5 to 10 million] [20 to 25 million]  </w:t>
        <w:br/>
        <w:t xml:space="preserve">% Zyrtec antihistamines market 30.6 12.7 0.00 0.00 0.00 0.00  </w:t>
        <w:br/>
        <w:t xml:space="preserve">% Xyzall antihistamines market 6.0 19.9 [20 to 25] [20 to 25] [20 to 25] [15 to 20]  </w:t>
        <w:br/>
        <w:t xml:space="preserve">% generics cetirizine/Σ 0 0.4 [0 to 5] [5 to 10] [5 to 10] [5 to 10]  </w:t>
        <w:br/>
        <w:t xml:space="preserve">% UCB on market Σ antihist 36.6 32.6 [20 to 25] [20 to 25] [20 to 25] [15 to 20]  </w:t>
        <w:br/>
        <w:t xml:space="preserve">% SCHERING on market Σ 43.2 45.9 [45 to 50] [50 to 55] [45 to 50] [45 to 50]  </w:t>
        <w:br/>
        <w:t xml:space="preserve">% cetirizine/market Σ 37.3 20.3 [10 to 15] [5 to 10] [5 to 10] [5 to 10]  </w:t>
        <w:br/>
        <w:t xml:space="preserve">5. NON-REIMBURSABLE ANTIHISTAMINES  </w:t>
        <w:br/>
        <w:t xml:space="preserve">26. In addition to reimbursable pharmaceutical specialties (and sold by prescription), there are also non-reimbursable antihistamines sold without a prescription.  </w:t>
        <w:br/>
        <w:t xml:space="preserve">27. UCB (formerly DARCI) had, in its portfolio, a non-reimbursable antihistamine marketed under the name Aphilan®, which for some time held a monopoly in the market for non-reimbursable antihistamines.  </w:t>
        <w:br/>
        <w:t>28. However, it was a first-generation antihistamine that, since 2004, faced competition from Réactine® marketed by Pfizer (with UCB's agreement) and having cetirizine, a second-generation molecule, as its active ingredient.</w:t>
      </w:r>
    </w:p>
    <w:p>
      <w:r>
        <w:rPr>
          <w:b/>
        </w:rPr>
        <w:t>[Pages 7–9]</w:t>
      </w:r>
    </w:p>
    <w:p>
      <w:r>
        <w:t>29. This is why, in March 2005, UCB launched Zyrtec set® which quickly achieved excellent results (see table below)</w:t>
        <w:br/>
        <w:t>Turnover of non-reimbursable antihistamines</w:t>
        <w:br/>
        <w:t>2004 2005 2006 2007 2008</w:t>
        <w:br/>
        <w:t>ZYRTEC SET 0 [1.5 to 2 million] [1.5 to 2 million] [2 to 2.5 million] [2 to 2.5 million]</w:t>
        <w:br/>
        <w:t>REACTINE 3,434,736 [2.5 to 3 million] [1.5 to 2 million] [1 to 1.5 million] [150 to 200,000]</w:t>
        <w:br/>
        <w:t>others 75,377 [2 to 2.5 million] [3 to 3.5 million] [4 to 4.5 million] [2.5 to 3 million]</w:t>
        <w:br/>
        <w:t>APHILAN 309,344 [20 to 25,000] [15 to 20,000] [10 to 15,000] [1 to 5,000]</w:t>
        <w:br/>
        <w:t>Total UCB non-reimbursable 309,344 [1.5 to 2 million] [1.5 to 2 million] [2 to 2.5 million] [2 to 2.5 million]</w:t>
        <w:br/>
        <w:t>Σ NON 3,819,457 [6 to 7 million] [6 to 7 million] [7.5 to 8 million] [5 to 5.5 million]</w:t>
        <w:br/>
        <w:t>REIMBURSABLE</w:t>
        <w:br/>
        <w:t>% UCB /non 7 [20 to 25] [20 to 25] [20 to 25] [35 to 40]</w:t>
        <w:br/>
        <w:t>reimbursable</w:t>
        <w:br/>
        <w:t>% PFIZER /non 83 [30 to 35] [20 to 25] [10 to 15] [0 to 5]</w:t>
        <w:br/>
        <w:t>reimbursable</w:t>
        <w:br/>
        <w:t>Others (generics) 0 [45 to 50] [50 to 60] [60 to 70] [55 to 65]</w:t>
        <w:br/>
        <w:t>30. The market for non-reimbursable antihistamines is not reserved for the originators. Since 2004, in addition to the Urgo laboratory which markets a product under the name Humex® rhinitis, many generic manufacturers have entered the non-reimbursable cetirizine market: Téva, Mylan, Biogaran, Ratiopharm, Sandoz. They achieved a turnover of around [2.5 to 3] million euros in 2008.</w:t>
        <w:br/>
        <w:t>6. THE ACTORS</w:t>
        <w:br/>
        <w:t>The UCB Pharma laboratory</w:t>
        <w:br/>
        <w:t>31. The UCB group is a pharmaceutical group whose parent company, UCB S.A., is located in Belgium and listed on the Brussels stock exchange. The group is present in about forty countries and employs approximately 10,000 employees. It produces and markets pharmaceutical specialties, the main ones being intended for the treatment of central nervous system disorders and allergies, which respectively represented [35 to 45%] and [20 to 25%] of the group's global net sales in 2007. That same year, the UCB group achieved a global turnover of 3.6 billion euros, including [450 to 500] million and [150 to 200] million for the brands Zyrtec® and Xyzall®.</w:t>
        <w:br/>
        <w:t>32. UCB France S.A. is a 69.1% subsidiary of the group's parent company, UCB S.A.</w:t>
        <w:br/>
        <w:t>33. The company UCB Pharma S.A. (France) is responsible for the development, promotion, and distribution of UCB pharmaceutical products in France. It is 96.4% owned by UCB France S.A.</w:t>
        <w:br/>
        <w:t>34. UCB Farchim S.A., a subsidiary of UCB, is the manufacturer of the molecule. This company supplied Sanofi with the active ingredient, which then transformed it into a medication and ensured its packaging.</w:t>
        <w:br/>
        <w:t>The Schering Plough laboratory</w:t>
        <w:br/>
        <w:t>35. The company Schering Plough France (now MSD) is the French subsidiary of the American group Schering Plough Corporation, which merged in 2009 with the Merck laboratory, a global pharmaceutical group that develops and markets pharmaceutical products and vaccines. The merger was authorized by the European Commission by a decision dated October 22, 2009. The new entity, named Merck &amp; Co (in the United States and Canada) and MSD (in the rest of the world), achieved a turnover of 45.9 billion dollars (or 33 million euros) in 2009 and is now ranked 3rd among global laboratories, behind the American Pfizer, the Swiss Roche (which merged with Genentech), and ahead of the Swiss Novartis, in fourth position.</w:t>
        <w:br/>
        <w:t>36. The French subsidiary of Schering Plough (now named MSD France since the merger of Schering Plough with Merck) achieved a turnover of 620 million euros in France in 2003.</w:t>
        <w:br/>
        <w:t>The Sanofi Aventis laboratory</w:t>
        <w:br/>
        <w:t>37. Resulting from the merger in 2004 of the French group Sanofi-Synthelabo and the German group Aventis, the Sanofi-Aventis group is the 6th largest pharmaceutical laboratory in the world (4th before the mergers that occurred in the pharmaceutical industry in 2009). It achieved a turnover of over 29.3 billion euros in 2009 (+ 6.3% compared to 2008). Through its Winthrop division, it also produces and markets generic medications. In France, Sanofi-Aventis is the leader in the pharmaceutical industry.</w:t>
        <w:br/>
        <w:t>II. DISCUSSION</w:t>
        <w:br/>
        <w:t>A. ON THE RELEVANT MARKET</w:t>
        <w:br/>
        <w:t>The definition of relevant markets in the pharmaceutical sector</w:t>
        <w:br/>
        <w:t>38. According to the ninth report of the Competition Council, "the market is defined as the place where supply and demand meet for a specific product or service (...) Perfect substitutability is rarely achieved, the Council considers that products or services that can reasonably be thought to be viewed by demanders as means among which they can arbitrate to satisfy the same demand are substitutable, and therefore are on the same market."</w:t>
        <w:br/>
        <w:t>39. Regarding pharmaceutical specialties, both national and community case law and practice consider that the possibilities of substitution between medications are limited by their respective therapeutic indications and contraindications, which themselves depend on the pharmacological properties of the products, but also by the opinions of prescribing physicians, as well as by any price differences. The Court of Cassation approved, in its "Lilly France" ruling of June 15, 1999, the Court of Appeal which had considered that: "the interchangeability of medications does not fundamentally depend on their physical or chemical identity, but on their functional interchangeability from the dispenser's point of view, and therefore, in the case of prescription medications, also from the perspective of established physicians." In the same ruling, the Court of Cassation considered that "if, to delineate the reference market of a medication, the third level [of the ATC classification] is useful, this classification may be too narrow or too broad for certain medications."</w:t>
        <w:br/>
        <w:t>40. The application of this case law, primarily based on therapeutic use, nevertheless requires the combination of several converging criteria when the limits of markets and the substitutability of products do not immediately emerge from the opinions or recommendations of health authorities and the practices of prescribers. However, the definition of the relevant market for medications does not fundamentally differ from the general approach that prevails for other sectors and products, notwithstanding the particularities of demand for therapeutic purposes.</w:t>
        <w:br/>
        <w:t>41. As indicated by the European Commission in the "Astra Zeneca" decision of June 15, 2005: "the market in question (of medications) is not determined by the fact that certain products have competed with each other in a broad sense, but rather that these products are sufficiently interchangeable to exert significant pressure on the market power of the other product, particularly in terms of price setting. Furthermore, a properly defined market should not include all products that are interchangeable from a functional perspective; indeed, such interchangeability between products normally only defines the outer boundaries of a product market, but may not constitute a determining criterion.</w:t>
        <w:br/>
        <w:t>42. When products, such as medications, can be widely used for the same purpose but differ in terms of price, quality, consumer preferences, or other key characteristics, they are considered distinct. Although distinct products may "compete" to some extent, a market in question in competition cases should only include products capable of exerting considerable pressure on a company's behavior and preventing it from behaving independently of any effective competitive pressure."</w:t>
        <w:br/>
        <w:t>The retail market and the hospital market</w:t>
        <w:br/>
        <w:t>43. The decision-making practice of the Competition Council and the Authority identifies two distinct markets based on the location where the medication is dispensed. The competition authorities thus distinguish a city market, corresponding to the sale in retail pharmacies where prices are regulated, and a hospital market where prices are free. Several differentiation criteria have been highlighted in various decisions, notably in a recent decision of the Competition Authority No. 10-D-02 of January 14, 2010, concerning practices implemented in the low molecular weight heparins sector.</w:t>
        <w:br/>
        <w:t>Reimbursable and non-reimbursable medications</w:t>
        <w:br/>
        <w:t>44. Another segmentation is conceivable in the markets for medications. It relates to the financing modalities for the purchase of the medication.</w:t>
        <w:br/>
        <w:t>45. Indeed, there are medications covered by Health Insurance that are reimbursed by the general regime of Social Security and, possibly, by complementary health insurance organizations (OCAM). The prices of these reimbursed medications are set by public authorities, based on the medical service rendered.</w:t>
        <w:br/>
        <w:t>46. There are also medications that are not covered by Health Insurance or by OCAM. These medications are mostly sold over the counter. Their prices are freely determined by the actors.</w:t>
      </w:r>
    </w:p>
    <w:p>
      <w:r>
        <w:rPr>
          <w:b/>
        </w:rPr>
        <w:t>[Pages 10–12]</w:t>
      </w:r>
    </w:p>
    <w:p>
      <w:r>
        <w:t>competitor, il ne peut être conclu qu’UCB se trouvait en position dominante sur le marché de la vente en ville des antihistaminiques de seconde génération remboursables.</w:t>
      </w:r>
    </w:p>
    <w:p>
      <w:r>
        <w:t>71. En outre, il convient de noter que la part de marché d’UCB a continué à diminuer après le retrait de Zyrtec®, ce qui renforce l’argument selon lequel UCB n’était pas en position dominante au moment des pratiques alléguées.</w:t>
      </w:r>
    </w:p>
    <w:p>
      <w:r>
        <w:t>La position d’UCB sur le marché de la vente en ville d’antihistaminiques non remboursables.</w:t>
        <w:br/>
        <w:t>72. Concernant le marché des antihistaminiques non remboursables, il est nécessaire d’examiner la position d’UCB au moment où il a commercialisé Zyrtec set® et Aphilan®.</w:t>
      </w:r>
    </w:p>
    <w:p>
      <w:r>
        <w:t>73. À cette époque, UCB était déjà présent sur le marché des antihistaminiques non remboursables avec Aphilan®, mais il ne semble pas que Zyrtec set® ait eu un impact significatif sur ce marché, étant donné qu’il s’agit d’un produit non remboursable.</w:t>
      </w:r>
    </w:p>
    <w:p>
      <w:r>
        <w:t>74. De plus, les autres acteurs présents sur ce marché, tels que Pfizer avec Réactine®, Urgo avec Humex rhinite®, et les génériqueurs, ont également une part de marché significative, ce qui indique que UCB ne détient pas une position dominante sur le marché des antihistaminiques non remboursables.</w:t>
      </w:r>
    </w:p>
    <w:p>
      <w:r>
        <w:t>75. En conséquence, il ne peut être conclu qu’UCB se trouve en position dominante sur le marché de la vente en ville des antihistaminiques non remboursables.</w:t>
      </w:r>
    </w:p>
    <w:p>
      <w:r>
        <w:t>Conclusion sur la position dominante d’UCB</w:t>
        <w:br/>
        <w:t>76. Au regard des éléments analysés, il apparaît que UCB ne détient pas une position dominante sur les marchés des antihistaminiques de seconde génération remboursables et non remboursables.</w:t>
      </w:r>
    </w:p>
    <w:p>
      <w:r>
        <w:t>77. Par conséquent, il n’y a pas lieu de conclure à un abus de position dominante de la part d’UCB dans le cadre des pratiques alléguées.</w:t>
      </w:r>
    </w:p>
    <w:p>
      <w:r>
        <w:rPr>
          <w:b/>
        </w:rPr>
        <w:t>[Pages 13–13]</w:t>
      </w:r>
    </w:p>
    <w:p>
      <w:r>
        <w:t xml:space="preserve">32.6% and that its direct competitor, Schering Plough, has higher market shares, amounting to 45.9%.  </w:t>
        <w:br/>
        <w:t xml:space="preserve">70. Given, on the one hand, the relative weakness of its market shares, which were in fact only decreasing at the time of the events, and the significance of those of its main competitor Schering Plough in 2004, UCB's dominant position in the market for the sale of reimbursable second-generation antihistamines in pharmacies is not established.  </w:t>
        <w:br/>
        <w:t xml:space="preserve">UCB's position in the market for non-reimbursable antihistamines  </w:t>
        <w:br/>
        <w:t xml:space="preserve">71. Finally, it is worth noting UCB's position in the market for non-reimbursable antihistamines, which could be considered a related market.  </w:t>
        <w:br/>
        <w:t xml:space="preserve">72. In this market, all products that are not reimbursable are present, including Aphilan®, Zyrtec set®, marketed by UCB in March 2005, Réactine® launched in 2004 by Pfizer, which withdrew from the market at the end of 2008, Urgo with Humex®, as well as generic laboratories.  </w:t>
        <w:br/>
        <w:t xml:space="preserve">73. UCB is not in a dominant position in 2004, since at that date, Pfizer is the market leader with 83% of the market value of non-reimbursable cetirizine. It is not in a dominant position in 2005 either. At that date, although the leading position can no longer be attributed to Pfizer, it is not due to UCB's market share ([20 to 25]%) but rather due to the entry of generics, which total [45 to 50]% market shares.  </w:t>
        <w:br/>
        <w:t xml:space="preserve">C. ON THE ABSENCE OF QUALIFICATION OF PRACTICES  </w:t>
        <w:br/>
        <w:t xml:space="preserve">74. Insofar as UCB is not in a dominant position in either of the two relevant markets defined, it is not possible to establish an abuse of such a position.  </w:t>
        <w:br/>
        <w:t xml:space="preserve">75. Consequently, the practices denounced by the referring party cannot be qualified under Article 82 of the EC Treaty, now Article 102 of the TFEU, or Article L. 420-2 of the Commercial Code.  </w:t>
        <w:br/>
        <w:t xml:space="preserve">DECISION  </w:t>
        <w:br/>
        <w:t xml:space="preserve">Single Article. - There is no need to continue the proceedings.  </w:t>
        <w:br/>
        <w:t xml:space="preserve">Deliberated on the oral report of Ms. Geneviève Wibaux, rapporteur, and the oral intervention of Mr. Eric Cuziat, deputy general rapporteur, by Ms. Elisabeth Flüry-Hérard, vice-president, chairing the session, Ms. Pierrette Pinot, Mr. Pierre Godé, and Mr. Noël Diricq, members.  </w:t>
        <w:br/>
        <w:t xml:space="preserve">The session secretary, The vice-president,  </w:t>
        <w:br/>
        <w:t xml:space="preserve">Marie-Anselme Lienafa Elisabeth Flüry-Hérard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