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https://www.autoritedelaconcurrence.fr/fr/decision/relative-des-pratiques-mises-en-oeuvre-sur-le-marche-de-la-fourniture-delectricite-aux</w:t>
      </w:r>
    </w:p>
    <w:p>
      <w:r>
        <w:t>Pages translated : 36</w:t>
      </w:r>
    </w:p>
    <w:p/>
    <w:p>
      <w:r>
        <w:rPr>
          <w:b/>
        </w:rPr>
        <w:t>[Pages 1–3]</w:t>
      </w:r>
    </w:p>
    <w:p>
      <w:r>
        <w:t xml:space="preserve">FRENCH REPUBLIC  </w:t>
        <w:br/>
        <w:t xml:space="preserve">Decision No. 22-D-03 of January 18, 2022  </w:t>
        <w:br/>
        <w:t xml:space="preserve">regarding practices implemented in the market for the  </w:t>
        <w:br/>
        <w:t>supply of electricity to small non-residential customers</w:t>
      </w:r>
    </w:p>
    <w:p>
      <w:r>
        <w:t xml:space="preserve">The Competition Authority (section V),  </w:t>
        <w:br/>
        <w:t xml:space="preserve">Having regard to the letters registered on September 24, 2021, under numbers 21/0071 F and 21/0072 M, by which the National Association of Retail Energy Operators (ANODE) referred to the Competition Authority practices implemented in the market for the supply of electricity to small non-residential customers and also requested the issuance of interim measures;  </w:t>
        <w:br/>
        <w:t xml:space="preserve">Having regard to Article 102 of the Treaty on the Functioning of the European Union;  </w:t>
        <w:br/>
        <w:t xml:space="preserve">Having regard to Book IV of the Commercial Code;  </w:t>
        <w:br/>
        <w:t xml:space="preserve">Having regard to the Energy Code;  </w:t>
        <w:br/>
        <w:t xml:space="preserve">Having regard to the Consumer Code;  </w:t>
        <w:br/>
        <w:t xml:space="preserve">Having regard to deliberation No. 2021-329 of October 28, 2021, of the Energy Regulatory Commission made on the basis of the provisions of Article R. 463-9 of the Commercial Code;  </w:t>
        <w:br/>
        <w:t xml:space="preserve">Having regard to the business secrecy decisions No. 21-DSA-425 of October 26, 2021, No. 21-DSA-426 of October 26, 2021, No. 21-DSA-429 of October 28, 2021, No. 21-DSA-430 of October 28, 2021, No. 21-DSA-431 of October 28, 2021, No. 21-DSA-457 of November 19, 2021, and No. 21-DEC-460 of November 24, 2021;  </w:t>
        <w:br/>
        <w:t xml:space="preserve">Having regard to the observations submitted by ANODE and the company EDF;  </w:t>
        <w:br/>
        <w:t xml:space="preserve">Having regard to the other documents in the file;  </w:t>
        <w:br/>
        <w:t xml:space="preserve">The reporters, the deputy general reporter, the representatives of ANODE, the company EDF, and the Government Commissioner heard during the session of the Competition Authority on December 2, 2021;  </w:t>
        <w:br/>
        <w:t>Adopts the following decision:</w:t>
      </w:r>
    </w:p>
    <w:p>
      <w:r>
        <w:t xml:space="preserve">Summary1  </w:t>
        <w:br/>
        <w:t xml:space="preserve">The National Association of Retail Energy Operators (hereinafter "ANODE") has referred to the Competition Authority (hereinafter "the Authority") practices of the company Électricité de France (hereinafter "EDF") which allegedly, in an abusive manner, (i) refused alternative electricity suppliers access to the database of non-residential customers concerned (C5 sites) by the end of regulated sales tariffs (part of the Blue TRV) and who automatically switched, on December 31, 2020, to a tariff exit contract (CST), (ii) exploited this data, and (iii) maintained a general confusion regarding its marketing methods.  </w:t>
        <w:br/>
        <w:t xml:space="preserve">According to ANODE, the practices denounced should be qualified as an abuse of dominant position, as they would lead to a foreclosure effect against alternative suppliers during a particularly sensitive period conducive to the development of competition. ANODE also filed, in addition to its referral, a request for interim measures to gain access to the disputed database.  </w:t>
        <w:br/>
        <w:t xml:space="preserve">The Authority considered, without it being necessary to analyze the criteria relating to interim measures, that the facts invoked by ANODE were not supported by sufficiently probative elements to substantiate the existence of the practices denounced.  </w:t>
        <w:br/>
        <w:t xml:space="preserve">It noted that the mere possession of the database by EDF and the refusal of access opposed in 2021 to alternative suppliers were not likely to result in a risk of anti-competitive foreclosure of its competitors, since the CST is a market offer (i), that during the year 2020, alternative suppliers had access to the database of customers concerned by the end of the TRV (ii), that the clauses of the CST do not render customers captive and allow them to easily change suppliers (iii), and finally, that the market experienced competitive dynamics in 2020 and 2021 (iv). Furthermore, the internal documents produced by EDF showed that particular precautions had been taken by this operator not to exploit in 2021 the data from its former legal monopoly and thus not to engage in targeted commercial action.  </w:t>
        <w:br/>
        <w:t>1 This summary is strictly informative. Only the reasons for the decision numbered below are authoritative.</w:t>
      </w:r>
    </w:p>
    <w:p>
      <w:r>
        <w:t xml:space="preserve">TABLE OF CONTENTS  </w:t>
        <w:br/>
        <w:t xml:space="preserve">I. FINDINGS ................................................................................ 5  </w:t>
        <w:br/>
        <w:t xml:space="preserve">A. THE REFERRAL ....................................................................................................................5  </w:t>
        <w:br/>
        <w:t xml:space="preserve">B. THE RELEVANT SECTOR ..........................................................................................5  </w:t>
        <w:br/>
        <w:t xml:space="preserve">1. RETAIL ELECTRICITY SUPPLY ...................................................................................5  </w:t>
        <w:br/>
        <w:t xml:space="preserve">2. THE LEGAL FRAMEWORK FOR RETAIL ELECTRICITY SUPPLY ..........................6  </w:t>
        <w:br/>
        <w:t xml:space="preserve">C. THE ENTITIES CONCERNED ....................................................................................8  </w:t>
        <w:br/>
        <w:t xml:space="preserve">1. ANODE ..................................................................................................................8  </w:t>
        <w:br/>
        <w:t xml:space="preserve">THE COMPANY ÉLECTRICITÉ DE FRANCE ...........................................................................9  </w:t>
        <w:br/>
        <w:t xml:space="preserve">D. THE PRACTICES DENOUNCED .................................................................................9  </w:t>
        <w:br/>
        <w:t xml:space="preserve">E. THE REQUEST FOR INTERIM MEASURES ..........................................................10  </w:t>
        <w:br/>
        <w:t xml:space="preserve">II. DISCUSSION ........................................................................................ 10  </w:t>
        <w:br/>
        <w:t xml:space="preserve">A. THE APPLICABILITY OF EU LAW .................................................................11  </w:t>
        <w:br/>
        <w:t xml:space="preserve">B. THE RELEVANT MARKETS CONCERNED BY THE REFERRAL .......................11  </w:t>
        <w:br/>
        <w:t xml:space="preserve">1. THE MATERIAL DIMENSION OF THE MARKETS ..........................................................12  </w:t>
        <w:br/>
        <w:t xml:space="preserve">a) The material dimension of the electricity supply market ..... 12  </w:t>
        <w:br/>
        <w:t xml:space="preserve">Distinction according to the type of consumers .......................................................12  </w:t>
        <w:br/>
        <w:t xml:space="preserve">Distinction according to the type of offers (regulated tariff offers and market offers) ............14  </w:t>
        <w:br/>
        <w:t xml:space="preserve">b) The material dimension of the market for collecting data related to  </w:t>
        <w:br/>
        <w:t xml:space="preserve">switching customers ................................................................ 15  </w:t>
        <w:br/>
        <w:t xml:space="preserve">2. THE GEOGRAPHICAL DIMENSION OF THE RELEVANT MARKET ....................................16  </w:t>
        <w:br/>
        <w:t xml:space="preserve">C. EDF'S DOMINANT POSITION IN THE MARKET IN QUESTION ................16  </w:t>
        <w:br/>
        <w:t xml:space="preserve">D. THE ADMISSIBILITY OF THE REFERRAL ON THE MERITS ..................................................18  </w:t>
        <w:br/>
        <w:t xml:space="preserve">1. ON THE ALLEGED STATE AID ..............................................................................18  </w:t>
        <w:br/>
        <w:t xml:space="preserve">2. ON THE ALLEGED PRACTICE OF REFUSING ACCESS TO THE DATABASE .........19  </w:t>
        <w:br/>
        <w:t xml:space="preserve">a) The position of the referrer ......................................................................... 19  </w:t>
        <w:br/>
        <w:t xml:space="preserve">b) The position of EDF ................................................................................... 21  </w:t>
        <w:br/>
        <w:t xml:space="preserve">c) Authority's analysis .............................................................................. 23  </w:t>
        <w:br/>
        <w:t xml:space="preserve">Applicable principles ............................................................................................23  </w:t>
        <w:br/>
        <w:t xml:space="preserve">Authority's analysis ............................................................................................24  </w:t>
        <w:br/>
        <w:t xml:space="preserve">3. ON THE ALLEGED PRACTICE OF ABUSIVE EXPLOITATION OF THE DATABASE ...................................................................................................................30  </w:t>
        <w:br/>
        <w:t xml:space="preserve">a) The position of the referrer ......................................................................... 30  </w:t>
        <w:br/>
        <w:t xml:space="preserve">b) The position of EDF ................................................................................... 31  </w:t>
        <w:br/>
        <w:t xml:space="preserve">c) Authority's analysis .............................................................................. 31  </w:t>
        <w:br/>
        <w:t>Applicable principles ............................................................................................31</w:t>
      </w:r>
    </w:p>
    <w:p>
      <w:r>
        <w:rPr>
          <w:b/>
        </w:rPr>
        <w:t>[Pages 4–6]</w:t>
      </w:r>
    </w:p>
    <w:p>
      <w:r>
        <w:t xml:space="preserve">Analyse de l’Autorité ............................................................................................32  </w:t>
        <w:br/>
        <w:t xml:space="preserve">4. 3. ON THE ALLEGED PRACTICE OF MEANS CONFUSION ...............................33  </w:t>
        <w:br/>
        <w:t xml:space="preserve">a) The position of the complainant ......................................................................... 33  </w:t>
        <w:br/>
        <w:t xml:space="preserve">b) The position of EDF ......................................................................................... 33  </w:t>
        <w:br/>
        <w:t xml:space="preserve">c) Analysis of the Authority .................................................................................. 34  </w:t>
        <w:br/>
        <w:t xml:space="preserve">Applicable principles ............................................................................................34  </w:t>
        <w:br/>
        <w:t xml:space="preserve">Analysis of the Authority ......................................................................................34  </w:t>
        <w:br/>
        <w:t xml:space="preserve">E. CONCLUSION ..............................................................................................................35  </w:t>
        <w:br/>
        <w:t>DECISION ..................................................................................................... 36</w:t>
      </w:r>
    </w:p>
    <w:p>
      <w:r>
        <w:t xml:space="preserve">I. Findings  </w:t>
        <w:br/>
        <w:t xml:space="preserve">A. THE COMPLAINT  </w:t>
        <w:br/>
        <w:t xml:space="preserve">1. By letter registered on September 24, 2021, under number 21/0071 F, the Competition Authority (hereinafter "the Authority") was seized of a complaint from the National Association of Retail Energy Operators (hereinafter "ANODE"), directed against practices allegedly implemented by the company Électricité de France (hereinafter "EDF") in the market for the supply of electricity to small non-residential customers.  </w:t>
        <w:br/>
        <w:t xml:space="preserve">2. The practices denounced relate to the refusal, opposed by EDF to alternative electricity suppliers, of access to the database of customers affected by the end of regulated sales tariffs (hereinafter "TRV") and who automatically benefited, on December 31, 2020, from a contract for leaving the tariff (CST), to the abusive exploitation of this data by EDF and to a general confusion of its marketing means.  </w:t>
        <w:br/>
        <w:t xml:space="preserve">3. In addition to the main complaint, by letter registered on September 24, 2021, under number 20/0072 M, ANODE requested, based on Article L. 464-1 of the Commercial Code, the issuance of interim measures.  </w:t>
        <w:br/>
        <w:t xml:space="preserve">4. Consulted pursuant to the provisions of Article R. 463-9 of the Commercial Code, the Energy Regulatory Commission (hereinafter "CRE") issued its opinion on October 28, 2021.  </w:t>
        <w:br/>
        <w:t xml:space="preserve">B. THE RELEVANT SECTOR  </w:t>
        <w:br/>
        <w:t xml:space="preserve">1. RETAIL ELECTRICITY SUPPLY  </w:t>
        <w:br/>
        <w:t xml:space="preserve">5. The electricity sector is organized around four main poles: production, transmission, distribution, and marketing of electricity.  </w:t>
        <w:br/>
        <w:t xml:space="preserve">6. In addition to these, there are purely financial activities, such as brokerage and trading on the over-the-counter market or on organized markets.  </w:t>
        <w:br/>
        <w:t xml:space="preserve">7. Each of these poles contributes to supplying final customers with electricity.  </w:t>
        <w:br/>
        <w:t xml:space="preserve">8. Among the marketing activities, the retail supply of electricity to final consumers consists of selling them electricity purchased in bulk or produced by the supplier.  </w:t>
        <w:br/>
        <w:t xml:space="preserve">9. The main complaint and the request for interim measures associated with it concern this activity.  </w:t>
        <w:br/>
        <w:t xml:space="preserve">2. THE LEGAL FRAMEWORK FOR RETAIL ELECTRICITY SUPPLY  </w:t>
        <w:br/>
        <w:t xml:space="preserve">10. The opening to competition of the retail electricity supply activity was initiated with the adoption of Directive No. 96/92/EC of December 19, 1996, concerning common rules for the internal market in electricity and continued progressively, first for industrial consumers, then for all consumers.  </w:t>
        <w:br/>
        <w:t xml:space="preserve">11. The principle of free choice of retail electricity supplier was established for the benefit of clients, in successive stages:  </w:t>
        <w:br/>
        <w:t xml:space="preserve">− February 1, 1999: clients consuming more than 100 gigawatt-hours (hereinafter "GWh")/year;  </w:t>
        <w:br/>
        <w:t xml:space="preserve">− June 1, 2000: clients consuming more than 16 GWh/year;  </w:t>
        <w:br/>
        <w:t xml:space="preserve">− February 1, 2003: clients consuming more than 7 GWh/year;  </w:t>
        <w:br/>
        <w:t xml:space="preserve">− July 1, 2004: all non-residential clients;  </w:t>
        <w:br/>
        <w:t xml:space="preserve">− July 1, 2007: all clients (residential and non-residential).  </w:t>
        <w:br/>
        <w:t xml:space="preserve">12. In parallel to this opening to competition, the French public authorities maintained the existence of regulated retail tariffs. These tariffs are set, pursuant to Articles L. 337-4 and following of the Energy Code, based on reasoned proposals from the CRE, transmitted to the ministers responsible for the economy and energy, the decision being deemed adopted in the absence of opposition from one of the ministers within three months following their receipt. Article L. 337-5 of the Energy Code also specifies that: "The regulated sales tariffs for electricity are defined based on categories based on the intrinsic characteristics of the supplies, according to the costs mentioned in Article L. 337-6."  </w:t>
        <w:br/>
        <w:t>13. The supply of electricity at regulated tariffs falls under the so-called "historical" suppliers, that is to say, those present before the opening of the electricity markets: EDF and local distribution companies (hereinafter "ELD"). EDF is, in particular, the only supplier marketing the regulated tariffs in the service area of Enedis (the operator of the electricity distribution network serving 95% of French consumers). The ELDs (approximately 140) supply electricity in areas not served by Enedis.</w:t>
      </w:r>
    </w:p>
    <w:p>
      <w:r>
        <w:rPr>
          <w:b/>
        </w:rPr>
        <w:t>[Pages 7–9]</w:t>
      </w:r>
    </w:p>
    <w:p>
      <w:r>
        <w:t>14. Throughout almost the entire French territory (Enedis service area), consumers eligible for regulated tariff offers currently have the choice between:</w:t>
        <w:br/>
        <w:t>− regulated tariff offers, which are exclusively offered by EDF;</w:t>
        <w:br/>
        <w:t>− so-called "market offers" (hereinafter "MO"), which are offered both by EDF and by new electricity suppliers, referred to as "alternative suppliers."</w:t>
      </w:r>
    </w:p>
    <w:p>
      <w:r>
        <w:t>15. In order to put an end to the infringement procedure initiated against France by the European Commission on December 12, 2006, due to the maintenance of regulated tariffs for non-residential consumers and to comply with the commitments made to the Commission by the French Government, Law No. 2010-1488 of December 7, 2010 (known as the "NOME Law") confirmed the disappearance of regulated tariffs for final domestic and non-domestic consumers, for their sites subscribing to a power of 36 kilovolt-amperes (hereinafter "kVA") or less (corresponding to the Yellow and Green regulated tariffs) as of January 1, 2016. The schedule and modalities for implementing this phase of the extinction of said tariffs were specified by Law No. 2014-344 of March 17, 2014 (known as the "Hamon Law").</w:t>
      </w:r>
    </w:p>
    <w:p>
      <w:r>
        <w:t>16. Transposing Directive No. 2019/944 of June 5, 2019, Law No. 2019-1147 of November 8, 2019, relating to energy and climate (hereinafter "LEC"), provided that as of January 1, 2021, sites with a withdrawal power of less than 36 kVA held by non-domestic consumers employing ten or more people, or employing fewer than ten people and whose annual turnover, revenue, or balance sheet exceeds two million euros, would cease to benefit from regulated tariffs (belonging to the category of "Blue regulated tariffs"). These clients were required to subscribe to a market offer contract before January 1, 2021, with the supplier of their choice.</w:t>
      </w:r>
    </w:p>
    <w:p>
      <w:r>
        <w:t>17. To organize the removal of regulated tariffs, the LEC provided for several phases. After an initial step of identifying the clients affected by the end of regulated tariffs by the historical suppliers, a transition phase opened, until December 31, 2020, allowing these clients to choose a market offer.</w:t>
      </w:r>
    </w:p>
    <w:p>
      <w:r>
        <w:t>18. During this transition phase from regulated tariffs to market offers, the law required historical suppliers to inform, throughout the year 2020, their clients affected by the end of regulated tariffs – through various media and during exchanges with them – of the possibility of subscribing to market offers with the supplier of their choice and the existence of the offer comparator mentioned in Article L. 122-3 of the Energy Code. The affected consumers were also informed that if they did not subscribe to a market offer before January 1, 2021, they would be switched, unless they opposed, to a so-called "exit tariff" contract offered by their historical supplier (hereinafter, "CST"). In October 2020, EDF communicated this information to its affected clients in the following terms: "If you have still not chosen a new market offer contract by January 1, 2021, you will be switched by your supplier to a market offer contract that will automatically come into effect on that date, unless you request otherwise, in order to ensure the continuity of your energy supply" (bold added).</w:t>
      </w:r>
    </w:p>
    <w:p>
      <w:r>
        <w:t>19. Furthermore, the LEC imposed on the national energy mediator (hereinafter "MNE") and the CRE to communicate about the loss of the benefit of regulated tariffs for these clients, this communication also having to mention the availability of market offers and the existence of the offer comparator. A pedagogical guide for the affected clients was notably published on May 11, 2020. It specified that if they did not subscribe to a market offer before December 31, 2020, their "contract would automatically switch to a market offer by default with [their] historical supplier" (bold added).</w:t>
      </w:r>
    </w:p>
    <w:p>
      <w:r>
        <w:t>20. Finally, the LEC introduced the obligation, on the part of historical suppliers, to grant, free of charge to any alternative supplier that requests it, access to the contact, consumption, and pricing data of clients affected by the end of regulated tariffs, on an updated monthly basis, until December 31, 2020.</w:t>
      </w:r>
    </w:p>
    <w:p>
      <w:r>
        <w:t>21. The scope of the data and the modalities of their transmission were defined by orders dated December 12 and 26, 2019, based on a proposal from the CRE. Prior to the transmission of personal contact data, historical suppliers were required to ensure that their clients had not opposed such transmission.</w:t>
      </w:r>
    </w:p>
    <w:p>
      <w:r>
        <w:t>22. These data were transmitted and then destroyed on December 31, 2020.</w:t>
      </w:r>
    </w:p>
    <w:p>
      <w:r>
        <w:t>23. Clients who had not opted for a market offer by January 1, 2021, were switched to CST.</w:t>
      </w:r>
    </w:p>
    <w:p>
      <w:r>
        <w:t>C. THE ENTITIES CONCERNED</w:t>
      </w:r>
    </w:p>
    <w:p>
      <w:r>
        <w:t>1. ANODE</w:t>
      </w:r>
    </w:p>
    <w:p>
      <w:r>
        <w:t>24. ANODE, an association governed by the law of 1901, founded in 2006, brings together the companies EkWateur, Enercoop, Energie d’ici, Eni Gas &amp; Power France, Greenyellow, Gaz Européen, Iberdrola, OVO Energy, Planète OUI, Plüm Energie, SAVE, TotalEnergies, Vattenfall, Volterres, and Wekiwi, alternative energy suppliers.</w:t>
      </w:r>
    </w:p>
    <w:p>
      <w:r>
        <w:t>25. The members of ANODE provide electricity to their professional and residential clients. They represent 96% of alternative electricity suppliers in terms of the number of clients (excluding Engie).</w:t>
      </w:r>
    </w:p>
    <w:p>
      <w:r>
        <w:t>26. ANODE represents and defends the collective interests of its members before third parties, including public authorities and regulatory authorities. It is thus a member of the Higher Energy Council.</w:t>
      </w:r>
    </w:p>
    <w:p>
      <w:r>
        <w:t>LA SOCIETE ELECTRICITE DE FRANCE</w:t>
      </w:r>
    </w:p>
    <w:p>
      <w:r>
        <w:t>27. The public limited company Électricité de France (RCS 552 081 317) is the historical electricity operator in France, present in all electricity sectors: production, transmission, distribution, and supply.</w:t>
      </w:r>
    </w:p>
    <w:p>
      <w:r>
        <w:t>28. EDF was created in 1946 as a public industrial and commercial establishment, before being transformed into a public limited company by Law No. 2004-803 of August 9, 2004, relating to the public service of electricity, gas, and electricity and gas companies. On November 21, 2005, the company opened its capital through an initial public offering.</w:t>
      </w:r>
    </w:p>
    <w:p>
      <w:r>
        <w:t>29. Since 1946, EDF has marketed electricity supply offers in approximately 95% of the continental metropolitan territory (Enedis area and RTE area), as well as in the territory of certain local distribution companies (ELD). In accordance with the law, EDF is also currently the only supplier of electricity offers in Corsica and in overseas territories, according to a dedicated organization independent of EDF's Commerce department, called EDF Systèmes Énergétiques Insulaires. The EDF group also includes numerous subsidiaries active throughout the energy sector, in France and internationally.</w:t>
      </w:r>
    </w:p>
    <w:p>
      <w:r>
        <w:t>30. In 2020, the EDF group achieved a global turnover of 69 billion euros.</w:t>
      </w:r>
    </w:p>
    <w:p>
      <w:r>
        <w:t>D. THE CONDEMNED PRACTICES</w:t>
      </w:r>
    </w:p>
    <w:p>
      <w:r>
        <w:t>31. According to the complainant, EDF would have abusively exploited data relating to sites with a withdrawal power of less than 36 kVA associated with non-domestic consumers affected by the end of regulated tariffs on December 31, 2020, benefiting from CST offered by EDF from that date. EDF would also have refused access to the database relating to these clients, which is qualified by ANODE as essential infrastructure, and would have engaged in a general confusion of means when marketing its market offers.</w:t>
      </w:r>
    </w:p>
    <w:p>
      <w:r>
        <w:t>32. According to ANODE, by implementing these practices, EDF would have abused its dominant position in the market for electricity supply to small non-residential clients as well as its monopoly situation in the market, as envisaged by ANODE, of data relating to clients in CST, a practice prohibited by Articles L. 420-2 of the Commercial Code and 102 of the Treaty on the Functioning of the European Union (hereinafter "TFEU").</w:t>
      </w:r>
    </w:p>
    <w:p>
      <w:r>
        <w:rPr>
          <w:b/>
        </w:rPr>
        <w:t>[Pages 10–12]</w:t>
      </w:r>
    </w:p>
    <w:p>
      <w:r>
        <w:t xml:space="preserve">E. THE REQUEST FOR CONSERVATORY MEASURES  </w:t>
        <w:br/>
        <w:t xml:space="preserve">33. In addition to its main application, ANODE requested, based on Article L. 464-1 of the Commercial Code, the issuance of conservatory measures to order EDF to:  </w:t>
        <w:br/>
        <w:t xml:space="preserve">− provide the members of ANODE within five days with the non-personal data of all EDF customers positioned on switch offers, and this following the same modalities as those provided by the decree of December 12, 2019, until this customer base is emptied;  </w:t>
        <w:br/>
        <w:t xml:space="preserve">− send within five days a letter or email to all EDF customers positioned on switch offers in order (i) to provide them with a summary of the conservatory measures decision to be issued drafted by the Authority and (ii) to collect their lack of opposition to the communication of their personal data following the same modalities as those provided by the decree of December 12, 2019;  </w:t>
        <w:br/>
        <w:t xml:space="preserve">− at the expiration of the one-month opposition period, provide the members of ANODE with an updated database containing all the data (personal and non-personal) of EDF customers positioned on switch offers, and this following the same modalities as those provided by the decree of December 12, 2019, until this customer base is emptied;  </w:t>
        <w:br/>
        <w:t xml:space="preserve">− suspend all marketing activities for market offers directed at customers positioned on switch offers until the complete data is provided to the members of ANODE (personal and non-personal data);  </w:t>
        <w:br/>
        <w:t xml:space="preserve">− appoint a representative for the establishment of independent control of the conservatory measures: the representative must prepare a monthly report to the Authority on the follow-up of the measures taken by EDF;  </w:t>
        <w:br/>
        <w:t>− disseminate a press release regarding the decision issued by the Authority and presenting the measures that will have been imposed on the EDF website and in the newspapers Les Échos, Le Figaro, and Le Monde.</w:t>
      </w:r>
    </w:p>
    <w:p>
      <w:r>
        <w:t xml:space="preserve">II. Discussion  </w:t>
        <w:br/>
        <w:t>34. After examining the applicability of European Union law (A), defining the relevant market concerned by the application (B), and examining the position that EDF is likely to occupy in the market in question (C), it will be necessary to rule on the admissibility of the main application (D), and then on the request for conservatory measures (E).</w:t>
      </w:r>
    </w:p>
    <w:p>
      <w:r>
        <w:t xml:space="preserve">A. THE APPLICABILITY OF EUROPEAN UNION LAW  </w:t>
        <w:br/>
        <w:t xml:space="preserve">35. Article 102 TFEU prohibits, insofar as trade between Member States may be affected, one or more undertakings from abusing a dominant position on the internal market or in a substantial part of it. Based on the consistent case law of the European judges, and in light of the European Commission's communication regarding the notion of affecting trade as set out in Articles 81 and 82 of the EC Treaty (now Articles 101 and 102 TFEU), the Authority considers that three elements must be met for practices to be likely to significantly affect trade between Member States: the existence of exchanges, at least potential, between Member States concerning the services in question (i), the existence of practices likely to affect these exchanges (ii), and the sensitive nature of this possible effect (iii).  </w:t>
        <w:br/>
        <w:t xml:space="preserve">36. In this case, suppliers whose headquarters are established in other Member States (for example, Eni, Vattenfall, Iberdrola, etc.) market electricity supply offers in French territory. Thus, if the practices denounced by the complainant were proven, these suppliers would likely be discouraged from engaging in activity in the relevant French electricity supply markets. These practices could therefore make it more difficult for EDF's competitors to enter the French market and are likely to affect trade between Member States.  </w:t>
        <w:br/>
        <w:t xml:space="preserve">37. Furthermore, by allowing EDF to secure a significant volume of retail electricity supply in the French markets, the denounced practices, if established, would likely influence the competitive position of EDF and its competitors active in other Member States.  </w:t>
        <w:br/>
        <w:t xml:space="preserve">38. Moreover, EDF markets its market offers related to electricity throughout the national territory, which constitutes a significant part of the European market. Additionally, it markets regulated tariff offers for electricity in the Enedis service area, which covers 95% of electricity consumers. If established, the denounced practices would therefore likely affect trade between Member States significantly.  </w:t>
        <w:br/>
        <w:t>39. At this stage of the investigation, it is therefore appropriate to consider that the alleged practices are likely to significantly affect trade between Member States and to be qualified in light of Article 102 TFEU.</w:t>
      </w:r>
    </w:p>
    <w:p>
      <w:r>
        <w:t xml:space="preserve">B. THE RELEVANT MARKETS CONCERNED BY THE APPLICATION  </w:t>
        <w:br/>
        <w:t>40. The analysis of the behaviors in question in light of Articles L. 420-2 of the Commercial Code and 102 TFEU first requires defining the relevant markets. Indeed, in matters of abuse of dominant position, "the adequate definition of the relevant market is a necessary and preliminary condition for assessing a purportedly anti-competitive behavior, since, before establishing the existence of an abuse of dominant position, it is necessary to establish the existence of a dominant position in a given market, which implies that this market has been previously delineated." Beyond the assessment of the dominant position itself, the definition of the markets in question is also necessary for analyzing the effects of a foreclosure practice, whether real or potential.</w:t>
      </w:r>
    </w:p>
    <w:p>
      <w:r>
        <w:t xml:space="preserve">1. THE MATERIAL DIMENSION OF THE MARKETS  </w:t>
        <w:br/>
        <w:t xml:space="preserve">41. In this case, ANODE argues that the two relevant markets concerned are, on the one hand, the market for retail electricity supply to small non-residential customers and, on the other hand, the market for collecting data related to customers who have switched to CST.  </w:t>
        <w:br/>
        <w:t xml:space="preserve">a) The material dimension of the electricity supply market  </w:t>
        <w:br/>
        <w:t xml:space="preserve">42. The decision-making practice of competition authorities distinguishes the electricity sector from other energy sectors, notably natural gas, due to the lack of substitutability between these two products.  </w:t>
        <w:br/>
        <w:t xml:space="preserve">43. Within the value chain of the electricity sector, the European Commission and the Authority have identified a number of distinct activities, from upstream to downstream.  </w:t>
        <w:br/>
        <w:t>44. Within the electricity supply activity, the Authority makes a distinction based on the following two criteria: (i) the type of consumers and (ii) the type of offers marketed.</w:t>
      </w:r>
    </w:p>
    <w:p>
      <w:r>
        <w:t xml:space="preserve">Distinction according to the type of consumers  </w:t>
        <w:br/>
        <w:t xml:space="preserve">45. The European Commission's communication on the definition of the market in question specifies that within a product market, "the existence of several groups of customers may encourage defining the product market more narrowly."  </w:t>
        <w:br/>
        <w:t>46. As a preliminary point, it is necessary to present the segmentation adopted by the French energy regulator (CRE), which identifies four customer segments based on the subscribed power: large non-residential sites (power equal to or greater than 250 kW), medium non-residential sites (power between 36 kVA and 250 kW), small sites.</w:t>
      </w:r>
    </w:p>
    <w:p>
      <w:r>
        <w:rPr>
          <w:b/>
        </w:rPr>
        <w:t>[Pages 13–15]</w:t>
      </w:r>
    </w:p>
    <w:p>
      <w:r>
        <w:t xml:space="preserve">non-residential (power less than or equal to 36 kVA) and residential sites (power less than or equal to 36 kVA).  </w:t>
        <w:br/>
        <w:t xml:space="preserve">47. At the European level, the European Commission distinguishes between large industrial customers whose annual consumption exceeds 7 GWh/year, small industrial and commercial customers whose annual consumption is less than 7 GWh/year but have a connection power greater than 36 kVA, and small professional customers with a connection power less than or equal to 36 kVA.  </w:t>
        <w:br/>
        <w:t xml:space="preserve">48. At the national level, the Authority distinguishes customers based on whether they are connected to the transmission network or the distribution network:  </w:t>
        <w:br/>
        <w:t xml:space="preserve">− large industrial and commercial customers connected to the transmission network;  </w:t>
        <w:br/>
        <w:t xml:space="preserve">− small industrial, commercial, and residential customers connected to the distribution network.  </w:t>
        <w:br/>
        <w:t xml:space="preserve">49. The Authority has also considered the possibility of using the classification employed by the CRE, while leaving this question open, as it has no impact on the conclusions of the competitive analysis it was seized with.  </w:t>
        <w:br/>
        <w:t xml:space="preserve">50. In decision no. 21-D-03 of February 18, 2021, the Authority considered that it was "possible to retain as the relevant market the retail electricity supply market for small non-residential customers. These customers correspond to sites of type C5 according to the Enedis segmentation [...], eligible for the Blue Tariff, and connected to the distribution network with a connection power less than or equal to 36 kVA."  </w:t>
        <w:br/>
        <w:t xml:space="preserve">51. In this market, as noted by the CRE, it must be observed, similar to the aforementioned decision no. 21-D-03, that demand is not homogeneous, depending on whether the customers' installations are single-site or multi-site, which impacts purchasing methods, the type of offers marketed, as well as the underlying commercial approach to supplying these different categories of customers.  </w:t>
        <w:br/>
        <w:t xml:space="preserve">52. Indeed, customers with numerous sites (local authorities, large companies), especially when they use purchasing groups, most often launch calls for tenders that involve significant consumption volumes and can include several thousand sites, sometimes with different connection powers. Thus, suppliers must develop capabilities to respond to these complex calls for tenders with "customized offers." In contrast, small single-site or low multi-site customers (hairdressers, bakers, small artisans) have consumption profiles more similar to those of residential customers. They subscribe to a standardized offer ("catalog offer") and are generally subject to mass solicitation.  </w:t>
        <w:br/>
        <w:t xml:space="preserve">53. Nevertheless, it is not necessary to decide on the exact definition of these markets, insofar as, regardless of the delineation chosen, the conclusions of the competitive analysis remain unchanged.  </w:t>
        <w:br/>
        <w:t xml:space="preserve">Distinction according to the type of offers (regulated tariff offers and market offers)  </w:t>
        <w:br/>
        <w:t xml:space="preserve">54. It was considered to delineate, within each customer segment, narrower markets covering the type of offers marketed (regulated tariff offers, on the one hand, and market offers, on the other hand).  </w:t>
        <w:br/>
        <w:t xml:space="preserve">55. ANODE relies on decision no. 21-D-03 mentioned above to dismiss a market segmentation based on the nature of the offer (regulated tariff/market offers). It further indicates that if segmentation according to the type of offers were retained, the two concerned markets would then be closely related to each other and EDF's monopolistic position in the regulated tariff offers market would be likely to be taken into account to assess EDF's behavior in the market for market offers.  </w:t>
        <w:br/>
        <w:t xml:space="preserve">56. It also notes that if "markets should be defined based on the substitutability of offers from the consumer's perspective and therefore, consequently, to distinguish markets when a consumer cannot return to an offer due to the loss of their eligibility, it would then be appropriate for it to apply its reasoning [to customers with a CST]. This would necessarily lead to defining a relevant market for [CST], in which EDF would then be in a monopolistic position, a position from which it could potentially abuse to hinder the development of competition in a related market: that of market offers."  </w:t>
        <w:br/>
        <w:t xml:space="preserve">57. EDF argues that ANODE does not conduct any economic or substitutability analysis to delineate the relevant market. It asserts that the aforementioned decision no. 21-D-03 concerns practices that would have been implemented during the year 2020, that is to say, before a majority of small non-residential customers lost the benefit of regulated tariffs for their sites. Therefore, EDF argues that the Blue regulated tariff offers and market offers – among which is the CST – can no longer be considered substitutable from the perspective of customers who do not meet the eligibility criteria for regulated tariffs.  </w:t>
        <w:br/>
        <w:t xml:space="preserve">58. EDF also contends that the increase in the total number of small non-residential customers benefiting from a market offer (a 60% growth in the size of the retail supply market in market offers, between December 2020 and January 2021) constitutes a profound structural change in the market.  </w:t>
        <w:br/>
        <w:t xml:space="preserve">59. In the aforementioned decision no. 21-D-03, the Authority considered that "the supply of electricity in market offers is substitutable for a regulated tariff offer, as it is the same product meeting the same need. The price proposed in market offers is often constructed relative to the level of the regulated tariff (on a regulated tariff – X%), so that market offers exert competitive pressure on regulated tariff offers. Moreover, the dynamics of the markets, which is moving towards a conversion of customers from regulated tariffs to market offers, corroborates this substitutability."  </w:t>
        <w:br/>
        <w:t xml:space="preserve">60. These considerations remain valid today. The overall market for small non-residential customers retained in the analysis includes both customers who became ineligible for regulated tariffs as of December 31, 2020, and customers who still remain eligible for regulated tariffs, who can still switch from a regulated tariff offer to a market offer and vice versa. Thus, regulated tariff offers still exert competitive pressure on market offers. The fact that customers who became ineligible and did not subscribe to a market offer have switched to the CST, EDF's fallback offer, and can no longer return to regulated tariffs is not sufficient to eliminate this competitive pressure and does not modify the delineation of the relevant market. The existence of a market limited to CST is therefore excluded.  </w:t>
        <w:br/>
        <w:t xml:space="preserve">61. The pricing of market offers as well as the market dynamics observed by the Authority in February 2021 have not, moreover, undergone any significant changes that would modify the market definitions previously retained by the Authority.  </w:t>
        <w:br/>
        <w:t xml:space="preserve">62. It is therefore appropriate to retain a single product market, composed of a segment of regulated tariff offers and a segment of market offers.  </w:t>
        <w:br/>
        <w:t xml:space="preserve">b) The material dimension of the market for the collection of data relating to customers in fallback offers  </w:t>
        <w:br/>
        <w:t xml:space="preserve">63. ANODE requests the Authority to define a market for the collection of data relating to customers in fallback offers.  </w:t>
        <w:br/>
        <w:t xml:space="preserve">64. It relies on the Magill ruling, in which the Court of Justice held that television channels held a de facto monopoly on the raw data used to create program schedules (the channel, the day, the time, and the title of the shows) and that this raw information was essential to Magill's activity in the derived market of weekly television guides. It also relies on two decisions concerning the company Automobile Citroën which recognized the existence of a specific market for technical information relating to Citroën brand vehicles that was subject to specific demand from technical information publishers, on the one hand, and automobile repairers, on the other.  </w:t>
        <w:br/>
        <w:t xml:space="preserve">65. It argues that the market for data of customers in fallback offers constitutes a relevant market responding to a specific and essential need of alternative operators.  </w:t>
        <w:br/>
        <w:t>66. EDF argues that in this case, it only makes internal use of the data relating to customers in CST, which are not intended to be marketed. According to it, the data relating to customers who have subscribed to a CST do not constitute the essential raw material of a marketed service or product and have no commercial value.</w:t>
      </w:r>
    </w:p>
    <w:p>
      <w:r>
        <w:rPr>
          <w:b/>
        </w:rPr>
        <w:t>[Pages 16–18]</w:t>
      </w:r>
    </w:p>
    <w:p>
      <w:r>
        <w:t xml:space="preserve">demands that the Authority dismiss the existence of a market for the collection of data relating to customers in CST35.  </w:t>
        <w:br/>
        <w:t xml:space="preserve">67. In this case, it is not necessary to respond to ANODE's arguments regarding the definition of such a market since the conclusions of the competitive analysis remain unchanged, whether or not a distinct market for the collection of data relating to customers in switch offers is recognized.  </w:t>
        <w:br/>
        <w:t xml:space="preserve">2. THE GEOGRAPHICAL DIMENSION OF THE RELEVANT MARKET  </w:t>
        <w:br/>
        <w:t xml:space="preserve">68. The markets for retail electricity supply have been considered both by the European Commission36 and by the Authority as being of national dimension37.  </w:t>
        <w:br/>
        <w:t xml:space="preserve">69. The elements that led to this analysis remaining unchanged, the market for retail electricity supply to small non-residential customers will be considered as being of national dimension.  </w:t>
        <w:br/>
        <w:t xml:space="preserve">C. EDF'S DOMINANT POSITION IN THE MARKET IN QUESTION  </w:t>
        <w:br/>
        <w:t xml:space="preserve">70. The analysis of the market power held by EDF in the markets in question is a necessary prerequisite for examining the behaviors denounced by ANODE in its complaint and its request for interim measures. Indeed, it is because the company in a dominant position is vested with a particular responsibility that certain of its behaviors may be considered anti-competitive on the basis of Articles L. 420-2 of the Commercial Code and 102 TFEU38.  </w:t>
        <w:br/>
        <w:t xml:space="preserve">71. According to a consistent case law of the Court of Justice, the dominant position referred to in Article 102 TFEU concerns a situation of economic power held by a company that gives it the ability to impede the maintenance of effective competition in the market in question, by providing it with the possibility of independent behavior to a significant extent in relation to its competitors, its customers, and ultimately consumers39. In its activity report for the year 2010, the Authority recalled that "both internal and community case law defines the dominant position as the situation in which a company is able to act independently of the market conditions and to act almost freely without taking into account the behavior and reactions of its competitors"40.  </w:t>
        <w:br/>
        <w:t xml:space="preserve">35 References 1871-1872 (EDF observations dated October 25, 2021, paragraphs 99 and following).  </w:t>
        <w:br/>
        <w:t xml:space="preserve">36 See, for example, European Commission, decisions M.3440 EDP/ENI/GDP; M.4994 Electrabel/Compagnie Nationale du Rhône; M.7137 - EDF / DALKIA mentioned above.  </w:t>
        <w:br/>
        <w:t xml:space="preserve">37 See, for example, decisions No. 17-DCC-16 of February 8, 2017, and No. 16-DCC-153 of October 20, 2016 mentioned above.  </w:t>
        <w:br/>
        <w:t xml:space="preserve">38 See, for example, Guidelines on the priorities set by the Commission for the application of Article 82 of the EC Treaty to the abusive exclusionary practices of dominant companies, OJ C045, February 24, 2009, point 9.  </w:t>
        <w:br/>
        <w:t xml:space="preserve">39 CJEU, February 13, 1979, Hoffmann-La Roche &amp; Co. AG/Com., case 85/76, point 38. See also, CJEU, December 6, 2012, AstraZeneca e.a./Com., C-457/10 P, point 175.  </w:t>
        <w:br/>
        <w:t xml:space="preserve">40 Annual report of the Authority for the year 2010, page 239.  </w:t>
        <w:br/>
        <w:t xml:space="preserve">72. The assessment of a company's dominant position is therefore carried out based on a set of indicators that take into account structural data, such as the market shares of the company and those of its main competitors, but also elements that may provide a competitive advantage to the company in question, such as belonging to a powerful group, holding a brand image or a distribution network covering the national territory.  </w:t>
        <w:br/>
        <w:t xml:space="preserve">73. Regarding market shares in particular, the Court of Justice considers that a significant market share allows for the presumption of the existence of a dominant position: "As for market shares, the Court has ruled (judgment of February 13, 1979, Hoffmann La Roche, point 41, 85/76, Rec. p. 461) that extremely large shares constitute, by themselves, and unless exceptional circumstances exist, proof of the existence of a dominant position. This is the case for a market share of 50% as observed in this case"41. This presumption, upheld several times by the Authority42, is explained by the fact that "the possession of an extremely large market share places the company that holds it for a certain period, by the volume of production and supply it represents - without the holders of significantly smaller shares being able to quickly satisfy the demand that wishes to turn away from the company holding the largest share - in a position of strength that makes it a necessary partner and which, already for this reason, ensures it, at least for relatively long periods, the independence of behavior characteristic of a dominant position"43.  </w:t>
        <w:br/>
        <w:t xml:space="preserve">74. Furthermore, a decrease in market shares during the period concerned by the practices does not exclude the existence of a dominant position, as a reduction in still very significant market shares cannot, in itself, constitute proof of the absence of a dominant position44. The Authority has also held that market shares that decrease but remain significant can constitute a relevant element for qualifying a dominant position45.  </w:t>
        <w:br/>
        <w:t xml:space="preserve">75. In this case, in the relevant market defined above, EDF held, as of June 30, 2021, market shares of 59% in consumption volume and 65% in the number of sites46.  </w:t>
        <w:br/>
        <w:t xml:space="preserve">76. It should thus be noted that, although declining since 2015, EDF's market shares remain very significant, more than 16 years after the opening of the sector to competition.  </w:t>
        <w:br/>
        <w:t xml:space="preserve">77. Case law also considers, as part of other elements for assessing a dominant position, the gap between the market share of the historical operator and that of its closest competitors. Now, in the market in question, as of June 30, 2021, 36 alternative suppliers shared a cumulative market share of 41% in consumption volume and 35% in the number of sites in the market for small non-residential sites, so that their individual market share was necessarily lower than that held by the historical operator47.  </w:t>
        <w:br/>
        <w:t xml:space="preserve">78. The market in question is, moreover, still particularly concentrated in favor of EDF. Indeed, the HHI48 is estimated by the CRE for the second quarter of 2021 at over 4,000 in terms of sites and over 3,500 in terms of consumption volume49, which corresponds to a very high concentration of the market.  </w:t>
        <w:br/>
        <w:t xml:space="preserve">79. Finally, as the historical operator in the electricity market, EDF holds significant competitive advantages, such as its brand image and reputation, but also the presence of its sales teams throughout the national territory, giving it a unique territorial network and experience.  </w:t>
        <w:br/>
        <w:t xml:space="preserve">80. It follows from all of the above that EDF can be considered to be in a dominant position in the market for retail electricity supply to small non-residential sites (C5 non-residential sites).  </w:t>
        <w:br/>
        <w:t xml:space="preserve">D. THE ADMISSIBILITY OF THE SUBSTANTIVE REFERRAL  </w:t>
        <w:br/>
        <w:t xml:space="preserve">81. In accordance with paragraph 2 of Article L. 462-8 of the Commercial Code, the Authority may "reject the referral by reasoned decision when it considers that the facts invoked are not supported by sufficiently probative elements or, for referrals received under II and IV of Article L. 462-5, when it does not consider them a priority."  </w:t>
        <w:br/>
        <w:t xml:space="preserve">82. In this case, the complainant denounces a free transfer of a customer portfolio to EDF due to the law, which would resemble state aid (1), a refusal of access to the database of customers in CST (2), an abusive exploitation of this database (3), and a general confusion of EDF's means (4).  </w:t>
        <w:br/>
        <w:t xml:space="preserve">1. ON THE ALLEGED STATE AID  </w:t>
        <w:br/>
        <w:t xml:space="preserve">83. In the session, ANODE mentioned this subject, briefly addressed in its written observations, as a distinct grievance in support of its requests. It argues that customers who switched to CST did not decide to subscribe to a market offer, as they switched "from one regulated offer to another" for reasons of continuity of the public electricity service and solely due to the effect of the law, the legislator's intention being to prevent them from experiencing an interruption in electricity supply. According to it, these "inert" customers could have been allocated by the State following an auction process and thus acquired for a fee by the suppliers winning the auctions. By renouncing the revenue it could have received from this auctioning, the State would have granted EDF an advantage constituting illegal state aid, in the event of exploitation of this captive clientele. It adds that the CST has made  </w:t>
        <w:br/>
        <w:t xml:space="preserve">47 References 3521-3522 (deliberation No. 2021-329 mentioned above).  </w:t>
        <w:br/>
        <w:t xml:space="preserve">48 The Herfindahl-Hirschman Index is a measure of market concentration. A market is considered to be unconcentrated if its HHI is below 1000 and very concentrated if it is above 2000.  </w:t>
        <w:br/>
        <w:t>49 CRE Observatory for the second quarter of 2021 on the retail markets for electricity and natural gas.</w:t>
      </w:r>
    </w:p>
    <w:p>
      <w:r>
        <w:rPr>
          <w:b/>
        </w:rPr>
        <w:t>[Pages 19–21]</w:t>
      </w:r>
    </w:p>
    <w:p>
      <w:r>
        <w:t xml:space="preserve">the subject of regulation by the CRE which issued a favorable opinion, distinguishing it from a market offer.  </w:t>
        <w:br/>
        <w:t xml:space="preserve">84. EDF contests this analysis, arguing that the CST is a market offer and, in any case, that state aid law falls outside the Authority's jurisdiction.  </w:t>
        <w:br/>
        <w:t xml:space="preserve">85. Regardless of the nature of the CST, the Authority recalls that the assessment of state aid referred to in Articles 107 to 109 TFEU does not fall within its jurisdiction. Moreover, in this case, the alleged state aid arises, by definition, not from EDF's corporate behavior, but from the law itself. The specific question of EDF's potential exploitation of information from CST customers will be addressed in separate developments in paragraphs 144 and following.  </w:t>
        <w:br/>
        <w:t xml:space="preserve">2. ON THE ALLEGED PRACTICE OF REFUSAL OF ACCESS TO THE DATABASE  </w:t>
        <w:br/>
        <w:t xml:space="preserve">a) The position of the complainant  </w:t>
        <w:br/>
        <w:t xml:space="preserve">86. Regarding the nature and content of the database, ANODE argues that:  </w:t>
        <w:br/>
        <w:t xml:space="preserve">− the data was not acquired by EDF in the context of competition on merits but results "from the legacy of its status as a former monopoly in the electricity supply sector and its current public service mission of providing the Switch Offer (ex-TRV)" and "from the sole effect of the law," which provided for switch offers to ensure continuity of supply;  </w:t>
        <w:br/>
        <w:t xml:space="preserve">− the switch offer is not a market offer since it is subject to regulation by the CRE; it adds that, on the one hand, EDF informed its customers losing eligibility that the CST "is not EDF's commercial proposal for [their] new market offer" and, on the other hand, that the fact that EDF does not actively solicit these customers in 2021 "is a recognition that, due to their different acquisition modalities, these consumers cannot be equated to customers won on the basis of merits."  </w:t>
        <w:br/>
        <w:t xml:space="preserve">87. It also relies on the essential facilities doctrine and argues that:  </w:t>
        <w:br/>
        <w:t xml:space="preserve">− the data is indispensable for alternative operators to be able to solicit non-eligible customers, especially since "without specific solicitation action from EDF, it may as of January 1, 2022, engage them for a period of up to 3 years or, if the customers remain passive, leave them on the existing Switch Offer"; it states that "[t]his data gives EDF a significant advantage, creating a foreclosure effect with respect to alternative suppliers who do not have the necessary means to prospect the clientele on an equal footing";  </w:t>
        <w:br/>
        <w:t xml:space="preserve">50 File 3656 (EDF's observations dated November 17, 2021, paragraph 42).  </w:t>
        <w:br/>
        <w:t xml:space="preserve">51 File 16 (ANODE's main submission, paragraph 87).  </w:t>
        <w:br/>
        <w:t xml:space="preserve">52 File 3557 (ANODE's observations dated November 7, 2021, paragraph 104).  </w:t>
        <w:br/>
        <w:t xml:space="preserve">53 File 3558 (ANODE's observations dated November 7, 2021, paragraph 113).  </w:t>
        <w:br/>
        <w:t xml:space="preserve">54 File 3559 (ANODE's observations dated November 7, 2021, paragraph 118).  </w:t>
        <w:br/>
        <w:t xml:space="preserve">55 File 17 (ANODE's main submission, paragraph 95).  </w:t>
        <w:br/>
        <w:t xml:space="preserve">19  </w:t>
        <w:br/>
        <w:t xml:space="preserve">− regarding the replicability of the data, "it is not possible to acquire or reconstruct a similar file" insofar as "[t]here is no database, even a paid one, allowing the identification of customers positioned on Switch Offers" and "it would not be profitable to contact all small businesses in the ENEDIS area to find out if they have become ineligible for TRV and positioned on Switch Offers"; ANODE specifies that the CRE has recognized this non-reproducible nature and that EDF has acknowledged that certain information was commercially sensitive.  </w:t>
        <w:br/>
        <w:t xml:space="preserve">88. On the refusal of access to the database, ANODE considers that:  </w:t>
        <w:br/>
        <w:t xml:space="preserve">− "EDF is in a dominant position in the market for electricity supply to small non-residential customers and in a monopoly position in the market for data of customers on the Switch Offer;  </w:t>
        <w:br/>
        <w:t xml:space="preserve">− access to the Switch Offers segment is strictly necessary to propose market offers to these consumers;  </w:t>
        <w:br/>
        <w:t xml:space="preserve">− alternative operators are not able to reconstruct this database owned by EDF themselves and there is no alternative to this database;  </w:t>
        <w:br/>
        <w:t xml:space="preserve">− access to the data has been categorically refused by EDF in its letter dated July 13, 2021, addressed to ANODE;  </w:t>
        <w:br/>
        <w:t xml:space="preserve">− access to the data is undeniably possible, both technically and economically."  </w:t>
        <w:br/>
        <w:t xml:space="preserve">60.  </w:t>
        <w:br/>
        <w:t xml:space="preserve">89. ANODE also believes that granting the request for interim measures would not amount to imposing on any company in a dominant position to provide access to its customer database on the grounds that it was constituted while the company was in a dominant position, since the data of customers on the switch offer are "devoid of any commercial merit" and that this access is required "only to partially remedy the anti-competitive practices implemented by the dominant company that holds the privileged data."  </w:t>
        <w:br/>
        <w:t xml:space="preserve">61.  </w:t>
        <w:br/>
        <w:t xml:space="preserve">90. In parallel, ANODE considers that access to the database during the year 2020 was organized under very particular circumstances. The health situation limited the communication of public authorities and prevented customers from subscribing to market offers. ANODE thus believes that solicitation could only fully take place between September and December 2020.  </w:t>
        <w:br/>
        <w:t xml:space="preserve">56 File 18 (ANODE's main submission, paragraphs 100-104).  </w:t>
        <w:br/>
        <w:t xml:space="preserve">57 File 19 (ANODE's main submission, paragraph 105).  </w:t>
        <w:br/>
        <w:t xml:space="preserve">58 In its deliberation No. 2019-256 proposing a decree setting the list of data that suppliers offering contracts at regulated electricity sales tariffs must make available to electricity suppliers who request it.  </w:t>
        <w:br/>
        <w:t xml:space="preserve">59 Files 3566-3567 (ANODE's observations dated November 7, 2021, paragraphs 163 and following).  </w:t>
        <w:br/>
        <w:t xml:space="preserve">60 Files 20-21 (ANODE's main submission, paragraph 115).  </w:t>
        <w:br/>
        <w:t xml:space="preserve">61 File 3572 (ANODE's observations dated November 7, 2021, paragraph 200).  </w:t>
        <w:br/>
        <w:t xml:space="preserve">62 Files 9-11 (ANODE's main submission, paragraphs 37-47).  </w:t>
        <w:br/>
        <w:t xml:space="preserve">20  </w:t>
        <w:br/>
        <w:t xml:space="preserve">b) The position of EDF  </w:t>
        <w:br/>
        <w:t xml:space="preserve">91. Regarding the nature and content of the database, EDF contests the privileged nature of the data in question.  </w:t>
        <w:br/>
        <w:t xml:space="preserve">92. First, concerning the conditions for the establishment of the database, EDF considers that customers who have switched to CST are "aware" and therefore have not been captured by "means foreign to competition on merits." It specifies that "[t]he situation is therefore very different from that which prevailed in the GDF Suez case of 2014 cited by ANODE, in which the Authority ordered GDF Suez to provide access to its customer database for TRV and not to data relating to customers on market offers, won on the basis of competition on merits, as is the case here."  </w:t>
        <w:br/>
        <w:t xml:space="preserve">93. It argues that the CST constitutes a real market offer and is not linked to a public service mission. On the first point, EDF considers that the CST does not present any transitional character, despite ANODE's allegations, given the following elements: "[t]he conditions of the CST have been freely determined by EDF. Thus, and contrary to the previous provisions established for the partial end of TRV in 2014 and 2016 regulating the 'transitional offers,' the regulatory framework does not set the conditions that these contracts must meet, except for a possible termination at any time during the first year. No indication is given regarding the duration or price level of the CST. There are no follow-up modalities for its execution. The system put in place by the LEC confirms the legislator's intention not to exercise any control over the follow-up of CSTs, which are therefore not contracts benefiting from a special status in the supplier's customer portfolio."  </w:t>
        <w:br/>
        <w:t xml:space="preserve">65.  </w:t>
        <w:br/>
        <w:t xml:space="preserve">94. EDF emphasizes that the model letter from October 2020, the content of which was set by decree, expressly refers to a market offer.  </w:t>
        <w:br/>
        <w:t xml:space="preserve">95. It adds that the Government issued an unfavorable opinion on the amendments presented by ANODE, Engie, and TotalEnergies regarding the implementing decrees, which aimed to add obligations not provided for by law, such as extending the duration of data retention beyond December 31, 2020, creating a database of customers who lost eligibility for TRV after January 1, 2021, or introducing information on the bills of customers who subscribed to a CST indicating that they can subscribe to a market offer from the supplier of their choice as well as a referral to the MNE comparator.  </w:t>
        <w:br/>
        <w:t xml:space="preserve">67.  </w:t>
        <w:br/>
        <w:t xml:space="preserve">96. EDF also lists several writings in which public actors qualify the CST as a "market offer," for which customers opted with full knowledge of the facts.  </w:t>
        <w:br/>
        <w:t xml:space="preserve">63 File 1878 (EDF's observations dated October 25, 2021, paragraph 123).  </w:t>
        <w:br/>
        <w:t xml:space="preserve">64 File 1878 (EDF's observations dated October 25, 2021, paragraph 124).  </w:t>
        <w:br/>
        <w:t xml:space="preserve">65 File 1855 (EDF's observations dated October 25, 2021, paragraph 36).  </w:t>
        <w:br/>
        <w:t xml:space="preserve">66 See paragraph 18 above.  </w:t>
        <w:br/>
        <w:t xml:space="preserve">67 Files 2001-2011 (EDF's observations dated October 25, 2021, documents No. 11, 12, 13, and 14).  </w:t>
        <w:br/>
        <w:t xml:space="preserve">68 Files 1914-1922 (CRE), 1950-1959 (CRE and the national energy mediator), 2013-2014 (CRE), 2016-2018 (the rapporteur of the law before the higher energy council), 2084-2087 (the president of the Paris commercial court who issued the interim order of June 17, 2021): EDF's observations dated October 25, 2021, documents 1, 7, 15, 16, and 18.  </w:t>
        <w:br/>
        <w:t>21</w:t>
      </w:r>
    </w:p>
    <w:p>
      <w:r>
        <w:rPr>
          <w:b/>
        </w:rPr>
        <w:t>[Pages 22–24]</w:t>
      </w:r>
    </w:p>
    <w:p>
      <w:r>
        <w:t>97. EDF then observes that the criteria for applying the essential facilities doctrine are not met. The data relating to customers who have switched to CST are, according to it, replicable and not indispensable. It argues that "alternative suppliers have other means to identify the target clientele for solicitation purposes, namely small non-residential customers, including CST customers."</w:t>
      </w:r>
    </w:p>
    <w:p>
      <w:r>
        <w:t>98. Finally, EDF disputes the existence of a foreclosure effect for several reasons:</w:t>
        <w:br/>
        <w:t>− foreclosure could only result from the use of the data and not from their mere possession;</w:t>
        <w:br/>
        <w:t>− alternative suppliers were able to solicit the concerned customers in 2020;</w:t>
        <w:br/>
        <w:t>− the concerned customers are not "captive to EDF," particularly given their ability to terminate CSTs;</w:t>
        <w:br/>
        <w:t>− the market shares of alternative suppliers have increased since 2015 in the relevant market.</w:t>
      </w:r>
    </w:p>
    <w:p>
      <w:r>
        <w:t>99. Regarding the consequences of the health crisis, EDF points out that the CRE, in the same deliberation cited by ANODE, welcomed "the progress of competition, which shows that the French electricity market is dynamic and that all concerned consumers have had access to a wide range of offers." EDF also cites the CRE's annual report to the European Commission, which emphasizes that "the competitive dynamics in the non-residential market were less affected by the health crisis," particularly in the 3rd and 4th quarters of 2020.</w:t>
      </w:r>
    </w:p>
    <w:p>
      <w:r>
        <w:t>100. EDF specifies that regarding the communication of data that took place during 2020, "the excerpt from the CRE's deliberation must be nuanced in light of the mechanism established by the LEC to inform the concerned customers of the partial end of regulated tariffs." Regarding solicitation, EDF adds that "it should be noted that the first lockdown ended on May 11, 2020. Thus, even if the solicitations made by ANODE members may have been less effective during this period (which is not demonstrated), ANODE still had at least six months (July to December) to solicit all Ineligible Customers in 2020 (and more for customers whose data was included in the files made available before July 2020)." In any case, EDF notes that the CRE also indicated that "Enedis, which had led the consultation, smoothly implemented all processes, notably a very high number of supplier changes on January 1, 2021, which allowed all consumers who wished to exercise their right to change suppliers until December 31, 2020."</w:t>
      </w:r>
    </w:p>
    <w:p>
      <w:r>
        <w:t xml:space="preserve">c) Authority Analysis  </w:t>
        <w:br/>
        <w:t xml:space="preserve">Applicable Principles  </w:t>
        <w:br/>
        <w:t>101. Under Article 102 TFEU: "Any abuse by one or more undertakings of a dominant position within the internal market or in a substantial part of it shall be prohibited as incompatible with the common market in so far as it may affect trade between Member States [...]".</w:t>
      </w:r>
    </w:p>
    <w:p>
      <w:r>
        <w:t>102. Article L. 420-2 of the Commercial Code similarly provides: "The abusive exploitation by an undertaking or a group of undertakings of a dominant position on the internal market or a substantial part of it is prohibited under the conditions laid down in Article L. 420-1."</w:t>
      </w:r>
    </w:p>
    <w:p>
      <w:r>
        <w:t>103. It follows from consistent case law of the Court of Justice that the notion of "abusive exploitation" is an objective concept aimed at the behaviors of an undertaking in a dominant position that may influence the structure of a market where, precisely due to the presence of the undertaking in question, the degree of competition is already weakened and which have the effect of hindering, by means other than those governing normal competition of products or services based on the performance of economic operators, the maintenance of competition still existing in the market or the development of that competition.</w:t>
      </w:r>
    </w:p>
    <w:p>
      <w:r>
        <w:t>104. It follows that Article 102 TFEU prohibits an undertaking in a dominant position from strengthening its position by means other than those that pertain to competition on merits and imposes on it, on the contrary, a particular responsibility not to harm effective and undistorted competition in the internal market of the Union.</w:t>
      </w:r>
    </w:p>
    <w:p>
      <w:r>
        <w:t>105. The acquisition and retention of customers are essential elements of the normal functioning of competition, each competitor must acquire them through its own merits and without engaging in anti-competitive practices. The Authority has thus recalled that "the struggle for customer acquisition does not authorize all behaviors, especially on the part of an undertaking that, holding a dominant position in a market, incurs a particular responsibility."</w:t>
      </w:r>
    </w:p>
    <w:p>
      <w:r>
        <w:t>106. In its communication regarding the guidelines on the priorities for the application of Article 82 of the EC Treaty to the abusive foreclosure practices of dominant undertakings, the European Commission specifies that "(...) an undertaking, whether dominant or not, should have the right to choose its business partners and to freely dispose of its assets. (...) an intervention based on competition law must be carefully weighed when the application of Article 82 (now 102 TFEU) risks leading to the imposition of a supply obligation on the dominant undertaking."</w:t>
      </w:r>
    </w:p>
    <w:p>
      <w:r>
        <w:t>107. This is why the case law has set high standards of proof, recalled in the aforementioned communication, to impose supply obligations on a dominant undertaking.</w:t>
      </w:r>
    </w:p>
    <w:p>
      <w:r>
        <w:t>108. However, when the dominant undertaking has acquired its position in the market through special or exclusive rights or through funding using state resources, the standard of proof is relaxed, as the European Commission recalls: to demonstrate that the refusal to supply is abusive, the competition authority "has no reason to depart from its general approach based on demonstrating the likelihood of anti-competitive foreclosure without having to examine whether the three circumstances referred to in point 81 are met," because, in this case, "the imposition of a supply obligation will clearly have no negative effect on the willingness of the owner of the inputs and/or other operators to invest and innovate upstream, whether ex ante or ex post."</w:t>
      </w:r>
    </w:p>
    <w:p>
      <w:r>
        <w:t>109. Furthermore, it follows from well-established case law and decision-making practice that a refusal to supply a competitor with goods or services necessary for the exercise of its activities, by an operator in a dominant position, is abusive if this refusal is likely to eliminate all competition and is not objectively justified.</w:t>
      </w:r>
    </w:p>
    <w:p>
      <w:r>
        <w:t>110. Thus, in its "Cegedim" decision, the Authority, reiterating the terms of the ruling Société des abattoirs de Laval of February 22, 2005, from the Paris Court of Appeal, recalled that "even in the absence of an essential facility, a discriminatory refusal of access by an undertaking in a dominant position may constitute an abuse of that position, as long as it significantly distorts the functioning of competition." It also specified that, in certain circumstances, "the fact that owners or managers of equipment that gives them a particular position as a supplier in the market refuse access or provide discriminatory access to the equipment in question, without invoking the essential facilities doctrine or the risks of infringing property rights," may also be considered an abuse of a dominant position.</w:t>
      </w:r>
    </w:p>
    <w:p>
      <w:r>
        <w:t xml:space="preserve">Authority Analysis  </w:t>
        <w:br/>
        <w:t>111. In application of the principles recalled above, to assess whether the refusals to grant access to the file of customers benefiting from CST since January 1, 2021, opposed in 2021 by EDF to alternative suppliers, are likely to constitute abuses of dominant position by the historical operator, it is therefore necessary to examine the nature of the disputed database and the foreclosure effects resulting from its lack of communication during the year 2021.</w:t>
      </w:r>
    </w:p>
    <w:p>
      <w:r>
        <w:rPr>
          <w:b/>
        </w:rPr>
        <w:t>[Pages 25–27]</w:t>
      </w:r>
    </w:p>
    <w:p>
      <w:r>
        <w:t xml:space="preserve">On the nature of the disputed database  </w:t>
        <w:br/>
        <w:t xml:space="preserve">112. The database contains information on sites that are no longer eligible for regulated tariffs (TRV) and have switched to a CST since January 1, 2021. It is therefore a means derived from the former monopoly of EDF and its public service missions. The consumption data, the technical characteristics of a site, or its contact details, which are included, are not fully reproducible by EDF's competitors and are strategic since they allow electricity suppliers to make commercial proposals tailored to the needs of the concerned consumers.  </w:t>
        <w:br/>
        <w:t xml:space="preserve">113. The fact that CSTs constitute market offers and not regulated offers, in light of the consumers' free choice to accept this "default" offer, the free determination of the price by EDF, the absence of regulation of these contracts by the CRE, as well as the consistent statements and writings of public authorities, does not change the nature, as recalled above, of the database.  </w:t>
        <w:br/>
        <w:t xml:space="preserve">114. Given the nature of this database derived from a former monopoly, it is necessary to assess the probability of foreclosure resulting from the disputed refusals.  </w:t>
        <w:br/>
        <w:t xml:space="preserve">On the probability of foreclosure resulting from refusals to access the database in 2021  </w:t>
        <w:br/>
        <w:t xml:space="preserve">115. This probability will be assessed in light of the context of the transition to CST for customers who became ineligible and did not opt for other market offers, the contractual conditions of the CSTs, and finally the increase in the market share of alternative suppliers observed in 2020 and 2021 in the concerned market.  </w:t>
        <w:br/>
        <w:t xml:space="preserve"> The pre-existing context before the transition to CST  </w:t>
        <w:br/>
        <w:t xml:space="preserve">116. The Authority observes that in order to stimulate competition in the context of the end of TRV, the legislator organized a transitional phase, during which all electricity suppliers had equal access to the database of customers who became ineligible for TRV.  </w:t>
        <w:br/>
        <w:t xml:space="preserve">117. As noted by the CRE, this open access mechanism for suppliers making the request aimed to ensure fair competition between historical and alternative suppliers in the segment of customers losing their eligibility, allowing them to formulate the most suitable offers for the needs of consumers.  </w:t>
        <w:br/>
        <w:t xml:space="preserve">118. Alternative suppliers thus had access to the database and its updates during the year 2020. They were able to solicit the sites affected by the end of TRV by utilizing the database provided by EDF. It appears from the documents produced by EDF that, during this period, it solicited these sites based on the same data available to its competitors. At the end of 2020, all suppliers with access to the database provided by EDF destroyed it.  </w:t>
        <w:br/>
        <w:t xml:space="preserve">119. During the year 2020, the number of sites that transitioned to market offers amounted to approximately 657,000 out of 1.4 million, of which 47% were with alternative suppliers and 53% with EDF.  </w:t>
        <w:br/>
        <w:t xml:space="preserve">120. The competitive stimulation of the market was therefore effective in 2020. ANODE does not argue that the conditions for accessing the file of customers with TRV who became ineligible were not respected during this opening phase, but that the health crisis hindered said access, to which a response will be provided below.  </w:t>
        <w:br/>
        <w:t xml:space="preserve"> The conditions of the exit tariff contract  </w:t>
        <w:br/>
        <w:t xml:space="preserve">121. Since January 2021, by effect of the law, only EDF has access to data relating to its customers who have switched to CST. However, the legal nature of the database has evolved since it no longer concerns, as of January 1, 2021, customers of EDF under TRV but customers under market offers, known as CST, in accordance with the provisions of the LEC.  </w:t>
        <w:br/>
        <w:t xml:space="preserve">122. Firstly, if customers who became ineligible for TRV and did not opt for a market offer by December 31, 2020, automatically switched to a CST, it remains that this transition occurred after the communication campaign provided for in Article 64 of the LEC (described in paragraphs 18 and 19 above). In this regard, the CRE indicated in its deliberation no. 2021-84 that "in principle, with regard to the provisions of the LEC concerning the end of TRV, customers who switched to the fallback offer did so knowingly."  </w:t>
        <w:br/>
        <w:t xml:space="preserve">123. Even though the CRE also considered, in its deliberation no. 2021-84, "that no large-scale communication was conducted by public authorities, and that the resources of the CRE and the MNE in this regard are very limited," the Authority observes that, throughout 2020, public authorities and EDF communicated several times to customers affected by the end of TRV. These customers thus received neutral, understandable, and visible information about the end of their eligibility for TRV, the availability of market offers, and the existence of the offer comparator.  </w:t>
        <w:br/>
        <w:t xml:space="preserve">124. In light of these elements, it cannot be considered that customers who switched to CST were misled about their transition from TRV to CST offer and about the existence of EDF competitors in their market segment.  </w:t>
        <w:br/>
        <w:t xml:space="preserve">125. Secondly, it appears from the contractual documents produced by EDF that the CSTs for private customers are contracts of indefinite duration, which can be terminated at any time without compensation, subject to a notice period of 15 days. The contractual conditions also provide that "if the customer changes supplier, their Contract with EDF is terminated on the effective date of the contract concluded with the new energy supplier."  </w:t>
        <w:br/>
        <w:t xml:space="preserve">126. Public customers, for their part, benefit from fixed-term contracts of one year, until December 31, 2021. The CST model concluded with these customers stipulates that "it is the Client's responsibility to promptly launch a public call for competition to award a public electricity supply contract under a market offer. If, by January 1, 2022, the Client's site is still not subject to a contract awarded by the Client, this Contract may exceptionally continue to apply until the Client takes the necessary measures." Regarding termination, the model states that "once such a market [public electricity supply contract under a market offer] has been awarded by the Client, the Client may terminate the Contract without compensation, subject to a notice period of fifteen (15) days before the desired termination date."  </w:t>
        <w:br/>
        <w:t>127. Finally, as of January 1, 2022, customers in CST will still be able to terminate their contract at any time and without charge, subject to a notice period of 15 days. The letter dated June 11, 2020, sent by the CRE to EDF specified that "at the end of the first year of the contract, the conditions of the contract, except for the duration of the contract and the termination conditions at the initiative of the client, may evolve. Any proposed modification of the contractual conditions must then be communicated to the client by post, or, at their request, electronically, at least one month before the intended application date." This framework for the evolution of contractual conditions was expressly defined by the CRE in its deliberation of November 5, 2020.</w:t>
      </w:r>
    </w:p>
    <w:p>
      <w:r>
        <w:rPr>
          <w:b/>
        </w:rPr>
        <w:t>[Pages 28–30]</w:t>
      </w:r>
    </w:p>
    <w:p>
      <w:r>
        <w:t>128. The Authority observes that the duration of the contract and its termination conditions cannot be unilaterally modified by EDF, contrary to what the applicant claims. This point was confirmed by the CRE during the investigation92: "pursuant to the CRE's favorable opinion, such a modification could not affect either the duration or the termination conditions." Furthermore, if EDF wishes to unilaterally modify other conditions of the contract, such as, for example, the prices, it must communicate the proposed modifications to the clients and remind them of their ability to terminate the contract without penalty, in accordance with Articles L. 332-2 of the Energy Code and L. 224-10 of the Consumer Code. The DGEC specified that most clients in CST would benefit from "the ability to terminate without penalty (if these modifications do not suit them), an ability that would be reminded to them in the communication of the proposed modifications"93 (emphasis added).</w:t>
      </w:r>
    </w:p>
    <w:p>
      <w:r>
        <w:t>129. Ultimately, the clauses of the CST do not render the concerned clients captive to EDF since they allow them to easily change electricity suppliers and do not, in themselves, lock this market segment.</w:t>
      </w:r>
    </w:p>
    <w:p>
      <w:r>
        <w:t>130. In this regard, the CRE indicated, in its deliberation No. 2020-270 of November 5, 2020, that the contractual conditions of EDF's switching offer were "not likely to lock the market and [allowed] competition to operate freely in the market"94.</w:t>
      </w:r>
    </w:p>
    <w:p>
      <w:r>
        <w:t> The progression of market shares of alternative suppliers</w:t>
      </w:r>
    </w:p>
    <w:p>
      <w:r>
        <w:t>131. The progression of market shares of alternative suppliers in the relevant market allows for a relativization of the importance of access to the CST client file for acquiring EDF clients. Targeted active prospecting of clients is not the only factor driving competitive dynamics, as duly informed clients can spontaneously choose to change suppliers.</w:t>
      </w:r>
    </w:p>
    <w:p>
      <w:r>
        <w:t>132. The market for electricity supply to non-residential sites was opened to competition on July 1, 2004, even though public authorities maintained the existence of regulated tariffs (TRV). Thus, for many years, alternative suppliers have built their own databases to solicit small non-residential clients. While these do not contain all the information held by EDF for each client (the consumption volume of the sites, for example95), it remains that alternative suppliers actively use them to gain market shares and have other means than the requested database to promote their market offers96. Furthermore, information regarding certain types of clients is more easily accessible due to the calls for tenders they organize: some of them are public clients subject to public procurement rules; others, although private clients, also use competitive bidding procedures.</w:t>
      </w:r>
    </w:p>
    <w:p>
      <w:r>
        <w:t>133. Thus, in 2021, while they had destroyed the database related to clients affected by the end of TRV, alternative suppliers were able to acquire clients who had switched to CST. Therefore, during this period, they were able to exert competitive pressure on the dominant company.</w:t>
      </w:r>
    </w:p>
    <w:p>
      <w:r>
        <w:t>134. Indeed, between January 1 and September 30, 2021, according to the information provided by EDF97, "36,113 sites that switched to CST subscribed to a market offer from EDF, while 36,043 sites subscribed to a new market offer from an alternative supplier. Alternative suppliers thus captured nearly 50% of the CST sites that subscribed to another market offer during the first three quarters of 2021." Moreover, "the total number of clients who switched to CST at EDF under the LEC significantly decreased, from approximately 509,000 sites on January 1, 2021, to approximately 387,000 sites on September 30, 2021" - for a total of approximately 1.2 million sites losing their eligibility as of December 31, 2020.</w:t>
      </w:r>
    </w:p>
    <w:p>
      <w:r>
        <w:t>135. As a result, nearly half of the clients who terminated their CST have subscribed to a market offer from an alternative supplier since January 1, 2021, even though alternative suppliers no longer had access to EDF's database. Furthermore, according to the data provided by EDF, the termination rate reported relative to the average portfolio for CST is more than twice the average annual termination rate observed in 2018-2020 across its entire portfolio of non-residential sites C598.</w:t>
      </w:r>
    </w:p>
    <w:p>
      <w:r>
        <w:t>136. Moreover, it is recalled that clients in CST represent only a fraction of the clients who lost their eligibility for TRV as of December 31, 2020, and an even smaller fraction of the relevant market retained, which includes small non-residential sites still eligible for TRV, which can also opt for a market offer.</w:t>
      </w:r>
    </w:p>
    <w:p>
      <w:r>
        <w:t>137. Furthermore, ANODE has not provided sufficient evidence to demonstrate that certain alternative suppliers would be weakened by a potential difficulty in prospecting CST clients, due to their specialization in this market segment, or that they would not be able to acquire the critical mass they need to enter and remain in the market and that the current competitive dynamics would be distorted by EDF's failure to communicate the disputed database.</w:t>
      </w:r>
    </w:p>
    <w:p>
      <w:r>
        <w:t>138. It follows that no foreclosure effect is likely to result solely from EDF's refusals of access to its CST client databases in 2021.</w:t>
      </w:r>
    </w:p>
    <w:p>
      <w:r>
        <w:t>question 15: "They are not replicable; to obtain consumption data, client consent is required, ENEDIS is strict on this matter. The interest of EDF's database is notably to have information not available or accessible otherwise. For example, the name associated with a meter number and a NAF code" (cote 1020).</w:t>
      </w:r>
    </w:p>
    <w:p>
      <w:r>
        <w:t>96 See cotes 943 (ANODE minutes, question 3), 984 (TotalEnergies minutes, question 2), 1017, 1019 and 1020 (ENI minutes, questions 2 and 11).</w:t>
      </w:r>
    </w:p>
    <w:p>
      <w:r>
        <w:t>97 Cotes 1863-1864 VC and 3011-3012 VNC (EDF observations dated October 25, 2021, paragraphs 54-56).</w:t>
      </w:r>
    </w:p>
    <w:p>
      <w:r>
        <w:t>98 Document "ADLC session of 2/12/2021, EDF intervention," page 9.</w:t>
      </w:r>
    </w:p>
    <w:p>
      <w:r>
        <w:t> The impact of the health crisis</w:t>
      </w:r>
    </w:p>
    <w:p>
      <w:r>
        <w:t>139. The argument of ANODE, that the health crisis would have hindered the free exercise of the competitive dynamics organized by the legislator in 2020 and would make access to the CST client database indispensable, deserves to be nuanced and cannot render EDF's refusals in 2021 abusive.</w:t>
      </w:r>
    </w:p>
    <w:p>
      <w:r>
        <w:t>140. First, according to the CRE's observatories, the market for small non-residential clients experienced a certain competitive dynamic during the year 2020, which continues in 2021. It emerges from these elements that, although the CRE considered, in its aforementioned deliberation No. 2021-84, that "the health crisis has probably been, and continues to be, a hindrance to the proactivity of consumers to subscribe to a market offer, as highlighted by the supplier switching rates published by the CRE in its observatories," it remains that the share of market offers in the total market increased during the year 2020, despite the health crisis.</w:t>
      </w:r>
    </w:p>
    <w:p>
      <w:r>
        <w:t>141. Furthermore, while the CRE noted that switching rates99 were low in the second quarter of 2020, it subsequently indicated, in its annual report to the European Commission, that "[d]uring the 3rd and 4th quarters of 2020, market offers developed more strongly, due to the anticipation of the partial elimination of regulated electricity tariffs (TRV) on January 1, 2021. The number of non-residential sites on market offers increased by 20% in 2020 (or 418,000 additional sites) compared to 9.9% in 2019 and 11.3% during the year 2017. As of December 31, 2020, 2,492,000 sites out of a total of 5.1 million were on market offers for electricity, of which approximately 59% (64% in 2019) were with an alternative supplier."</w:t>
      </w:r>
    </w:p>
    <w:p>
      <w:r>
        <w:t>142. Finally, while the Authority shares the CRE's observation that competitive dynamics would necessarily be more vibrant in the event of prolonged access for alternative suppliers to the relevant database, it is not its role here to make recommendations regarding the electricity sector, but to examine the likelihood of a risk of anti-competitive foreclosure.</w:t>
      </w:r>
    </w:p>
    <w:p>
      <w:r>
        <w:t>143. It follows from the above that no compelling evidence establishes that the refusals of access opposed in 2021 by EDF to alternative suppliers would be likely to constitute an abuse of dominant position.</w:t>
      </w:r>
    </w:p>
    <w:p>
      <w:r>
        <w:t>3. 3. ON THE ALLEGED PRACTICE OF ABUSIVE EXPLOITATION OF THE DATABASE</w:t>
      </w:r>
    </w:p>
    <w:p>
      <w:r>
        <w:t>a) The position of the applicant</w:t>
      </w:r>
    </w:p>
    <w:p>
      <w:r>
        <w:t>144. ANODE argues that "EDF is indeed exploiting the data of clients on the Switching Offer for purposes that may be anti-competitive"100:</w:t>
        <w:br/>
        <w:t>− EDF does not substantiate its self-imposed prohibition on using the data, which would, moreover, contradict "the stated ambition of EDF's management, who indicated they want to."</w:t>
      </w:r>
    </w:p>
    <w:p>
      <w:r>
        <w:rPr>
          <w:b/>
        </w:rPr>
        <w:t>[Pages 31–33]</w:t>
      </w:r>
    </w:p>
    <w:p>
      <w:r>
        <w:t xml:space="preserve">tripling the customer base in market offers by 2023" and with the fact that EDF reserved the right to use the data for commercial prospecting purposes;  </w:t>
        <w:br/>
        <w:t xml:space="preserve">− the exploitation of the database is confirmed by the subscription of 31,647 sites that switched to CST to a market offer proposed by EDF in 2021;  </w:t>
        <w:br/>
        <w:t xml:space="preserve">− the data is also used by EDF to develop its pricing policy in view of a modification of prices and to optimize "its procurement and future coverage strategy."  </w:t>
        <w:br/>
        <w:t xml:space="preserve">b) EDF's position  </w:t>
        <w:br/>
        <w:t xml:space="preserve">145. EDF indicates that "the data relating to Ineligible Customers in 2020 who chose to subscribe to a market offer from an alternative supplier has been retained by EDF but solely to allow it to fulfill its legal obligations towards said customers, that is to say for the management of terminated contracts (for example, to respond to claims regarding former regulated tariff contracts). This data is not integrated into EDF's "Prospects" database, which is only used for solicitation/prospecting purposes by EDF's sales teams."  </w:t>
        <w:br/>
        <w:t xml:space="preserve">146. It adds that "this data has not been exploited by EDF for promotional purposes since the partial end of regulated tariffs on January 1, 2021. On the contrary, EDF chose not to actively solicit customers benefiting from a CST and thus refrained from offering them alternative offers in 2021 in order to respect the spirit of the LEC, which imposed the possibility for customers to exit their CST contract at any time and without penalties in 2021."  </w:t>
        <w:br/>
        <w:t xml:space="preserve">147. EDF argues that providing a customer space giving online access to their consumption and billing data to its CST customers does not constitute an abusive exploitation of the database as no differentiated prospecting action is carried out through this channel. It also contends that updating the prices of its offers as well as determining its procurement and coverage strategy for its customers, including those in CST, does not fall under prospecting activity and therefore cannot characterize an anti-competitive exploitation of the disputed database.  </w:t>
        <w:br/>
        <w:t xml:space="preserve">c) Authority's analysis  </w:t>
        <w:br/>
        <w:t xml:space="preserve">Applicable principles  </w:t>
        <w:br/>
        <w:t xml:space="preserve">148. As a primary matter, reference is made to the principles mentioned in paragraphs 103 and following of this decision. It should also be recalled that the Authority and the French national courts consider that the use, by a company in a dominant position, of data constituted within the framework of its legal monopoly or public service mission can be considered abusive if it leads to the establishment of commercial operations that cannot be replicated by competitors. This is particularly the case when the information in question is used to transfer customers from regulated offers to market offers, to regain lost customers to the competition, or to propose more targeted and tailored offers than competitors could provide.  </w:t>
        <w:br/>
        <w:t xml:space="preserve">149. In this regard, the Paris Court of Appeal, in its "Solaire Direct" ruling, held that "the use of privileged information held exclusively by EDF by virtue of its former monopoly and its public service missions constituted a significant competitive advantage for EDF ENR by allowing it to promote its offers to a large number of prospects, under conditions that could not be replicated by competitors."  </w:t>
        <w:br/>
        <w:t xml:space="preserve">150. Thus, the use of an advantage arising from a monopoly or a public service mission is likely to constitute an abuse since it can provide an advantage for the market activities of the dominant operator and thereby create a disadvantage for competing operators, who can only develop their own activities under degraded conditions.  </w:t>
        <w:br/>
        <w:t xml:space="preserve">Authority's analysis  </w:t>
        <w:br/>
        <w:t xml:space="preserve">151. The Authority observes that in this case, it appears from the observations and documents produced by EDF that it has taken particular precautions regarding the exploitation of the database in 2021, and there is no indication to suggest that it adopted a commercial strategy consisting of using information contained in this database to promote a competitive service and capture customers in an abusive manner.  </w:t>
        <w:br/>
        <w:t xml:space="preserve">152. Regarding ANODE's argument that EDF's use of data relating to its CST customers to define its procurement and coverage strategy would constitute an abusive use of the database, it should be noted that a supplier's analysis of this data does not resemble an exploitation of the data to facilitate the marketing of offers, but stems from its obligation to anticipate, based on its customers' data, an estimate of the evolution of its customer portfolio and their consumption in order to meet their needs.  </w:t>
        <w:br/>
        <w:t xml:space="preserve">153. Thus, neither the facts reported in the referral nor the elements submitted to the file provided sufficient evidence supporting ANODE's allegation that EDF used its CST customer file in 2021 to promote its other market electricity offers.  </w:t>
        <w:br/>
        <w:t xml:space="preserve">4.3. ON THE ALLEGED PRACTICE OF CONFUSION OF MEANS  </w:t>
        <w:br/>
        <w:t xml:space="preserve">a) The position of the complainant  </w:t>
        <w:br/>
        <w:t xml:space="preserve">154. ANODE believes that "alternative suppliers cannot [...] replicate the advantage that EDF derives from the confusion of sales teams, call centers, and the website between Switching Offers and market offers." It argues that "there is no structural or functional separation within EDF since the same entity provides both Switching Offers and market offers," with the customer service on the Internet and the customer service by phone being common to both categories of offers. During its hearing, ANODE added: "We are faced with a company that has a unique infrastructure to market its market offers and regulated tariff offers."  </w:t>
        <w:br/>
        <w:t xml:space="preserve">155. ANODE argues that "the assimilation of consumers in Switching Offers to customers in market offers (which EDF claims) is in itself likely to constitute an abuse of dominant position." Thus, "not only does EDF fail to demonstrate any structural separation between its management of customers inherited by the effect of the law and its competitive activity, but it even claims the opposite to try to escape its responsibility, which is perfectly paradoxical."  </w:t>
        <w:br/>
        <w:t xml:space="preserve">156. The complainant considers that access to the EDF Enterprise customer space offered to CST customers and presented as a guarantee of "efficient management" of their energy contract through the centralization of their data by EDF constitutes an abusive exploitation of this data. Furthermore, the possibility offered to these customers to subscribe to a market offer directly from this space constitutes, according to ANODE, a confusion of means by the supplier in a dominant position.  </w:t>
        <w:br/>
        <w:t xml:space="preserve">b) EDF's position  </w:t>
        <w:br/>
        <w:t xml:space="preserve">157. EDF considers that "regarding the material and immaterial commercial means of EDF, ANODE provides no explanation that would justify the use of different customer spaces and customer services for CST and other market offers from EDF, especially since there is no doubt that CST is a market offer just like the others."  </w:t>
        <w:br/>
        <w:t>158. Specifically regarding the year 2021, reference is made to the arguments developed by EDF (see paragraphs 145 to 147 above) concerning the alleged abusive exploitation of data.</w:t>
      </w:r>
    </w:p>
    <w:p>
      <w:r>
        <w:rPr>
          <w:b/>
        </w:rPr>
        <w:t>[Pages 34–36]</w:t>
      </w:r>
    </w:p>
    <w:p>
      <w:r>
        <w:t xml:space="preserve">c) Analysis of the Authority  </w:t>
        <w:br/>
        <w:t xml:space="preserve">Applicable Principles  </w:t>
        <w:br/>
        <w:t xml:space="preserve">159. When a company holding a legal monopoly or tasked with a public service mission uses the same material means and the same sales teams for its monopoly or public service activities, on the one hand, and for services in a competitive regime, on the other hand, such behavior must be analyzed as the abusive use of a non-reproducible advantage, when this organization generates confusion in the minds of customers between these different services and offerings.  </w:t>
        <w:br/>
        <w:t xml:space="preserve">160. The abusive nature of such behavior is particularly evident when the confusion is maintained by the establishment of communication telephone channels that do not allow for a distinction between monopoly activities and those in competition or when the sales teams claim a status as a public operator to then offer services not covered by said status.  </w:t>
        <w:br/>
        <w:t xml:space="preserve">Analysis of the Authority  </w:t>
        <w:br/>
        <w:t xml:space="preserve">161. Regarding the year 2020, as previously explained, the database was accessible to alternative suppliers throughout this period, in accordance with the aforementioned provisions of the LEC. Furthermore, it appears from EDF's internal documents related to its commercial strategy that it took precautions to distinguish its sales teams dedicated to customers on regulated tariffs from those dedicated to soliciting customers to acquire market offers, as well as the communication channels intended for each of these audiences.  </w:t>
        <w:br/>
        <w:t xml:space="preserve">162. Thus, there is no evidence, regarding the year 2020, to consider that the operator implemented practices of confusion between its status as a former holder of a historical monopoly and its activities in the competitive segment of the market.  </w:t>
        <w:br/>
        <w:t xml:space="preserve">163. Regarding the year 2021, as outlined in paragraph 151 above, precautions were taken by EDF not to exploit the information from the database that its competitors do not have and not to engage in targeted solicitation actions of these customers, thereby avoiding adopting behavior that could be anti-competitive.  </w:t>
        <w:br/>
        <w:t xml:space="preserve">164. The mere fact that EDF allows its customers who have switched to CST to access their customer space on its website and to directly subscribe to another market offer different from the one they are currently in from this space cannot equate to an abusive exploitation of the data relating to these customers to promote its market offers in electricity. It is indeed at the initiative of the consumer that a transition from CST to a different market offer can occur via this channel.  </w:t>
        <w:br/>
        <w:t xml:space="preserve">115 See CA Paris, May 21, 2015, cited above, page 13.  </w:t>
        <w:br/>
        <w:t xml:space="preserve">116 Ibid, page 12.  </w:t>
        <w:br/>
        <w:t xml:space="preserve">117 Decision No. 17-D-06 cited above, paragraph 134.  </w:t>
        <w:br/>
        <w:t>118 Cotes 2245-2246 VC and 3859-3860 VNC (EDF's responses to questionnaire No. 1, paragraph 40), cotes 2442-2443 (EDF's responses to questionnaire No. 1, annex 10), cote 2472 (EDF's responses to questionnaire No. 1, annex 13), cotes 2583 and 2588 (EDF's responses to questionnaire No. 1, annex 22).</w:t>
      </w:r>
    </w:p>
    <w:p>
      <w:r>
        <w:t xml:space="preserve">165. In conclusion, the assertions of ANODE regarding an alleged commercial strategy of EDF based on a confusion of means at its disposal are, at this stage, not substantiated.  </w:t>
        <w:br/>
        <w:t xml:space="preserve">E. CONCLUSION  </w:t>
        <w:br/>
        <w:t xml:space="preserve">166. It follows from all the preceding elements that the facts invoked by the referral from ANODE are not supported by sufficiently probative elements to substantiate the existence, in 2020 and 2021, of practices that would be likely to hinder the free play of competition within the meaning of the provisions of Articles L. 420-2 of the Commercial Code and 102 TFEU.  </w:t>
        <w:br/>
        <w:t xml:space="preserve">167. This conclusion does not prejudge the analysis that the Authority could carry out if new elements regarding EDF's behavior were brought to its attention.  </w:t>
        <w:br/>
        <w:t>168. It is therefore appropriate to apply the provisions of Article L. 462-8 of the Commercial Code and to reject the referral registered under number 21/0071 F and, consequently, the request for interim measures registered under number 21/0072 M.</w:t>
      </w:r>
    </w:p>
    <w:p>
      <w:r>
        <w:t xml:space="preserve">DECISION  </w:t>
        <w:br/>
        <w:t xml:space="preserve">Article 1: The referral from ANODE registered under number 21/0071 F is rejected.  </w:t>
        <w:br/>
        <w:t xml:space="preserve">Article 2: The request for interim measures from ANODE registered under number 21/0072 M is rejected.  </w:t>
        <w:br/>
        <w:t xml:space="preserve">Deliberated on the oral report of Ms. Alice Delavergne and Ms. Céline d'Huy, rapporteurs, and the intervention of Ms. Laure Gauthier, deputy general rapporteur, by Ms. Irène Luc, vice-president, chairing the session, Ms. Laurence Borrel-Prat and Mr. Savinien Grignon-Dumoulin, members.  </w:t>
        <w:br/>
        <w:t xml:space="preserve">The session secretary, The session chair,  </w:t>
        <w:br/>
        <w:t xml:space="preserve">Caroline Orsel 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