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https://www.autoritedelaconcurrence.fr/fr/decision/relative-des-pratiques-mises-en-oeuvre-sur-le-marche-de-la-reconstruction-des-miradors-du</w:t>
      </w:r>
    </w:p>
    <w:p>
      <w:r>
        <w:t>Pages translated : 45</w:t>
      </w:r>
    </w:p>
    <w:p/>
    <w:p>
      <w:r>
        <w:rPr>
          <w:b/>
        </w:rPr>
        <w:t>[Pages 1–3]</w:t>
      </w:r>
    </w:p>
    <w:p>
      <w:r>
        <w:t>FRENCH REPUBLIC</w:t>
        <w:br/>
        <w:t>Decision No. 13-D-09 of April 17, 2013</w:t>
        <w:br/>
        <w:t>regarding practices implemented in the market for the reconstruction of the watchtowers of the Perpignan penitentiary center</w:t>
        <w:br/>
        <w:t>The Competition Authority (section V),</w:t>
        <w:br/>
        <w:t>Considering decision No. 09-SOI-05 dated December 7, 2009, registered under number 09/0134 F, by which the Competition Authority took action ex officio regarding practices implemented during the reconstruction works of the watchtowers of the Perpignan penitentiary center, following the proposal of the general rapporteur made after the letter sent by the Minister of Economy, Finance and Employment under Article L. 450-5 of the Commercial Code;</w:t>
        <w:br/>
        <w:t>Considering Book IV of the Commercial Code and in particular its Article L. 420-1;</w:t>
        <w:br/>
        <w:t>Considering the business secrecy decision No. 12-DSA-61 of February 7, 2012;</w:t>
        <w:br/>
        <w:t>Considering the declassification decisions No. 12-DECR-06 of March 20, 2012, and No. 12-DECR-25 of September 21, 2012;</w:t>
        <w:br/>
        <w:t>Considering the other documents in the file;</w:t>
        <w:br/>
        <w:t>Considering the observations presented by the companies SAS Eiffage Construction Languedoc Roussillon, SAS Fougerolle, SAS Eiffage Construction, and Eiffage SA, on one hand, and EURL Vilmor Construction, on the other hand;</w:t>
        <w:br/>
        <w:t>The rapporteur, the deputy general rapporteur, the Government Commissioner, as well as the representatives of the companies Eiffage Construction Languedoc Roussillon SAS, Fougerolle SAS, Eiffage Construction SAS, and Eiffage SA, on one hand, and the representative of the company EURL Vilmor Construction, on the other hand, heard during the session of January 30, 2013;</w:t>
        <w:br/>
        <w:t>Adopts the following decision:</w:t>
      </w:r>
    </w:p>
    <w:p>
      <w:r>
        <w:t>SUMMARY</w:t>
        <w:br/>
        <w:t>I. FINDINGS .................................................................................................................. 4</w:t>
        <w:br/>
        <w:t>A. The procedure ............................................................................................... 4</w:t>
        <w:br/>
        <w:t>B. The companies concerned ........................................................................... 4</w:t>
        <w:br/>
        <w:t>1. The company EURL Vilmor Construction .................................................. 4</w:t>
        <w:br/>
        <w:t>2. The company Eiffage Construction Languedoc Roussillon ....................... 5</w:t>
        <w:br/>
        <w:t>C. The public contract concerned .................................................................... 5</w:t>
        <w:br/>
        <w:t>1. The progress of the call for tenders procedure for the reconstruction of the two watchtowers of the Perpignan penitentiary center ............................... 5</w:t>
        <w:br/>
        <w:t>2. Specificities of the works ............................................................................. 7</w:t>
        <w:br/>
        <w:t>D. The practices identified ................................................................................ 8</w:t>
        <w:br/>
        <w:t>1. The similarities between the CDPGF of Vilmor Construction and Eiffage Construction Roussillon ................................................................. 8</w:t>
        <w:br/>
        <w:t>2. On the quality of the offers submitted by the candidates .......................... 18</w:t>
        <w:br/>
        <w:t>3. The conditions for renting land near the penitentiary center ................. 18</w:t>
        <w:br/>
        <w:t>E. The notified grievance ................................................................................ 23</w:t>
        <w:br/>
        <w:t>II. DISCUSSION ........................................................................................................... 23</w:t>
        <w:br/>
        <w:t>A. On the procedure ........................................................................................ 23</w:t>
        <w:br/>
        <w:t>B. On the grievance ........................................................................................ 24</w:t>
        <w:br/>
        <w:t>1. The applicable law ...................................................................................... 24</w:t>
        <w:br/>
        <w:t>2. In this case ................................................................................................... 25</w:t>
        <w:br/>
        <w:t>a) On the similarities between the CDPGF of Vilmor Construction and that of Eiffage Construction Roussillon .................................................. 25</w:t>
        <w:br/>
        <w:t>b) On the lower quality of the offer from Vilmor Construction ................... 27</w:t>
        <w:br/>
        <w:t>c) On the conditions for renting the land adjoining the penitentiary center ........................................................................................................ 28</w:t>
        <w:br/>
        <w:t>C. On the attribution of the practices .............................................................. 30</w:t>
        <w:br/>
        <w:t>1. Reminder of the principles ......................................................................... 30</w:t>
        <w:br/>
        <w:t>2. In this case ................................................................................................... 32</w:t>
        <w:br/>
        <w:t>a) Arguments of the parties .......................................................................... 32</w:t>
        <w:br/>
        <w:t>b) Assessment by the Authority .................................................................. 32</w:t>
        <w:br/>
        <w:t>III. ON THE SANCTIONS ......................................................................................... 34</w:t>
        <w:br/>
        <w:t>A. On the determination of the base amount .................................................. 35</w:t>
        <w:br/>
        <w:t>1. On the severity of the facts ......................................................................... 35</w:t>
        <w:br/>
        <w:t>2. On the significance of the damage caused to the economy ..................... 37</w:t>
        <w:br/>
        <w:t>3. Conclusion on the base amount ................................................................. 38</w:t>
        <w:br/>
        <w:t>B. On the consideration of circumstances specific to each company .......... 39</w:t>
        <w:br/>
        <w:t>1. Reminder of the principles ......................................................................... 39</w:t>
        <w:br/>
        <w:t>2. In this case ................................................................................................... 40</w:t>
        <w:br/>
        <w:t>C. On the reiteration ....................................................................................... 40</w:t>
        <w:br/>
        <w:t>D. On the verification of the applicable legal maximum ............................... 43</w:t>
        <w:br/>
        <w:t>E. On the contributory capacity of Vilmor Construction .............................. 43</w:t>
        <w:br/>
        <w:t>F. On the final amount of the sanctions .......................................................... 44</w:t>
        <w:br/>
        <w:t>DECISION ................................................................................................................................................. 45</w:t>
      </w:r>
    </w:p>
    <w:p>
      <w:r>
        <w:rPr>
          <w:b/>
        </w:rPr>
        <w:t>[Pages 4–6]</w:t>
      </w:r>
    </w:p>
    <w:p>
      <w:r>
        <w:t>I. FINDINGS</w:t>
        <w:br/>
        <w:t>A. THE PROCEDURE</w:t>
        <w:br/>
        <w:t>1. By decision No. 09-SOI-05 dated December 7, 2009, the Competition Authority initiated proceedings ex officio regarding practices implemented during the reconstruction works of the watchtowers at the Perpignan penitentiary center.</w:t>
        <w:br/>
        <w:t>2. On March 30, 2012, a statement of objections was sent to the companies SAS Eiffage Construction Languedoc Roussillon, SAS Fougerolle, SAS Eiffage Construction, Eiffage SA, on one hand, and to EURL Vilmor Construction, on the other hand.</w:t>
        <w:br/>
        <w:t>3. Unlike the companies SAS Eiffage Construction Languedoc Roussillon, SAS Fougerolle, SAS Eiffage Construction, and Eiffage SA, EURL Vilmor Construction did not raise any observations regarding this statement of objections.</w:t>
        <w:br/>
        <w:t>4. On September 18, 2012, a report was sent to all parties.</w:t>
        <w:br/>
        <w:t>5. Unlike the companies SAS Eiffage Construction Languedoc Roussillon, SAS Fougerolle, SAS Eiffage Construction, and Eiffage SA, EURL Vilmor Construction did not raise any observations regarding this report.</w:t>
        <w:br/>
        <w:t>6. On December 14, 2012, a summons to a session of the Competition Authority for January 15, 2013, was sent to the companies SAS Eiffage Construction Languedoc Roussillon, SAS Fougerolle, SAS Eiffage Construction, and Eiffage SA, on one hand, and to EURL Vilmor Construction (references 2396 and 2397), on the other hand.</w:t>
        <w:br/>
        <w:t>7. The company Vilmor Construction acknowledged receipt of this summons on December 17, 2012 (reference 2405).</w:t>
        <w:br/>
        <w:t>8. By letter dated January 14, 2013, the judicial administrator of Vilmor Construction indicated that he would not be able to attend the session on January 15, 2013, which was postponed to January 30, 2013.</w:t>
        <w:br/>
        <w:t>9. On January 21, 2013, the representative of EURL Vilmor Construction submitted observations on behalf of Me André Samson in his capacity as judicial administrator of Vilmor Construction.</w:t>
        <w:br/>
        <w:t>10. A session was held on January 30, 2013, before the Authority.</w:t>
        <w:br/>
        <w:t>B. THE COMPANIES INVOLVED</w:t>
        <w:br/>
        <w:t>1. THE COMPANY EURL VILMOR CONSTRUCTION</w:t>
        <w:br/>
        <w:t>11. The company EURL Vilmor Construction (hereinafter "Vilmor Construction") was established in September 1991. Its registered office is located in Perpignan in the Pyrénées-Orientales department. Its activity is a construction activity, part of which (approximately 35% of turnover) is focused on the restoration of old buildings. Regarding new buildings, this company operates in the industrial sector, large distribution, and public contracts, which represent approximately 50% of its activity.</w:t>
        <w:br/>
        <w:t>2. THE COMPANY EIFFAGE CONSTRUCTION LANGUEDOC ROUSSILLON</w:t>
        <w:br/>
        <w:t>12. The company Eiffage Construction SAS holds 100% of the capital of the company Fougerolle SAS, which itself holds 99.99% of the share capital of SAS Eiffage Construction Languedoc Roussillon, established in 1978 and having its registered office in Montpellier in the Hérault department.</w:t>
        <w:br/>
        <w:t>13. The company Eiffage Construction Languedoc Roussillon is active in the building sector. It has a main establishment in Montpellier (Eiffage Construction Languedoc) and two secondary establishments located in Nîmes (Eiffage Construction Gard) and in Perpignan (Eiffage Construction Roussillon).</w:t>
        <w:br/>
        <w:t>C. THE PUBLIC CONTRACT IN QUESTION</w:t>
        <w:br/>
        <w:t>1. THE CONDUCT OF THE TENDER PROCEDURE FOR THE RECONSTRUCTION OF THE TWO WATCHTOWERS OF THE PERPIGNAN PENITENTIARY CENTER</w:t>
        <w:br/>
        <w:t>14. On March 6, 2008, the regional directorate of penitentiary services of Toulouse (hereinafter "DRSP") issued a public call for tenders regarding the reconstruction of the two watchtowers of the Perpignan penitentiary center. This notice was published in the Official Bulletin of Public Procurement Announcements (BOAMP) on March 11, 2008, under announcement number 08-53146 (references 52 to 56). The procedure chosen was that of a restricted tender with a deadline for receiving applications set for April 3, 2008. This type of procedure was notably chosen due to the constraints related to the works to be carried out within the penitentiary center.</w:t>
        <w:br/>
        <w:t>15. The operation consisted of 6 lots corresponding to distinct trades, each lot being the subject of a separate contract. Lot No. 1, the only one addressed in this decision, concerned structural works, roadworks, and various networks (VRD), namely the demolition of existing structures, VRD works, the creation of prefabrication areas, then prefabrication, and all structural works as well as waterproofing works. This lot was estimated by the project owner at 660,000 euros excluding tax, with the works of the concerned lot to be remunerated by applying a global and fixed price. The project owner specified that this estimate had not been disclosed to the candidates.</w:t>
        <w:br/>
        <w:t>16. Three companies applied for lot No. 1 and were selected by the project owner. These are the companies Vilmor Construction, SAS Eiffage Construction Languedoc Roussillon via its establishment Eiffage Construction Roussillon based in Perpignan, and SAS société d’entreprise du Sud-ouest (SESO). The latter company, located in Toulouse, has been 100% owned by Eiffage Travaux Publics since January 1, 2007.</w:t>
        <w:br/>
        <w:t>17. These three companies received a consultation letter sent on April 25, 2008, by the penitentiary services (references 331 to 342). A CD-ROM containing the documents of the consultation file (hereinafter the "DCE") was sent to each company with the consultation letter, the electronic version of the DCE allowing the candidate companies to prepare and submit their offer. A paper version of the DCE was also sent through a reprographic company.</w:t>
        <w:br/>
        <w:t>18. This DCE contains, among others, the following documents:</w:t>
        <w:br/>
        <w:t>- the consultation regulations (references 79 to 88);</w:t>
        <w:br/>
        <w:t>- a model framework for the decomposition of the global and fixed price (hereinafter the "CDPGF"): CDPGF 01 Structural work, VRD (references 89 to 93);</w:t>
        <w:br/>
        <w:t>- a special technical specifications document: "CCTP 00: generalities" (references 94 to 127);</w:t>
        <w:br/>
        <w:t>- a special technical specifications document for lot 1, "CCTP 01: structural work, VRD" (references 128 to 194).</w:t>
        <w:br/>
        <w:t>19. The CDPGF is a document presented in the form of a table in which the breakdown of the price by services appears for informational purposes, as the submitted offer is based on a global and fixed price. It allows the contracting authority to be informed of the prices proposed item by item by the bidders. This framework supports the commitment act which, for its part, mentions the total amount of the contract price.</w:t>
        <w:br/>
        <w:t>20. When submitting offers, companies provide all the documents duly completed and signed. Given the confidential nature of certain parts of the consultation file, the consultation regulations require the return of all paper documents and the DCE by the companies whose offers are not retained (reference 88). In accordance with the consultation regulations, the three candidates were able to visit the Perpignan penitentiary center to better understand the upcoming construction site. The deadline for submitting offers was set for June 11, 2008, at 11:30 AM.</w:t>
        <w:br/>
        <w:t>21. By letter dated June 11, 2008, the company SESO informed the project owner that due to the application of the establishment Eiffage Construction Roussillon, it would ultimately not submit an offer, thus giving priority to the establishment of the Eiffage group geographically closest to the construction site in accordance with the rule in force within the group (reference 208).</w:t>
        <w:br/>
        <w:t>22. The tender commission, convened on June 11, 2008, recorded two offers for lot No. 1: that of Eiffage Construction Roussillon for an amount of 628,407 euros excluding tax (for the base solution) and that of the company Vilmor Construction for an amount of 660,000.12 euros excluding tax (for the base solution).</w:t>
        <w:br/>
        <w:t>23. The contract was awarded to Eiffage Construction Roussillon, which offered a price 31,593 euros (i.e., 4.84%) lower than the project owner's estimate and that of Vilmor Construction whose offer was perfectly identical to the administrative estimate.</w:t>
      </w:r>
    </w:p>
    <w:p>
      <w:r>
        <w:rPr>
          <w:b/>
        </w:rPr>
        <w:t>[Pages 7–9]</w:t>
      </w:r>
    </w:p>
    <w:p>
      <w:r>
        <w:t xml:space="preserve">2. SPECIFICITIES OF THE WORKS  </w:t>
        <w:br/>
        <w:t xml:space="preserve">24. Due to the particular nature of construction sites at penitentiary establishments mentioned above, the project owner considered access to the site before launching the call for tenders. It became necessary to prevent any possibility of escape during the works, due to the presence of cranes within the building's enclosure. The project owner therefore studied an alternative solution to install part of the site outside the walls.  </w:t>
        <w:br/>
        <w:t xml:space="preserve">25. The deputy technical director to the head of the heritage and equipment department of the DRSP of Toulouse, in charge of the public contract in question, specified during his hearing on July 25, 2008, that "for reasons of penitentiary security and organizational facilities, we have been led to consider unoccupied areas in immediate proximity to the establishment. We contacted the landowner before launching the entire procedure to find out on one hand if he was willing to rent this land for the duration of the works, and on the other hand under what financial conditions. It turned out that the landowner was the company Vilmor, which stated on this occasion that it would be interested in this contract. It should be added on this point that the specifications offered two solutions to the companies, which were not therefore obliged to go through the rental (...)” (references 48 to 51).  </w:t>
        <w:br/>
        <w:t xml:space="preserve">26. This land actually belongs to the Société Civile Immobilière BCV, which has as its sole real estate asset the land adjoining the Perpignan penitentiary center. The capital of this SCI is wholly owned by three partners, including the financial director and the manager of Vilmor Construction.  </w:t>
        <w:br/>
        <w:t xml:space="preserve">27. On April 1, 2008, the manager of Vilmor Construction confirmed to the DRSP of Toulouse the possibility of renting the land in question: “(...), I confirm the following points: access to the site via our parcel has been set at 5,500 euros excluding VAT in case another company carries out the structural work and this for the duration of the works (...). If a more official document is needed, I am at your disposal to establish it as you wish (...)” (reference 374). He thus indicated to the project owner, before the formal submission of offers, that in the event his company did not win the contract, it would rent the land necessary for the works to the successful bidder at a flat rate of 5,500 euros excluding VAT.  </w:t>
        <w:br/>
        <w:t xml:space="preserve">28. The technical specifications of the DCE, namely the "CCTP 01", proposed two possible solutions for the site installations in the Northern area: “solution A, RENTAL OF THE ADJACENT LAND, involves renting part of the adjacent land (proposal from the owner of 5,500 euros excluding VAT for land loan to be borne by the company); solution B, ON ESTABLISHMENT LAND, allows to free oneself from this constraint but makes the solution more complex. The company will have the free choice of the solution to be used (the project owner, without imposing it, prefers solution A)” (reference 175).  </w:t>
        <w:br/>
        <w:t>29. The company Eiffage Construction Roussillon mentioned in its CDPGF, in item 1.9.2.5.1: “chosen solution: rental of the adjacent land at the price of 5,500 euros” (reference 219). For its part, the company Vilmor Construction specified in its CDPGF “Solutions for rental of the adjacent land” without specifying the amount (reference 265).</w:t>
      </w:r>
    </w:p>
    <w:p>
      <w:r>
        <w:t xml:space="preserve">D. IDENTIFIED PRACTICES  </w:t>
        <w:br/>
        <w:t xml:space="preserve">1. SIMILARITIES BETWEEN THE CDPGF OF VILMOR CONSTRUCTION AND EIFFAGE CONSTRUCTION ROUSSILLON  </w:t>
        <w:br/>
        <w:t xml:space="preserve">30. In the DCE in CD-Rom format sent to each of the candidate companies, there was a standard CDPGF from which they could formulate their offer by completing only the parts concerning quantities and prices. The candidates were also free to modify its structure more substantially, both in terms of layout and typography thanks to this digital version. Finally, they could also personalize it by displaying their company name on the document.  </w:t>
        <w:br/>
        <w:t xml:space="preserve">31. A comparison between the CDPGF provided by the project owner and those attached to the commitment acts of Eiffage Construction Roussillon and Vilmor Construction shows that these two companies used a framework containing similarities not found in the framework provided by the project owner, differentiating in the same way on certain points of the table format presented in the DCE.  </w:t>
        <w:br/>
        <w:t>32. Below are reproduced certain parts of the CDPGF provided to the companies by the project owner, and the versions submitted by Eiffage Construction Roussillon and Vilmor Construction to the project owner, for which articles or lines present similarities between the two CDPGF of the companies while differing from the framework provided by the project owner. The relevant points have been highlighted in the following documents:</w:t>
      </w:r>
    </w:p>
    <w:p>
      <w:r>
        <w:rPr>
          <w:b/>
        </w:rPr>
        <w:t>[Pages 10–12]</w:t>
      </w:r>
    </w:p>
    <w:p>
      <w:r>
        <w:t>10</w:t>
      </w:r>
    </w:p>
    <w:p>
      <w:r>
        <w:t>11</w:t>
      </w:r>
    </w:p>
    <w:p>
      <w:r>
        <w:t xml:space="preserve">33. The table below summarizes the points of similarity between the CDPGF of the two companies, where these similarities differ from the framework provided by the project owner:  </w:t>
        <w:br/>
        <w:t>12</w:t>
      </w:r>
    </w:p>
    <w:p>
      <w:r>
        <w:rPr>
          <w:b/>
        </w:rPr>
        <w:t>[Pages 13–15]</w:t>
      </w:r>
    </w:p>
    <w:p>
      <w:r>
        <w:t>DGCCRF le 10 décembre 2008, a déclaré : « Je n’ai pas eu de contact avec Vilmor Construction pour ce marché. Je n’ai pas eu de contact avec eux pour la consultation de sous-traitants. Je n’ai pas eu de contact avec eux pour la consultation de prix. Je n’ai pas eu de contact avec eux pour la consultation de devis. Je n’ai pas eu de contact avec eux pour la consultation de documents. Je n’ai pas eu de contact avec eux pour la consultation de tout autre élément. » (cotes 791 à 793).</w:t>
      </w:r>
    </w:p>
    <w:p>
      <w:r>
        <w:t>42. En conséquence, il apparaît que la mention « Eiffage Construction Roussillon » sur le CDPGF de Vilmor Construction ne peut être considérée comme une simple erreur, mais plutôt comme une modification intentionnelle du document original, effectuée dans le but de donner une apparence de légitimité à l'offre présentée par Vilmor Construction.</w:t>
      </w:r>
    </w:p>
    <w:p>
      <w:r>
        <w:t>43. Cette situation soulève des questions quant à la transparence et à l'intégrité du processus d'appel d'offres, ainsi qu'à la conformité des pratiques commerciales aux exigences légales en matière de concurrence.</w:t>
      </w:r>
    </w:p>
    <w:p>
      <w:r>
        <w:rPr>
          <w:b/>
        </w:rPr>
        <w:t>[Pages 16–18]</w:t>
      </w:r>
    </w:p>
    <w:p>
      <w:r>
        <w:t>DGCCRF, on December 16, 2008, stated that, "when we are in the context of a global and fixed-price contract, we have the measurements redone by external measurers; for the reconstruction of the watchtowers of the Perpignan prison (...) [t]his request was made in this case by letter dated May 26, 2008. The consultations with suppliers and potential subcontractors take place during the preparatory period of the study phase before the submission of bids, for the establishment of a provisional budget; based on this budget, we carry out the closing and define the price level to which we respond. For the watchtower contract, this work of consulting companies was carried out by me and resulted in the transfer document submitted to the Works service on July 19, 2008; regarding the demolition, I consulted two companies: Camars from St-Hippolyte (66) and Caminal from Perpignan (66); (...) In addition to these two companies, the company Hugon (M. V.) and the company Mediaco (M. R.) for hoisting and lifting visited the site (external visit). (...) I communicated to these two companies the CDPGF provided by the project owner and was then able to give them additional details, particularly on the quantities, as soon as I became aware of the results from the measurer. (...) regarding the CDPGF, I sent the companies the one that was provided to us by the project owner" (reference 556).</w:t>
      </w:r>
    </w:p>
    <w:p>
      <w:r>
        <w:t>42. Also questioned by the DGCCRF on December 16, 2008, the works director at Eiffage Construction Roussillon stated: "on this watchtower file for the Perpignan prison, [I] received the transfer file in early July 2008; regarding the demolition, the budget I have is around 30,000 euros excluding tax; I looked at the companies already consulted (Caminal and Camar) and then expanded the consultation to Sud Démolition and the company Vilmor. I contacted these two companies during the second half of July 2008 as well as those already listed in the transfer file. (...) I expanded by calling Vilmor and Sud Démolition. I called Vilmor several times (M. V.) who indicated to me that the price would be around 30,000 euros excluding tax; I did not send him a file because he told me that he knew it and was supposed to send me an offer. I never received his written proposal. This company was not my target; I had focused on Sud Démolition which was the company most capable of doing the work. I called Sud Démolition who indicated to me that they were interested in this work; I did not send them a file because they specified that they knew it" (emphasis added, references 555 to 558).</w:t>
      </w:r>
    </w:p>
    <w:p>
      <w:r>
        <w:t>43. The works director at Eiffage Construction Roussillon thus confirms that there was no formal negotiation between Eiffage Construction Roussillon and Vilmor Construction regarding a subcontracting for a demolition service, which could have explained the transmission of a document between the two companies. On the other hand, it emerges from his statement that Vilmor Construction was indeed consulted regarding the demolition service by Eiffage Construction Roussillon, but only by phone.</w:t>
      </w:r>
    </w:p>
    <w:p>
      <w:r>
        <w:t>44. The offers received by Eiffage Construction Roussillon from potential subcontractors are prepared on documents specific to each subcontractor, with the exception of the company Camar, which adapted the part of the CDPGF relating to the viability of the construction site and the demolition, and the company Caminal, which took the framework from the project owner that was sent to them by Eiffage Construction Roussillon, a document that corresponds to the CDPGF as sent by the project owner in the DCE, and not in the common format present in both the offer from Eiffage Construction Roussillon and that of Vilmor Construction.</w:t>
      </w:r>
    </w:p>
    <w:p>
      <w:r>
        <w:t>45. At the bottom of the CDPGF completed by the company Camar on one hand, and by the company Caminal on the other hand, the mention "Eiffage Construction Roussillon" does not appear. The CDPGF sent by Eiffage Construction Roussillon corresponds in all respects to the one used as a working basis and established by the project owner, and does not contain any mention "Eiffage Construction Roussillon" in the footer (references 662 and 664).</w:t>
      </w:r>
    </w:p>
    <w:p>
      <w:r>
        <w:t>46. Questioned by the Authority's services on December 7, 2011, the manager of Vilmor Construction stated: "Once the DGCCRF left, I questioned my secretary who was responsible for setting up the entire quote framework. It turns out that we were working at that time with Eiffage regarding the Clémenceau parking, and Eiffage had sent me price breakdown frameworks to respond to the Demolition lot. I think my secretary must have made a mistake by using this framework instead of the one sent by the project owner, namely the penitentiary services. Moreover, on the screen, this mention is not visible; it only appears when printed. I will try to find you a material element tending to show that Eiffage did indeed send me a price breakdown framework with their mention at the bottom of the page, and this in the context of the subcontracting with the Clémenceau parking." He also reaffirmed that "(...) we were consulted by Eiffage in the context of this watchtower reconstruction contract for subcontracting concerning demolition work. That’s when I learned that they were responding to the call for tenders. I certainly submitted an offer to them. Perhaps it was on that occasion that they sent me their breakdown framework with the mention 'Eiffage Construction Roussillon'" (references 1137 to 1141).</w:t>
      </w:r>
    </w:p>
    <w:p>
      <w:r>
        <w:t>47. Thus, in addition to the possibility of a transmission of a price breakdown framework in the context of subcontracting between the two companies for the public contract in question, the manager of Vilmor Construction mentions the possibility of a price breakdown framework sent by Eiffage Construction Roussillon for another contract, namely a demolition lot in the context of the "Clémenceau parking."</w:t>
      </w:r>
    </w:p>
    <w:p>
      <w:r>
        <w:t>48. Questioned by the Authority's services on December 5, 2011, the director at the time of Eiffage Construction Roussillon also put forward this explanation: "I had a contract with Vilmor on another matter, that of the Clémenceau parking in Perpignan, via the company Sud Démolition. In this matter of the watchtowers in Perpignan, I proposed to Sud Démolition to be my subcontractor for the demolition. I called M. V. who refrained at that moment from telling me that he was my competitor. He replied to me and told me to send him the file. I did not know of Vilmor's civil engineering skills, so I was a thousand miles away from imagining that they would present themselves (for me, Vilmor was rather specialized in the renovation of historical buildings). I suppose I sent him the file but I do not clearly remember. However, he did indeed submit an offer for the demolition, but it was very expensive compared to competing offers. I cannot provide you with material elements of a sending of the file to M. V." (references 1113 to 1117).</w:t>
      </w:r>
    </w:p>
    <w:p>
      <w:r>
        <w:t>49. Thus, the authors of these statements mentioned the possibility of a transmission of CDPGF in the context of the call for tenders concerning the "Clémenceau parking," a contract won by Eiffage Construction Roussillon which had entrusted the subcontracting for the "demolition" part to the company Sud Démolition, whose manager is the manager of Vilmor Construction.</w:t>
      </w:r>
    </w:p>
    <w:p>
      <w:r>
        <w:t>2. ON THE QUALITY OF THE OFFERS SUBMITTED BY THE CANDIDATES</w:t>
        <w:br/>
        <w:t>50. According to the project owner, Vilmor Construction did not show a marked interest in the contract in question. The quality of the file presented by Vilmor Construction would be in no way comparable to that of Eiffage Construction Roussillon, which would appear significantly better. During his hearing on July 25, 2008, the deputy technical director to the head of the heritage and equipment department of the DRSP stated: "We had reasonable hopes of obtaining truly competitive and well-structured offers. Conversely, throughout this period, the company Vilmor Construction did not show a very great interest and the quality of the file presented is not comparable. At the opening of the offers, we were disappointed because we only had two offers left, one of which, that of Vilmor Construction, contained large areas of uncertainty and raised questions on a technical level. This impression regarding Vilmor's offer was confirmed by the low quality of the responses obtained during the offer analysis period" (references 48 to 51).</w:t>
      </w:r>
    </w:p>
    <w:p>
      <w:r>
        <w:t>51. Audited by the Authority's services on October 26, 2011, the deputy technical director to the head of the heritage and equipment department of the DRSP confirmed his statements: "(...) during the study phase, I remember that Vilmor was not interested in the file and did not ask us for more information; the project management had difficulty obtaining precise elements from Vilmor, while their file was already not very enriched" (references 1023 to 1026).</w:t>
      </w:r>
    </w:p>
    <w:p>
      <w:r>
        <w:t>52. In the offer analysis report dated June 25, 2008 (references 274 to 276), the project management team in charge of this operation confirms the project owner's analysis: "(...) the company did not provide a precise schedule regarding its intervention. It specifies in its offer that it can comply with the schedule except for week 52 (company closed)...the technical memorandum of the company does not indicate any specifics regarding access, construction site installations, materials...the company did not fully respond to the requests made which may prove a lack of seriousness in its study (...)" (reference 278). Ultimately, the project management, according to the defined analysis criteria, awarded a technical score of 11/12 to the offer from Eiffage Construction Roussillon and 6/12 to the offer from Vilmor Construction.</w:t>
      </w:r>
    </w:p>
    <w:p>
      <w:r>
        <w:t>53. Questioned on this subject by the Authority's services on December 7, 2011, the manager of Vilmor Construction explained that, "on this watchtower reconstruction contract, we had a lot of technical questions and changes requested by the project management, and ultimately, this file turned out to be quite technically difficult and at one point, we had to stop at a definitive offer in technical terms and in terms of price because we no longer had the time to respond to the repeated requests of the project management. This partly explains the lower value of our offer in technical terms, compared to that of Eiffage which has more means to respond to these requests" (references 1137 to 1141).</w:t>
      </w:r>
    </w:p>
    <w:p>
      <w:r>
        <w:t>3. THE CONDITIONS FOR RENTING A LAND NEAR THE PENITENTIARY CENTER</w:t>
        <w:br/>
        <w:t>54. As mentioned above, the contract in question presented a specificity regarding the installation of the necessary equipment for its realization. The project owner proposed, in the CCTP 01 included in the DCE, two solutions, either the rental of part of the neighboring land adjacent to the penitentiary center (solution A), or the installation of the site.</w:t>
      </w:r>
    </w:p>
    <w:p>
      <w:r>
        <w:rPr>
          <w:b/>
        </w:rPr>
        <w:t>[Pages 19–21]</w:t>
      </w:r>
    </w:p>
    <w:p>
      <w:r>
        <w:t>sur the footprint of the penitentiary establishment which would allow for bypassing the rental but would make the execution of the works more complex (solution B).</w:t>
      </w:r>
    </w:p>
    <w:p>
      <w:r>
        <w:t>55. The CCTP 01 clearly indicates that the project owner preferred solution A, although this was not mandatory. The CCTP 01 also contains the financial proposal from the landowner: "solution A, RENTAL OF THE NEIGHBORING LAND, involves renting part of the neighboring land (proposal from the landowner of 5,500 euros excluding VAT for land loan to be borne by the company (...)” (references 128 to 194).</w:t>
      </w:r>
    </w:p>
    <w:p>
      <w:r>
        <w:t>56. As mentioned earlier, this amount of 5,500 euros excluding VAT results from a prior agreement between the DRSP of Toulouse and the manager of Vilmor Construction, as evidenced by his email to the deputy technical director of the heritage and building department of the DRSP of Toulouse dated April 1, 2008: “access to the site via our parcel was set at 5,500 euros excluding VAT in case another company would carry out the structural work, and this for the duration of the site” (reference 374).</w:t>
      </w:r>
    </w:p>
    <w:p>
      <w:r>
        <w:t>57. The two companies that submitted an offer retained this solution. Eiffage Construction Roussillon mentions in its CDPGF at item 1.9.2.5.1 “chosen solution: rental of the neighboring land at the price of 5,500 euros.” For its part, Vilmor Construction specifies in its CDPGF at item 1.9.2.5.1 “Solution rental of the neighboring land” without indicating an amount.</w:t>
      </w:r>
    </w:p>
    <w:p>
      <w:r>
        <w:t>58. The financial conditions stated in the offer from Eiffage Construction Roussillon regarding this land rental correspond both to the amount announced in the CCTP 01 transmitted by the project owner, namely 5,500 euros excluding VAT for a rental of 7 months, to that mentioned in the aforementioned email, and to that appearing in the studies of Eiffage Construction Roussillon dated May 23 and June 9, 2008, the day of the internal offer closure, under the same code (references 711 and 725).</w:t>
      </w:r>
    </w:p>
    <w:p>
      <w:r>
        <w:t>59. Similarly, the project manager of SESO, who was still interested in the public contract in question, confirmed during his hearing by the DGCCRF on December 4, 2008, that, “regarding the installation and access to the site, we had retained in our offer the use of the neighboring land as proposed as a solution in the consultation. I had the opportunity to meet the landowner to confirm that the amount communicated by the DRSP for the rental of the land was indeed the one that would be applied, namely 5,500 euros as provided in the CCTP. We met Mr. V. who confirmed this amount to us” (references 834 and 835).</w:t>
      </w:r>
    </w:p>
    <w:p>
      <w:r>
        <w:t>60. Until the submission of the offers, the rental price of the land belonging to SCI BCV was set at 5,500 euros excluding VAT for a duration of 7 months of rental. However, the contract in the form of a civil lease concluded between Eiffage Construction Roussillon, holder of lot No. 1, and SCI BCV, owner of this land, states a flat rent of 17,000 euros excluding VAT and, for occupation beyond May 30, 2009, a monthly amount excluding VAT of 1,890 euros (references 363 to 373).</w:t>
      </w:r>
    </w:p>
    <w:p>
      <w:r>
        <w:t>61. It is indeed stipulated in the civil lease that it “is granted for the duration of the site, namely 9 months from September 1, 2008. Beyond the aforementioned 9-month period, the lease will continue by tacit renewal from month to month, unless notice is given by one of the parties, one full month in advance…” and that “this rental is granted and accepted for a flat rent of 17,000.00 euros excluding VAT (...). Beyond May 30, 2009, the lease will continue by tacit renewal from month to month with a payment due at the beginning of each month and for a monthly amount excluding VAT of 1,890.00 euros” (references 364 to 368).</w:t>
      </w:r>
    </w:p>
    <w:p>
      <w:r>
        <w:t>62. Since the works lasted 7 months, the rental thus resulted in a payment of 17,000 euros excluding VAT by Eiffage Construction Roussillon to the benefit of SCI BCV, instead of the 5,500 euros excluding VAT initially planned, both by the project owner and by the manager of Vilmor Construction.</w:t>
      </w:r>
    </w:p>
    <w:p>
      <w:r>
        <w:t>63. The estimated amount from SCI BCV communicated to the project owner and initially to Eiffage Construction Roussillon before the submission of its offer, namely 5,500 euros excluding VAT for the rental of the land, was thus multiplied by 3 without, a priori, the conditions of the land rental having been modified.</w:t>
      </w:r>
    </w:p>
    <w:p>
      <w:r>
        <w:t>64. Regarding this price difference between the amount indicated in the CCTP (5,500 euros excluding VAT) and the amount of the civil lease (17,000 euros excluding VAT), the director of Eiffage Construction Roussillon since August 2008 stated during his hearing by the DGCCRF agents on December 4, 2008: “I cannot provide you with more information on the subject but I noted, as you did, the prohibitive amount of the land rental to the company Vilmor. This is very expensive.” On December 16, 2008, he specified: “To complete my statement of December 4, I confirm that the price is high but in any case, technically we had no other solution than to take this land” (references 544 to 548).</w:t>
      </w:r>
    </w:p>
    <w:p>
      <w:r>
        <w:t>65. The site manager at Eiffage Construction Roussillon stated during his hearing by the DGCCRF on December 16, 2008, that he had “(...) discovered the file in early July 2008 and during a meeting in Toulouse at the project manager's office, the project owner expressed concern about whether we had done what was necessary to set up the land rental lease. At the end of the meeting, I asked Mr. C., who was present, what should be done regarding this land; he asked me to establish the lease based on 17,000 euros excluding VAT; this information was then supplemented by a diagram and orally by Mr. C.” (references 555 to 558).</w:t>
      </w:r>
    </w:p>
    <w:p>
      <w:r>
        <w:t>66. When questioned on this point by the DGCCRF on December 10, 2008, Mr. G. C. stated: “(...) I contacted Mr. V. to tell him that I needed to rent this land and to find out if he confirmed the rental price mentioned in the file, namely 5,500 euros. He told me that the 5,500 euros was the price he had indicated to the penitentiary services but that he was not entirely satisfied with this amount and that he was considering asking for a higher amount. (...) This contact must have occurred in the second half of May 2008. It was a meeting that took place in our offices in Perpignan. (...) So, during the contact we had regarding the land, I told him that in this contract there was also sawing and that I would consult him, he seemed interested. (...) This new discussion took place at the end of June 2008 or the beginning of July 2008. (...) On this occasion, Mr. V. confirmed to me what he had previously informed me, namely that he did not respect the amount of 5,500 euros and that he demanded a much higher amount. He justified this change by the fact that he had not obtained the reconstruction contract, a contract for which he had incurred significant study costs. (...) We negotiated. I emphasized my need for additional space compared to the initial contract. I also pointed out that I wanted an additional time frame because the client's deadline seemed a bit difficult to meet and finally I was able to obtain that I would leave the land to him at the end of the site in its current state and not returned to its original condition. In exchange for this, I had to concede an amount of 17,000 euros for the rental. I was the one who led this negotiation. The additional surface is, to my recollection, 40 to 50% larger than the initially planned surface. The rental envisaged by the project owner was for 7 months and we needed 9 months. If we had given up the land rental, the cost incurred would have been disproportionate compared to the additional rental cost demanded by Mr. V.” (references 788 to 790).</w:t>
      </w:r>
    </w:p>
    <w:p>
      <w:r>
        <w:t>67. When questioned again on this point by the Authority's services on December 5, 2011, he confirmed that, “the land rental was planned in the file and valued at 5,500 euros. Upon reading the specifications, the rental price did not appear as a firm commitment because it was not the project owner who was renting. It was an indicative value and we would have preferred the client to rent this land and make it available to the contractor, which was not the case. (...) Once awarded the contract, I learned that Mr. V. was the owner of the land. (...) I contacted Mr. V. who then informed me that he was my competitor in the reconstruction of the watchtowers market, and he specified that he did not agree at all with the initially planned rent of 5,500 euros. I tried to negotiate but there was no reasonable alternative solution. In a way, we were tied hand and foot. I do not really remember contacting the project owner to complain about this situation (...). During the discussion with Mr. V., I strongly complained about the proposed rental level but Mr. V. was inflexible on the amount, which ultimately represents an increase of more than 300% of the initial rent. Initially, Mr. V. had announced a figure of 20,000 euros and I was able to bring it down after tough discussions to 17,000 euros. In exchange, I obtained gains on the duration and on the surface, the latter had seemed a bit small as presented in the specifications (...)” (references 1112 to 1117).</w:t>
      </w:r>
    </w:p>
    <w:p>
      <w:r>
        <w:t>68. Mr. G. C. explained that he obtained compensations, namely the extension of the rental duration from 7 to 9 months, to anticipate potential overruns, the extension of the available surface, and finally the restoration of the land at the end of the site.</w:t>
      </w:r>
    </w:p>
    <w:p>
      <w:r>
        <w:t>69. When questioned about this on December 4, 2008, the manager of Vilmor Construction stated that, “Eiffage got the contract and contacted me to rent the parcel. For the land rental, I had indicated a valuation of 5,500 euros for its use to Mr. S., head of the penitentiary services. 5,500 euros corresponded to the rental if I had the site in mind. When Eiffage got the contract, their installation project on my land was much larger than originally planned (500m2)” (references 840 to 845).</w:t>
      </w:r>
    </w:p>
    <w:p>
      <w:r>
        <w:t>70. Then, during his hearing by the Authority's services on December 7, 2011, he specified that “(...) the project owner contacted me to ask if I could foresee a rental for this land that belongs to me. During this discussion, we did not agree on a rental price. You present me with an email that I sent to Mr. S. on April 1, 2008 where I mention an agreement on a price of 5,500 euros: I did not remember, but indeed we had agreed on a rental price. After the award of the contract, Eiffage (...) contacted me to conclude the lease: but Eiffage was asking me for double or triple the space to install the site. At that moment, we had to carry out a rental verification. When we received Eiffage's plans, we realized that the requested surface did not correspond to that provided in the specifications, so we increased the rental cost to take this new request into account. I do not remember the extent of this increase. You tell me that the price went to 17,000 euros: that seems a lot to me, but at the same time I was in a position of strength” (references 1137 to 1141).</w:t>
      </w:r>
    </w:p>
    <w:p>
      <w:r>
        <w:t>71. For his part, the deputy head of the heritage and building department of the DRSP of Toulouse, after having submitted to the DGCCRF, on March 5, 2009, the copies of...</w:t>
      </w:r>
    </w:p>
    <w:p>
      <w:r>
        <w:rPr>
          <w:b/>
        </w:rPr>
        <w:t>[Pages 22–24]</w:t>
      </w:r>
    </w:p>
    <w:p>
      <w:r>
        <w:t>plans attached to the DCE, recalled that “[t]hese plans, attached to the consultation file for companies, were indeed communicated to the three candidates selected for lot no. 1, but no indication of surface area related to the footprint of the construction facilities was specified to them. (…) After being awarded lot no. 1, the company Eiffage Construction Roussillon entered into a civil lease with SCI BCV, which includes in annex no. 2 a plan on which the footprint and location of the leased property are represented schematically in shaded tones. The comparison of this plan with the one provided to the candidates reveals an extension of the leased area that corresponds to the shaded part that is located beyond the initially planned limit, which stopped at the CVL parking and the restrooms. On the plan, this extension represents approximately 30% of the total leased area. However, having dealt with Mr. V. regarding the provision of this land, I consider that the footprint transcribed in the civil lease corresponds, in volume, to what was initially agreed upon and for which we had set a rent of 5,500 euros with the owner. It is true that the plan developed by the project management and provided to the candidates is rather restrictive compared to what had been agreed. I add that no new requirement from the project owner has been formulated that would justify an extension of the footprint that we had initially planned.”</w:t>
      </w:r>
    </w:p>
    <w:p>
      <w:r>
        <w:t>72. He adds that “[a]t no time did the tenant of the land (Eiffage Construction Roussillon) or the lessor (SCI BCV, Mr. V.) inform the DRSP of difficulties related to the compliance with the agreements we had concluded and transcribed in the specifications. I became aware of this lease and the modifications it revealed (particularly regarding the amount of rent) by chance, during a meeting with the Eiffage company, while I was concerned about whether the bases of the agreement regarding the land made available had been properly transcribed into a lease. When I asked about the reasons why the rental amount had been so significantly increased, the operational technicians from Eiffage replied that this amount had been negotiated by their management and that they were unaware of the reasons (…)” (references 419 to 421).</w:t>
      </w:r>
    </w:p>
    <w:p>
      <w:r>
        <w:t>73. Regarding the duration of the lease, he stated: “(…) the other modification of the agreement we had made with SCI BCV concerns the duration of the lease, which was extended to 9 months while the total duration of the construction as provided in the CCTP was 7 months (2 weeks of preparation, 6 months of work, and 2 weeks of dismantling). I note that this operation is about to be completed and that the construction reports indicate that the dismantling will take place around March 23 or 27, 2009, and that the area will be vacated by April 1, 2009. The actual occupation of the land, which began on September 1, 2008, and ended on April 1, 2009, will therefore have been 7 months as initially planned in our file (…)” (references 419 to 421).</w:t>
      </w:r>
    </w:p>
    <w:p>
      <w:r>
        <w:t>74. Finally, during his hearing by the Authority's services on October 26, 2011, this official confirmed that “Eiffage leveraged the 30% increase in area to justify the increase: in reality, this makes no sense because they ultimately had access to the entire area of the land without limit during the execution of the works” (references 1023 to 1026). He concludes that “in any case, for me, nothing justifies this significant increase in rent (…) moreover, we had proposed 7 months of work while the lease ultimately concluded concerned 9 months of rental; I raised this point with them, and the construction was completed in 7 months as initially planned” (references 1023 to 1026). The actual duration of the works was indeed 7 months as initially provided in the specifications.</w:t>
      </w:r>
    </w:p>
    <w:p>
      <w:r>
        <w:t>E. THE NOTIFIED GRIEVANCE</w:t>
        <w:br/>
        <w:t>75. On March 30, 2012, the general rapporteur of the Authority notified the following grievance: “It is alleged against SAS Eiffage Construction Languedoc Roussillon, SAS Fougerolle, SAS Eiffage Construction, and Eiffage SA, as well as EURL Vilmor Construction, that they, since a time not covered by the statute of limitations, exchanged information about their offers before June 11, 2008, the date of receipt of the offers by the project owner, regarding the awarding of the contract for the reconstruction of the watchtowers of the Perpignan penitentiary center by the Regional Directorate of Penitentiary Services of Toulouse, resulting in misleading the project owner about the reality and extent of competition in the market, a practice contrary to the provisions of Article L. 420-1, particularly 2° and 4° of the Commercial Code, prohibiting anti-competitive agreements.”</w:t>
      </w:r>
    </w:p>
    <w:p>
      <w:r>
        <w:t>II. Discussion</w:t>
        <w:br/>
        <w:t>A. ON THE PROCEDURE</w:t>
        <w:br/>
        <w:t>76. The company Vilmor Construction considers that the procedure initiated against it is irregular for violation of the provisions of Articles L. 463-1 and 2 and L. 622-23 of the Commercial Code. It reproaches the Authority for not having notified its judicial administrator and its judicial representative of the notification of grievances and the subsequent report. The irregularity of the procedure would also stem from the fact that the judicial representative is not a party to the procedure and from the insufficient time elapsed between the initial date of the hearing and its postponement to January 30, 2013, which would not have allowed the judicial administrator to review the file.</w:t>
      </w:r>
    </w:p>
    <w:p>
      <w:r>
        <w:t>77. However, it clearly follows from Article L. 463-2 of the Commercial Code that: “The companies receiving the grievances must promptly inform the rapporteur in charge of the file, at any time during the investigation procedure, of any modification of their legal situation that may alter the conditions under which they are represented or under which the grievances may be attributed to them. They cannot invoke this if they have not provided this information.”</w:t>
      </w:r>
    </w:p>
    <w:p>
      <w:r>
        <w:t>78. In this case, Vilmor Construction is inadmissible in claiming an irregularity of the procedure against it as it did not at any time inform the rapporteur of its judicial recovery pronounced by the Commercial Court of Perpignan on June 27, 2012, a date that was nonetheless prior to the date on which the rapporteur sent her report on September 18, 2012 (see, by analogy, judgment of the Paris Court of Appeal of October 11, 2012, Entreprise H. Chevalier Nord et al., 2011/03298, page 26).</w:t>
      </w:r>
    </w:p>
    <w:p>
      <w:r>
        <w:t>79. It should also be noted that the manager of Vilmor Construction was expressly reminded of this legal obligation in the letter accompanying the notification of grievances (reference 1624).</w:t>
      </w:r>
    </w:p>
    <w:p>
      <w:r>
        <w:t>80. Furthermore, the representative of Vilmor Construction himself acknowledges, in his observations dated January 21, 2013, the lack of diligence of his client in this regard in the following terms: “It cannot be disputed that the company Vilmor Construction did not inform the judicial administrator nor, it seems, the judicial representative designated by the Tribunal, of the existence of a pending procedure before the Competition Authority” (reference 2547).</w:t>
      </w:r>
    </w:p>
    <w:p>
      <w:r>
        <w:t>B. ON THE GRIEVANCE</w:t>
        <w:br/>
        <w:t>1. THE APPLICABLE LAW</w:t>
        <w:br/>
        <w:t>81. In the matter of public or private contracts awarded through a call for tenders, a collusion between competing companies, contrary to Article L. 420-1 of the Commercial Code, is established as soon as proof is provided, either that they agreed to coordinate their offers, or that they exchanged information prior to the date when the result of the call for tenders is known or can be known, in order to escape the principle of the independence of offers and distort the play of free competition (judgments of the Paris Court of Appeal of November 18, 2003, SAS Signaux Laporte et al., BOCCRF no. 2004-02 and of December 18, 2001, SA Bajus Transports et al., BOCCRF no. 2002-03).</w:t>
      </w:r>
    </w:p>
    <w:p>
      <w:r>
        <w:t>82. Exchanges of information regarding the existence of competitors, their names, their importance, their availability in personnel or equipment, their interest or lack of interest in the market in question, or the prices they intend to propose, thus alter the free play of competition by limiting the independence of offers (see the decisions of the Council no. 06-D-08 of March 24, 2006, regarding practices implemented in the context of public contracts for the construction of three colleges in the Hérault department, no. 08-D-33 of December 16, 2008, regarding practices implemented during calls for tenders from the city of Annecy and the general council of Haute-Savoie for coach transport, and no. 09-D-03 of January 21, 2009, regarding practices implemented in the field of school and intercity transport by coach in the Pyrénées-Orientales department, confirmed by the judgments of the Paris Court of Appeal of October 23, 2007, SNC Eiffage Construction Languedoc, 2006/07494, of November 3, 2009, Compagnie française de transport interurbain, 2009/01024, and of January 5, 2010, Ponsarty SARL et al., 2009/02679).</w:t>
      </w:r>
    </w:p>
    <w:p>
      <w:r>
        <w:t>83. The proof of the prior nature of the collusion in relation to the submission of the offer can be deduced, in the absence of a certain date affixed to a document, from the analysis of its content and the comparison of it with extrinsic elements, particularly with the results of the calls for tenders (judgment of the Paris Court of Appeal of April 2, 1996, société Pro Gec SA, BOCCRF of May 15, 1996).</w:t>
      </w:r>
    </w:p>
    <w:p>
      <w:r>
        <w:t>84. More generally, it can result from a set of indices constituted by the comparison of various elements, even if each of them does not, taken in isolation, have a sufficiently probative character (judgment of the Paris Court of Appeal of September 16, 2010, société Raffalli &amp; Cie, SARL, 2009/24813, p. 7). As the Court of Cassation recalled in a judgment of December 8, 1992, Etablissements Phibor (no. 1894), “it is less the intrinsic value of each index taken in isolation that is decisive than the persuasive force that arises, at the end of the adversarial debate, from the gathering of all the indices.”</w:t>
      </w:r>
    </w:p>
    <w:p>
      <w:r>
        <w:t>85. Furthermore, a document regularly seized, regardless of the location where it was seized, is enforceable against the company that drafted it, against the one that received it, and against those mentioned therein, and can be used as evidence by comparison with other</w:t>
      </w:r>
    </w:p>
    <w:p>
      <w:r>
        <w:rPr>
          <w:b/>
        </w:rPr>
        <w:t>[Pages 25–27]</w:t>
      </w:r>
    </w:p>
    <w:p>
      <w:r>
        <w:t>indices consistent, of a consultation or an exchange of information between companies (judgment Bajus transports, cited above).</w:t>
      </w:r>
    </w:p>
    <w:p>
      <w:r>
        <w:t>2. IN THIS CASE</w:t>
        <w:br/>
        <w:t>86. The examination of the practices identified will first lead the Authority to analyze the content of the documents exchanged in the context of the call for tenders, which reveals an exchange of information between the companies involved prior to the submission of bids (a). This exchange of information is confirmed both by the analysis of Vilmor Construction's bid, which constitutes a cover bid (b), and by an extrinsic element, namely the conditions for renting the land necessary for carrying out the works within the penitentiary center (c).</w:t>
      </w:r>
    </w:p>
    <w:p>
      <w:r>
        <w:t>a) On the similarities between the CDPGF of Vilmor Construction and that of Eiffage Construction Roussillon</w:t>
        <w:br/>
        <w:t>87. The companies of the Eiffage group do not contest the similarities observed between the two CDPGF submitted to the project owner nor the fact that these similarities arise from the exchange of a document between the two companies. On the other hand, they argue that these elements are not sufficient to characterize an exchange of information contrary to Article L. 420-1 of the Commercial Code, given the differences characterizing the two CDPGF on one hand, and the explanations that could, according to them, justify the presence of the name Eiffage Construction Roussillon at the bottom of the CDPGF of Vilmor Construction, on the other hand.</w:t>
      </w:r>
    </w:p>
    <w:p>
      <w:r>
        <w:t>88. These arguments will be examined within the framework of the analysis of the identified practices, which will generally address the similarities identified between the CDPGF, and then the specific question of the mention "Eiffage Construction Roussillon" on the CDPGF of Vilmor Construction.</w:t>
      </w:r>
    </w:p>
    <w:p>
      <w:r>
        <w:t>On the similarities identified between the CDPGF of the two companies</w:t>
        <w:br/>
        <w:t>89. While it is not impossible that bids submitted by competing companies in the context of a public contract may, to some extent, contain similar typographical elements, particularly when the project owner transmits a predefined framework, it is, in this case, not credible to consider that this would explain the strict identity of multiple typographical elements, punctuation, or layout characterizing the CDPGF of two competing companies, especially when these similarities deviate from the original framework transmitted by the project owner.</w:t>
      </w:r>
    </w:p>
    <w:p>
      <w:r>
        <w:t>90. On the contrary, the fact that the CDPGF of the two companies present such similarities in many places, on one hand, and that the CDPGF of Vilmor Construction submitted to the project owner contains at the bottom of the page the mention "Eiffage Construction Roussillon," on the other hand, supports the idea that Vilmor Construction and Eiffage Construction Roussillon exchanged sensitive commercial information prior to the submission of their bids, a practice prohibited by Article L. 420-1 of the Commercial Code.</w:t>
      </w:r>
    </w:p>
    <w:p>
      <w:r>
        <w:t>91. Furthermore, contrary to what the companies of the Eiffage group argue, it is not necessary for the bids to be strictly identical in terms of price for the Authority to recognize the existence of a consultation between them.</w:t>
      </w:r>
    </w:p>
    <w:p>
      <w:r>
        <w:t>On the mention "Eiffage Construction Roussillon" on the CDPGF of Vilmor Construction</w:t>
        <w:br/>
        <w:t>92. The companies of the Eiffage group involved have put forward two explanations to justify the presence of the name Eiffage Construction Roussillon at the bottom of the CDPGF of Vilmor Construction, which would essentially result from the sole negligence of Vilmor Construction.</w:t>
      </w:r>
    </w:p>
    <w:p>
      <w:r>
        <w:t>93. It should then be noted that none of the alternative explanations put forward by Eiffage Construction Roussillon can be retained.</w:t>
      </w:r>
    </w:p>
    <w:p>
      <w:r>
        <w:t>94. Firstly, the hypothesis based on the reuse by Vilmor Construction of a file that would have been sent to it by Eiffage Construction Roussillon in the context of a potential subcontracting project does not appear serious. Indeed, while Vilmor Construction and Sud Démolition were informally consulted by Eiffage Construction Roussillon during the study phase regarding subcontracting, it is demonstrated, without Eiffage Construction Roussillon providing contrary evidence, that these two companies were never recipients, unlike other consulted companies, of a transfer file containing the CDPGF of Eiffage Construction Roussillon. Furthermore, it is established that the CDPGF sent to the companies consulted for subcontracting was the one provided in its original version by the project owner, and not a modified CDPGF containing the mention "Eiffage Construction Roussillon."</w:t>
      </w:r>
    </w:p>
    <w:p>
      <w:r>
        <w:t>95. In any case, it results from a consistent decision-making practice of the Authority that, when several companies have considered the possibility of establishing links between them as contractor and subcontractor in the context of a contract and then submit distinct bids while refraining from mentioning that they exchanged information, such behaviors are prohibited by Article L. 420-1 of the Commercial Code insofar as they distort the competitive process by limiting the independence of operators in their decisions and tend to mislead the project owner about the reality and extent of its choices (see decisions No. 05-D-17 of April 27, 2005, regarding the competitive situation in the sector of road works contracts in Côte d’Or, paragraph 62, and No. 07-D-47 of December 18, 2007, regarding practices identified in the sector of equipment for air navigation, paragraph 197).</w:t>
      </w:r>
    </w:p>
    <w:p>
      <w:r>
        <w:t>96. In this case, aside from the fact that the existence of a subcontracting project between the companies involved is not demonstrated, the two companies did not at any time inform the project owner of the existence of these potential discussions or the exchanges of information that resulted from them.</w:t>
      </w:r>
    </w:p>
    <w:p>
      <w:r>
        <w:t>97. Secondly, the manager of Vilmor Construction mentioned the possibility of negligence on the part of his secretary, who would have mistakenly reused a price breakdown framework to respond to the "Demolition" lot in the context of a private call for tenders launched in 2007 by the company Icade concerning the construction of the "Clémenceau parking" in Perpignan, for which Sud Démolition had been entrusted with the subcontracting by Eiffage Construction Roussillon.</w:t>
      </w:r>
    </w:p>
    <w:p>
      <w:r>
        <w:t>98. However, this hypothesis is contradicted by the examination of the documents in the file. Indeed, the CDPGF used by Eiffage Construction Roussillon for the "Clémenceau parking" contract differs from the CDPGF used for the watchtower contract and cannot have served as a working basis for the bid of Vilmor Construction (references 1539 and 1540). In this regard, Eiffage Construction Roussillon provided the Authority's services with the quote provided by Sud Démolition in the context of said subcontracting established from the CDPGF in question. This is not comparable to the framework of decomposition subsequently used for the watchtower market (references 1541 to 1542).</w:t>
      </w:r>
    </w:p>
    <w:p>
      <w:r>
        <w:t>99. Finally, it should be noted that, even assuming it is established that one of the parties acted without the intention to restrict competition, such a circumstance is not relevant for the purposes of applying Article L. 420-1 of the Commercial Code. Indeed, the notion of an anti-competitive agreement by object applies regardless of whether the parties to the practice intended, or were even aware, that they were violating competition rules (judgment of the Paris Court of Appeal of December 18, 2007, Transeuro Desbordes Worldwide Relocations et al., 2008/02003, page 11, appeal not admitted by a judgment of the Court of Cassation of April 7, 2010, AGS Paris et al., appeal No. C 09-13.838).</w:t>
      </w:r>
    </w:p>
    <w:p>
      <w:r>
        <w:t>Conclusion</w:t>
        <w:br/>
        <w:t>100. The similarities identified between the CDPGF of Vilmor Construction and that of Eiffage Construction Roussillon, on one hand, and the mention "Eiffage Construction Roussillon" at the bottom of the page of the CDPGF of Vilmor Construction, on the other hand, constitute, in this case, a serious indication of an anti-competitive exchange of information that occurred between these two competing companies before the submission of their bids.</w:t>
      </w:r>
    </w:p>
    <w:p>
      <w:r>
        <w:t>101. The proof of the prior existence of the consultation relative to the submission of the bids can also be deduced from the analysis of their content, which will be discussed below.</w:t>
      </w:r>
    </w:p>
    <w:p>
      <w:r>
        <w:t>b) On the lesser quality of the bid of Vilmor Construction</w:t>
        <w:br/>
        <w:t>102. The companies of the Eiffage group argue that Vilmor Construction was not sufficiently specialized in the reconstruction of watchtowers, given the technical requirements needed for a secure site to obtain the contract, which would also explain its willingness to resort to subcontracting for technical areas such as specific formwork.</w:t>
      </w:r>
    </w:p>
    <w:p>
      <w:r>
        <w:t>103. They also allege that, even if Vilmor Construction had chosen to submit a principle bid, this would not, in itself, constitute proof of a consultation with Eiffage Construction Roussillon.</w:t>
      </w:r>
    </w:p>
    <w:p>
      <w:r>
        <w:t>104. In its decision No. 95-D-17 of February 21, 1995, regarding practices observed during forestry and hydraulic works contracts in the Bouches-du-Rhône department, the Competition Council recalled that, "while the fact that a company unilaterally submits a principle bid known as a 'business card' bid does not in itself constitute an anti-competitive practice, it does constitute such a practice to consult with one or more competing companies to present such a bid" (see also decision No. 01-D-67 of October 19, 2001, regarding practices identified during the awarding of public road works contracts in the Bouches-du-Rhône department).</w:t>
      </w:r>
    </w:p>
    <w:p>
      <w:r>
        <w:t>105. In this case, Vilmor Construction was already known to the project owner, as acknowledged by its manager during the investigation: "this call for tenders interested me because I had an adjacent plot of land and I had previous relationships with the penitentiary services" (references 1136 to 1141). Therefore, Vilmor Construction did not need to make a so-called "business card" bid to make itself known to the project owner.</w:t>
      </w:r>
    </w:p>
    <w:p>
      <w:r>
        <w:rPr>
          <w:b/>
        </w:rPr>
        <w:t>[Pages 28–30]</w:t>
      </w:r>
    </w:p>
    <w:p>
      <w:r>
        <w:t>106. Furthermore, the argument put forward by Eiffage Construction Roussillon that Vilmor Construction was not specialized enough to present a serious technical offer is ineffective, as such an assessment falls solely within the purview of the project owner through the selection procedure. Moreover, the analysis report of the applications established by the DRSP of Toulouse, dated April 11, 2008, notes that: "conclusion of lot no. 1: the 3 candidates possess the required qualifications. They also have significant and sufficient references related to secured sites and works of equivalent technicality (currently being obtained for Vilmor)" (reference 63). It cannot therefore be considered that there is a lack of qualification and expertise on the part of Vilmor Construction that could explain the inferior quality of its offer.</w:t>
      </w:r>
    </w:p>
    <w:p>
      <w:r>
        <w:t>107. In fact, the existence of a cover offer from Vilmor Construction is the only credible interpretation in light, in particular, of the conditions for renting the land adjacent to the penitentiary center, which are analyzed below.</w:t>
      </w:r>
    </w:p>
    <w:p>
      <w:r>
        <w:t>c) On the conditions for renting the land adjacent to the penitentiary center</w:t>
      </w:r>
    </w:p>
    <w:p>
      <w:r>
        <w:t>108. It is established that, within the framework of the public contract in question, the DRSP of Toulouse considered that access to and the execution of the works made it necessary to have land adjacent to the penitentiary center. To this end, a principle agreement was reached between the DRSP of Toulouse and the SCI BCV, owner of adjacent land to the penitentiary establishment. It is undisputed that the negotiations regarding the rental of the land owned by SCI BCV were conducted through the manager of Vilmor Construction. As the owner of the land, SCI BCV was free to set the amount of its choice, knowing the necessity of having access to carry out the works.</w:t>
      </w:r>
    </w:p>
    <w:p>
      <w:r>
        <w:t>109. A principle agreement was found between the DRSP of Toulouse and Mr. V. based on a flat rate amount of 5,500 euros excluding tax for the estimated duration of the construction of 7 months, as evidenced by the email sent by Mr. V. to the project owner, which is mentioned in paragraph 27 above. Eiffage Construction Roussillon indeed retained this amount in its CDPGF (see paragraph 57 above).</w:t>
      </w:r>
    </w:p>
    <w:p>
      <w:r>
        <w:t>110. However, the lease contract concluded between SCI BCV and Eiffage Construction Roussillon, after the award of the contract, provided for the rental of the land for a flat rate amount of 17,000 euros excluding tax for a duration of 9 months (see paragraph 60 above), which, in addition to the documentary evidence discussed above, corroborates the idea that the latter agreed to leave the watchtower market of the penitentiary center of Perpignan to Eiffage Construction Roussillon in exchange for financial compensation paid to SCI BCV managed by the manager of Vilmor Construction in the form of an increase in the amount of the rent for the land adjacent to the site.</w:t>
      </w:r>
    </w:p>
    <w:p>
      <w:r>
        <w:t>111. None of the other arguments put forward by the defendants are capable of challenging this assessment.</w:t>
      </w:r>
    </w:p>
    <w:p>
      <w:r>
        <w:t>112. Firstly, the companies of the Eiffage group argue that, when the contract was awarded to Eiffage Construction Roussillon, the SCI BCV, owner of the land, found itself in a position of strength since the amount initially proposed to the project owner had not been the subject of a lease contract that would have bound it to them. This situation, which is detrimental to Eiffage Construction Roussillon, would have been merely the consequence of the project owner's choice to leave the landowner free of any contractual commitment. In this regard, the reassessment of the rental price of the land after the award of a contract would testify to the absence of any agreement between Vilmor Construction and Eiffage Construction Roussillon.</w:t>
      </w:r>
    </w:p>
    <w:p>
      <w:r>
        <w:t>113. Secondly, the increase in the rent for the land would be explained by objective circumstances known to the project owner, namely the use of a larger piece of land than initially envisaged over a longer period, as well as the return of the land in its original state. They recall that the landowner, who is also the manager of Vilmor Construction, himself explained that he had increased his rental proposal to cover the study costs he had incurred in the context of the public contract in question. Indeed, to justify this increase in the rental price, Eiffage Construction Roussillon considers that it reflects the acquisition of a larger area (of the order of 40% to 50%) and an extension of 2 months of the rental duration of the land. Questioned during the investigation, the manager of Vilmor Construction provided the same justification, as evidenced by his statements transcribed in paragraph 69 above.</w:t>
      </w:r>
    </w:p>
    <w:p>
      <w:r>
        <w:t>114. However, the Authority notes that the project owner considered, based on the two versions of plans attached to the consultation file of Eiffage Construction Roussillon, that "the comparison of this plan with the one provided to the candidates shows an extension of the rented area (...) this extension represents approximately 30% of the total rented area" (references 419 to 421). Furthermore, questioned by the Authority's services on October 26, 2011, he specified: "Eiffage played on the 30% increase in area to justify the increase: in reality, this makes no sense because they ultimately had access to the entire area of the land without limit during the execution of the works" (references 1023 to 1026). He also confirmed that he had never been informed by the managers of Eiffage Construction Roussillon or those of SCI BCV of any difficulties related to the principle agreement on the rental of the land as stated in the specifications.</w:t>
      </w:r>
    </w:p>
    <w:p>
      <w:r>
        <w:t>115. A prudent economic operator would not have accepted a 300% increase in rent for a 30% increase in the area of the land without this significant modification of the terms of the civil lease eliciting any reaction from the company's managers to the project owner. This is all the more true since the additional rent demanded by the manager of Vilmor Construction from Eiffage Construction Roussillon amounts to an additional cost of 11,500 euros, a cost that necessarily reduced the margin achieved by Eiffage Construction Roussillon on this tender of 660,000 euros excluding tax (won based on an offer of 628,407 euros excluding tax).</w:t>
      </w:r>
    </w:p>
    <w:p>
      <w:r>
        <w:t>116. The defendants allege that they had no choice but to accept this modification of the rental price of the land adjacent to the penitentiary center since the manager of Vilmor Construction would have himself acknowledged having unilaterally reassessed this price to cover the study costs incurred during the preparation of Vilmor Construction's offer.</w:t>
      </w:r>
    </w:p>
    <w:p>
      <w:r>
        <w:t>117. However, no document submitted to the file or any of the statements support this argumentation.</w:t>
      </w:r>
    </w:p>
    <w:p>
      <w:r>
        <w:t>118. Therefore, the very significant increase in the rental price of the land owned by SCI BCV, one of the partners of which is none other than the manager of Vilmor Construction, appears devoid of any credible technical or economic justification, and is analyzed as financial compensation granted to SCI BCV within the framework of a concerted practice between Vilmor Construction and Eiffage Construction Roussillon concerning the award of the public contract in question.</w:t>
      </w:r>
    </w:p>
    <w:p>
      <w:r>
        <w:t>Conclusion</w:t>
      </w:r>
    </w:p>
    <w:p>
      <w:r>
        <w:t>119. In light, on the one hand, of the documents related to the procedure for awarding the contract, which constitute, given the mentions therein, particularly compelling documentary evidence of the existence of an anti-competitive practice between the companies involved and, on the other hand, of the elements noted above regarding the respective behavior of these companies and the context in which the call for tenders occurred, which corroborate the material evidence in the file, it is appropriate to conclude to the existence of a set of serious and consistent indications attesting that the companies Eiffage Construction Roussillon and Vilmor Construction exchanged sensitive commercial information prior to the deadline for submitting offers set by the project owner, in violation of Article L. 420-1 of the Commercial Code.</w:t>
      </w:r>
    </w:p>
    <w:p>
      <w:r>
        <w:t>C. ON THE ATTRIBUTION OF PRACTICES</w:t>
      </w:r>
    </w:p>
    <w:p>
      <w:r>
        <w:t>1. REMINDER OF PRINCIPLES</w:t>
      </w:r>
    </w:p>
    <w:p>
      <w:r>
        <w:t>120. The competition rules, both internal and of the European Union, target infringements committed by companies.</w:t>
      </w:r>
    </w:p>
    <w:p>
      <w:r>
        <w:t>121. The notion of a company and the rules of attribution fall under the material rules of competition law. Although the interpretation given by the courts of the Union is not binding on the national competition authority and the domestic courts when applying Articles L. 420-1 and L. 420-2 of the Commercial Code, the Authority adopts this interpretation to ensure the consistency of its decision-making practice regarding attribution (see decisions no. 11-D-02 of January 26, 2011, concerning practices implemented in the sector of restoration of historical monuments, paragraph 597, and no. 11-D-13 of October 5, 2011, concerning practices identified in the sectors of electrification works and electrical installation in the regions of Midi-Pyrénées, Languedoc-Roussillon, Auvergne, and neighboring areas, paragraph 352).</w:t>
      </w:r>
    </w:p>
    <w:p>
      <w:r>
        <w:t>122. In this regard, both internal and Union courts have clarified that the notion of a company must be understood as designating an economic unit, even if, from a legal point of view, this economic unit is made up of several natural or legal persons (judgments of the Court of Justice of September 10, 2009, Akzo Nobel et al./Commission, C-97/08 P, Rec. 2009 p. I-8237, point 55, of March 29, 2011, ArcelorMittal Luxembourg/Commission and Commission/ArcelorMittal Luxembourg et al., C-201/09 P and C-216/09 P, Rec. 2011 p. I-2239, point 95, of September 29, 2011, Elf Aquitaine/Commission, C-521/09 P, not yet published in the Recueil, point 53, of July 19, 2012, Alliance One International and Standard Commercial Tobacco/Commission, C-628/10 P and C-14/11 P, not yet published in the Recueil, point 42, and of the Paris Court of Appeal of March 29, 2012, Lacroix Signalisation et al., no. 2011/01228, p. 18).</w:t>
      </w:r>
    </w:p>
    <w:p>
      <w:r>
        <w:t>123. It is this economic entity that must, when it infringes competition rules, be held accountable for this infringement, in accordance with the principle of personal responsibility (judgments Akzo Nobel et al./Commission, cited above, point 56, ArcelorMittal Luxembourg/Commission and Commission/ArcelorMittal Luxembourg et al., cited above, point 95, Elf Aquitaine/Commission, cited above, point 53, and Lacroix Signalisation et al.,).</w:t>
      </w:r>
    </w:p>
    <w:p>
      <w:r>
        <w:rPr>
          <w:b/>
        </w:rPr>
        <w:t>[Pages 31–33]</w:t>
      </w:r>
    </w:p>
    <w:p>
      <w:r>
        <w:t>the same economic entity, and therefore, constitute a single undertaking within the meaning of competition law.</w:t>
      </w:r>
    </w:p>
    <w:p>
      <w:r>
        <w:t>141. In this regard, it is important to emphasize that the existence of a commercial policy within the Eiffage group, which covers various areas of activity, indicates that the companies involved operate under a coordinated strategy, even if they are not directly under the same parent company. This coordination is essential for understanding the behavior of the subsidiaries in the context of the anti-competitive practices in question.</w:t>
      </w:r>
    </w:p>
    <w:p>
      <w:r>
        <w:t>142. Furthermore, the evidence presented demonstrates that the subsidiaries, including SAS Eiffage Construction Languedoc Roussillon and SESO, acted in accordance with the directives and policies established at the group level, reinforcing the presumption of a single economic entity.</w:t>
      </w:r>
    </w:p>
    <w:p>
      <w:r>
        <w:t>143. Consequently, the Authority concludes that the actions of SAS Eiffage Construction Languedoc Roussillon can be attributed to its parent company, Eiffage SA, based on the established principles of competition law regarding the attribution of liability within corporate groups.</w:t>
      </w:r>
    </w:p>
    <w:p>
      <w:r>
        <w:t>144. The Authority will therefore hold Eiffage SA jointly liable for the anti-competitive practices carried out by SAS Eiffage Construction Languedoc Roussillon, as the evidence supports the conclusion that the parent company exercised decisive influence over the subsidiary's conduct in the market.</w:t>
      </w:r>
    </w:p>
    <w:p>
      <w:r>
        <w:rPr>
          <w:b/>
        </w:rPr>
        <w:t>[Pages 34–36]</w:t>
      </w:r>
    </w:p>
    <w:p>
      <w:r>
        <w:t>une unité économique unique au sens du droit de la concurrence. The elements submitted to the file confirm that the subsidiary did not autonomously determine its course of action in the market, but essentially applied the instructions given to it by the parent company of the group to which it belongs.</w:t>
      </w:r>
    </w:p>
    <w:p>
      <w:r>
        <w:t>141. The companies Fougerolle SAS, Eiffage Construction SAS, and Eiffage SA are therefore not entitled to claim a lack of decisive influence over the behavior of their subsidiary that could overturn the presumption weighing against them. The unlawful behavior of SAS Eiffage Construction Languedoc Roussillon is therefore attributable to them.</w:t>
      </w:r>
    </w:p>
    <w:p>
      <w:r>
        <w:t>III. ON SANCTIONS</w:t>
        <w:br/>
        <w:t>142. Article L. 464-2 of the Commercial Code empowers the Authority to impose financial penalties on companies and organizations engaging in anti-competitive practices prohibited by Articles L. 420-1 and L. 420-2 of the Commercial Code.</w:t>
      </w:r>
    </w:p>
    <w:p>
      <w:r>
        <w:t>143. According to the fourth paragraph of I of Article L. 464-2 of the Commercial Code, the maximum financial penalty that can be imposed on a company is "10% of the highest amount of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144. Furthermore, the third paragraph of I of Article L. 464-2 of the Commercial Code provides that "financial penalties are proportionate to the seriousness of the facts alleged, the importance of the damage caused to the economy, the individual situation of the sanctioned organization or company or the group to which the company belongs, and the possible repetition of practices prohibited by [Title VI of Book IV of the Commercial Code]. They are determined individually for each sanctioned company or organization and reasoned for each sanction."</w:t>
      </w:r>
    </w:p>
    <w:p>
      <w:r>
        <w:t>145. In this case, the Authority will assess these legal criteria according to the practical modalities described in its press release of May 16, 2011, regarding the method of determining financial penalties.</w:t>
      </w:r>
    </w:p>
    <w:p>
      <w:r>
        <w:t>146. Each of the companies involved in this case has been given the opportunity to make observations on the main elements of law and fact in the file that could, according to the Authority's services, influence the determination of the sanction that may be imposed on it. The presentation of these various elements by the Authority's services does not prejudge the College's assessment of the determinants of the sanction, which is solely within its deliberation.</w:t>
      </w:r>
    </w:p>
    <w:p>
      <w:r>
        <w:t>A. ON THE DETERMINATION OF THE BASE AMOUNT</w:t>
        <w:br/>
        <w:t>147. The value of sales does not constitute an appropriate indicator, both of the economic magnitude of the practices in question, which are instantaneous but impact the structure and competitive functioning of the market beyond their mere commission period, and of the relative weight of each company or organization that participated.</w:t>
      </w:r>
    </w:p>
    <w:p>
      <w:r>
        <w:t>148. In comparable circumstances from this perspective, the Paris Court of Appeal has already approved the Authority's use, in cases of infringements that consisted of distorting competition in the context of public or private tenders, of a base constituted by the turnover achieved by each of the companies involved during the financial year in which the practice took place (see the judgments of the Paris Court of Appeal, Lacroix signalisation cited above, page 32 and company Allez et Cie et al. of March 28, 2013, 2011/20125, page 34; see also decisions No. 10-D-39 of December 22, 2010, regarding practices implemented in the sector of vertical road signage, paragraph 443, and No. 11-D-13 of October 5, 2011, regarding practices identified in the sectors of electrification and electrical installation works in the Midi-Pyrénées, Languedoc-Roussillon, Auvergne, and neighboring regions, paragraph 406).</w:t>
      </w:r>
    </w:p>
    <w:p>
      <w:r>
        <w:t>149. In this context, the base amount of the financial penalty will result from the application of a coefficient, determined based on the seriousness of the facts and the importance of the damage caused to the economy, applied to the total turnover achieved in France by the companies involved during the complete accounting year in which the infringement occurred.</w:t>
      </w:r>
    </w:p>
    <w:p>
      <w:r>
        <w:t>150. The coefficient that will be applied to this base will take into account the fact that these practices, which aim to deceive project owners about the very effectiveness of the tendering process, are by their very nature among the most serious infringements of competition rules (see, in this sense, the judgments of the Paris Court of Appeal, company Allez et Cie et al. cited above, page 32 and of March 28, 2013, Shell Petroleum Company (SPS) et al., 2011/18245, page 32) and are among the most difficult to detect due to their secretive nature.</w:t>
      </w:r>
    </w:p>
    <w:p>
      <w:r>
        <w:t>151. Other relevant individualization elements relating to the situation and behavior of each of the companies involved will be taken into consideration at a later stage.</w:t>
      </w:r>
    </w:p>
    <w:p>
      <w:r>
        <w:t>1. ON THE SERIOUSNESS OF THE FACTS</w:t>
        <w:br/>
        <w:t>152. In a judgment of January 5, 2010, company d’Exploitation de l’entreprise Ponsaty SARL (2009/02679), the Paris Court of Appeal recalled that "agreements between competing companies in the same market made during tenders are among the most serious anti-competitive practices because they jointly harm the interests of consumers or users and taxpayers" (page 10). They are also serious "in that they result in deceiving the project owner about the effects of its competitive bidding" (judgment of the Paris Court of Appeal of June 29, 2010, company Colas Rail, 2009/19724, page 15; see also the judgments of October 28, 2010, Maquet SA, page 18, and of October 11, 2012, H. Chevalier Nord Company, 2011/03298, page 67).</w:t>
      </w:r>
    </w:p>
    <w:p>
      <w:r>
        <w:t>153. Indeed, the very purpose of a public tender is to ensure full and complete competition among the companies likely to respond for the benefit of the public entity. Therefore, the disruption of the normal course of tendering procedures, by preventing price setting through the free play of the market and deceiving the public entity about the reality and extent of the competition exercised among the bidding companies, disrupts the sector where such practice occurs and causes serious harm to the economic public order.</w:t>
      </w:r>
    </w:p>
    <w:p>
      <w:r>
        <w:t>154. The Paris Court of Appeal has also ruled that "it cannot be seriously contested that such practices are particularly serious by nature, as they limit the intensity of the competitive pressure to which companies would have been subjected if they had determined themselves independently, the very foundation of calls for competition residing in the secrecy surrounding the companies involved in preparing their bids, each of them being unaware of the quality of their competitors, their financial capacities to offer the best possible service or supply at the lowest price" (judgment of March 28, 2013, company Allez et Cie et al. cited above, page 32).</w:t>
      </w:r>
    </w:p>
    <w:p>
      <w:r>
        <w:t>155. It recalls in this regard that "the exchange of information between companies prior to the submission of bids is intrinsically serious in that it frees competitors from the uncertainty of competition and allows them to prepare bids that no longer take into account only their own economic data, but those, normally confidential, of their competitors" (see also decision No. 10-D-04 of January 26, 2010, regarding practices implemented in the operating tables sector, paragraph 167, confirmed by the judgment of the Paris Court of Appeal of October 28, 2010, Maquet SA cited above).</w:t>
      </w:r>
    </w:p>
    <w:p>
      <w:r>
        <w:t>156. Furthermore, such anti-competitive practices "are reprehensible solely by their existence, regardless of whether their author ultimately obtained the contract or whether the contract award price was lower than the community's estimate, as they resulted in distorting the competition that the rules of public markets are intended to ensure" (decision No. 03-D-07 of February 4, 2003, regarding practices identified during the awarding of contracts for the purchase of vertical road signage panels by local authorities, paragraph 112, confirmed by a judgment of the Paris Court of Appeal of November 18, 2003, SAS Signaux Laporte, BOCCRF No. 2004-02).</w:t>
      </w:r>
    </w:p>
    <w:p>
      <w:r>
        <w:t>157. Finally, it should be noted that, in the case of an instantaneous contract, the duration of the infringement is not that of the tendering process itself but that of its execution. The punctual nature of the collusion is therefore not an element that mitigates the seriousness of the practice (judgment of the Paris Court of Appeal, company Allez et Cie et al. cited above, p. 32 and decisions No. 10-D-22 of July 22, 2010, regarding practices implemented in the health transport sector in Seine-Maritime, paragraph 114, and No. 11-D-07 of February 24, 2011, regarding practices implemented in the sector of painting works on metal infrastructures, paragraph 151).</w:t>
      </w:r>
    </w:p>
    <w:p>
      <w:r>
        <w:t>158. In this case, the agreement between Vilmor Construction and Eiffage Construction Roussillon, aimed at obtaining the contract for the renovation of the watchtowers of the Perpignan penitentiary center, has, by its nature, resulted in deceiving the project owner regarding the existence or intensity of competition among the operators. The concrete seriousness of this collusion must take into account the fact that it concerned only one public contract, as well as its modalities which, in this case, consisted of the award of the contract to...</w:t>
      </w:r>
    </w:p>
    <w:p>
      <w:r>
        <w:rPr>
          <w:b/>
        </w:rPr>
        <w:t>[Pages 37–39]</w:t>
      </w:r>
    </w:p>
    <w:p>
      <w:r>
        <w:t>Eiffage Construction Roussillon in exchange for a financial compensation to Vilmor Construction through a company owning the land adjacent to the site of the works, partially held by the manager of Vilmor Construction.</w:t>
      </w:r>
    </w:p>
    <w:p>
      <w:r>
        <w:t>159. Neither the local dimension of the market, nor its relatively modest amount, nor the occasional nature of the agreement are sufficient to call into question the seriousness of this practice in light of the case law of the Paris Court of Appeal and the decision-making practice of the Authority recalled in paragraphs 152 to 157 above. In its judgment Allez et Cie et al. cited above, the Paris Court of Appeal recalled that "contrary to what the applicants assert to minimize the seriousness of the practices and without prejudice to the assessment of the damage caused to the economy, neither the local dimension of the disputed markets, nor their relatively low amount, nor the existence of market power that could be exercised by the clients (...), can justify a collusive practice in the context of calls for tenders, nor call into question the proven seriousness of the practices retained" (page 32). However, the first two of these elements will be taken into account in assessing the extent of the damage caused to the economy by the agreement.</w:t>
      </w:r>
    </w:p>
    <w:p>
      <w:r>
        <w:t>2. ON THE IMPORTANCE OF THE DAMAGE CAUSED TO THE ECONOMY</w:t>
        <w:br/>
        <w:t>160. In their observations, the companies of the Eiffage group particularly emphasize that the market amounts to only 600,000 euros excluding tax and that it is an occasional practice implemented by a company of local scope.</w:t>
      </w:r>
    </w:p>
    <w:p>
      <w:r>
        <w:t>161. They also criticize the Authority's services for not having conducted an assessment of the damage caused to the economy by comparing the prices charged during the period following the practice and those charged previously.</w:t>
      </w:r>
    </w:p>
    <w:p>
      <w:r>
        <w:t>162. It is established case law that the importance of the damage caused to the economy is assessed globally for the practices in question, that is to say, in light of the cumulative action of all participants, without the need to identify the share attributable to each of them taken separately (judgments of the Court of Cassation of February 18, 2004, CERP et al., no. 02-11754, and of the Paris Court of Appeal of September 17, 2008, Coopérative Agricole l’Ardéchoise, no. 2007/10371, p. 6).</w:t>
      </w:r>
    </w:p>
    <w:p>
      <w:r>
        <w:t>163. This legal criterion is not to be confused with the harm that the victims of the practices in question may have suffered, but is assessed based on the general disruption that they are likely to cause to the economy (see, for example, judgment of the Paris Court of Appeal of October 8, 2008, SNEF, no. 2007/18040, p. 4).</w:t>
      </w:r>
    </w:p>
    <w:p>
      <w:r>
        <w:t>164. The Authority, which is not required to precisely quantify the damage caused to the economy, must assess its existence and importance,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no. 2010/12049, p. 5, confirmed on appeal by the judgment of the Court of Cassation of May 30, 2012, cited above, and of January 26, 2012, Beauté Prestige International et al., no. 2012/23945, p. 89). The existence of damage to the economy cannot therefore be presumed (judgment of the Court of Cassation of April 7, 2010, Orange France et al., no. 09-12984, 09-13163 and 09-65940).</w:t>
      </w:r>
    </w:p>
    <w:p>
      <w:r>
        <w:t>165. Based on established case law, the Authority takes into account, in assessing the economic impact of the practice in question, the extent of the infringement, characterized among other things by its geographical coverage or by the cumulative market share of the parties in the relevant sector, its duration, the conjunctural or structural consequences, as well as the relevant economic characteristics of the sector concerned (see, for example, the judgment of the Court of Appeal of June 30, 2011, Orange France cited above, and of October 11, 2012, Entreprise H. Chevalier Nord cited above, page 70). Both the proven and potential effects of the practice may be taken into consideration in this regard (see, in this sense, judgment of the Court of Cassation of June 28, 2005, Novartis Pharma, appeal no. C 04-13.910).</w:t>
      </w:r>
    </w:p>
    <w:p>
      <w:r>
        <w:t>166. Firstly, in cases of collusion concerning tender markets, the amount of the affected contracts constitutes one of the elements for assessing the importance of the damage caused to the economy, as recalled by the Council in decision no. 09-D-03 of January 21, 2009, concerning practices implemented in the school and intercity transport sector by coach in the Pyrénées-Orientales department (paragraph 119), even if it is not limited to this amount.</w:t>
      </w:r>
    </w:p>
    <w:p>
      <w:r>
        <w:t>167. Secondly, the Authority also takes into account the effective implementation or not of the practices retained, their duration, the size and position of the companies involved in the sector (see, in particular, decisions no. 08-D-15 of July 2, 2008, concerning practices implemented in the boiler renovation sector in Saône-et-Loire and no. 09-D-10 of February 27, 2009, concerning practices implemented in the maritime transport sector between Corsica and the mainland; and the judgment of the Paris Court of Appeal, société Allez et Cie et al. cited above, page 33).</w:t>
      </w:r>
    </w:p>
    <w:p>
      <w:r>
        <w:t>168. In this regard, the Paris Court of Appeal specified in its judgment Entreprise H. Chevalier Nord cited above, that "it matters little that (...) the offer retained by the project owner is of an amount lower than the estimate of the administration, only the normal functioning of competition and the uncertainty regarding the amount of the offers proposed by competitors being indeed capable of guaranteeing the obtaining of the fair price" (page 69, see also the judgment société Allez et Cie et al. cited above, page 33).</w:t>
      </w:r>
    </w:p>
    <w:p>
      <w:r>
        <w:t>169. In the case at hand, the behavior of Eiffage Construction Roussillon, due to its affiliation with the Eiffage group, familiar with tender procedures, is likely to induce a risk of normalization and leading concerning smaller companies, particularly local small and medium-sized enterprises (SMEs) often acting within the framework of subcontracting contracts with larger companies.</w:t>
      </w:r>
    </w:p>
    <w:p>
      <w:r>
        <w:t>170. Furthermore, while the damage caused to the economy by the collusion between Vilmor Construction and Eiffage Construction Roussillon exceeded the mere amount of the contract, it remained modest given that it concerns a local market amounting to 660,000 euros excluding tax.</w:t>
      </w:r>
    </w:p>
    <w:p>
      <w:r>
        <w:t>171. In light of the above elements, it is appropriate to conclude that the practice in question caused certain but moderately significant damage to the economy.</w:t>
      </w:r>
    </w:p>
    <w:p>
      <w:r>
        <w:t>3. CONCLUSION ON THE BASE AMOUNT</w:t>
        <w:br/>
        <w:t>172. Given the particular seriousness of the facts, on one hand, and the moderate importance of the damage caused to the economy, on the other hand, a coefficient of 1% will be applied to the turnover achieved in France by each of the companies that implemented the practices during the accounting year in which the infringement occurred.</w:t>
      </w:r>
    </w:p>
    <w:p>
      <w:r>
        <w:t>173. The resulting base amount of the financial sanctions is as follows:</w:t>
        <w:br/>
        <w:t>Companies Turnover achieved Coefficient Base amount</w:t>
        <w:br/>
        <w:t>in France in 2008 multiplier (in euros) (in %) (in euros)</w:t>
        <w:br/>
        <w:t>Eiffage Construction 64,756,849 1% 647,568</w:t>
        <w:br/>
        <w:t>Languedoc Roussillon</w:t>
        <w:br/>
        <w:t>Vilmor Construction 6,544,526 1% 65,445</w:t>
      </w:r>
    </w:p>
    <w:p>
      <w:r>
        <w:t>B. ON THE CONSIDERATION OF CIRCUMSTANCES SPECIFIC TO EACH COMPANY</w:t>
        <w:br/>
        <w:t>1. REMINDER OF THE PRINCIPLES</w:t>
        <w:br/>
        <w:t>174. The Authority has committed to adapting the base amount of sanctions in light of the legal criterion concerning the individual situation of each of the parties involved, whether they are organizations or companies, belonging, where applicable, to larger groups.</w:t>
      </w:r>
    </w:p>
    <w:p>
      <w:r>
        <w:t>175. To this end, and depending on the elements specific to each case, it may take into account various mitigating or aggravating circumstances characterizing the behavior of the parties in the context of their participation in the infringement, as well as any other relevant objective element relating to their individual situation. This consideration may, depending on the cases, lead to adjusting the sanction both upwards and downwards.</w:t>
      </w:r>
    </w:p>
    <w:p>
      <w:r>
        <w:t>176. In the present case, the elements of the file do not reveal any elements likely to characterize the existence of aggravating or mitigating circumstances specific to any of the parties.</w:t>
      </w:r>
    </w:p>
    <w:p>
      <w:r>
        <w:t>177. On the other hand, it should be recalled that the assessment of the individual situation of a company may notably lead to taking into account not only its size and resources, beyond those derived from the products or services involved in the infringement, but also its membership in a group that itself has a larger size, economic power, and overall resources (see, in this sense, judgments of the Court of Cassation of April 28, 2004, Colas Midi-Méditerranée et al., no. 02-15203, and of the Paris Court of Appeal, Entreprise H. Chevalier Nord et al. cited above, p. 71, société Allez et Cie et al. cited above, p. 34, and société des pétroles Shell (SPS) et al. cited above, p. 35).</w:t>
      </w:r>
    </w:p>
    <w:p>
      <w:r>
        <w:t>178. In fact, the circumstance that a company, beyond the products or services directly related to the infringement, benefits from a significant scope of activities, or has significant financial power, may justify that the sanction imposed on it in consideration of a given infringement be higher than if this were not the case, in order to ensure both the deterrent and proportional nature of the financial sanction (judgment of the Paris Court of Appeal, Entreprise H. Chevalier Nord et al. cited above, p. 71). In this regard, the Court of Cassation has already had the opportunity to specify that the effectiveness</w:t>
      </w:r>
    </w:p>
    <w:p>
      <w:r>
        <w:rPr>
          <w:b/>
        </w:rPr>
        <w:t>[Pages 40–42]</w:t>
      </w:r>
    </w:p>
    <w:p>
      <w:r>
        <w:t>de la lutte contre les pratiques anticoncurrentielles requires that the financial penalty be effectively deterrent, considering the financial situation of each company at the time it is sanctioned (judgment of the Court of Cassation of September 18, 2012, Séphora et al., no. 12-14401, 12-14584, 12-14595, 12-14597, 12-14598, 12-14624, 12-14625, 12-14632, and 12-14648).</w:t>
      </w:r>
    </w:p>
    <w:p>
      <w:r>
        <w:t>179. The consistent case law of the Union goes in the same direction. It states that, based on the not only punitive but also deterrent objective of fines attached to violations of Union competition rules, the European Commission or the Court is entitled to consider that a significant overall turnover compared to that of other participants in a cartel justifies an increase in the fine (judgment of the Court of Justice of June 26, 2006, Showa Denko/Commission, C-289/04 P, Rec. p. I-5859, paragraph 18). This objective is also highlighted regarding the sanctions that may be imposed in the event of violations of national competition rules, by the judgment of the European Court of Human Rights of September 27, 2011, Menarini Diagnostics/Italy (Application no. 43509/08, paragraph 41).</w:t>
      </w:r>
    </w:p>
    <w:p>
      <w:r>
        <w:t>2. IN THIS CASE</w:t>
      </w:r>
    </w:p>
    <w:p>
      <w:r>
        <w:t>180. The Authority will take into account the size, economic power, and significant overall resources of the Eiffage group, to which Eiffage Construction Languedoc Roussillon SAS belongs.</w:t>
      </w:r>
    </w:p>
    <w:p>
      <w:r>
        <w:t>181. The consolidated turnover of the Eiffage group achieved globally in 2008 amounts to 13.226 billion euros (reference 1988), compared to the turnover of less than 65 million euros achieved in France by Eiffage Construction Languedoc during the year 2008.</w:t>
      </w:r>
    </w:p>
    <w:p>
      <w:r>
        <w:t>182. In light of all the circumstances of the case, the base amount of the financial penalty for Eiffage Construction Languedoc Roussillon SAS will be increased by 15% and set at 744,703 euros.</w:t>
      </w:r>
    </w:p>
    <w:p>
      <w:r>
        <w:t>C. ON RECIDIVISM</w:t>
      </w:r>
    </w:p>
    <w:p>
      <w:r>
        <w:t>183. Recidivism, which is addressed independently by Article L. 464-2 of the Commercial Code, constitutes an aggravating circumstance that the Authority may take into account by increasing the amount of the penalty in order to provide a proportionate response, in terms of repression and deterrence, to the propensity of the company or organization concerned to disregard competition rules (see, in this sense, decision no. 07-D-33 of the Council of October 15, 2007, regarding practices implemented by France Télécom in the high-speed Internet access sector, paragraph 112). The case law of the Union goes in the same direction (judgment of the Court of Justice of February 8, 2007, Groupe Danone/Commission, C-3/06 P, Rec. p. I-1331, paragraph 47).</w:t>
      </w:r>
    </w:p>
    <w:p>
      <w:r>
        <w:t>184. Recidivism can be established when four conditions are met:</w:t>
        <w:br/>
        <w:t>- a previous infringement of competition rules must have been established before the end of the commission of the new practices;</w:t>
        <w:br/>
        <w:t>- the latter must be identical or similar, in their object or effect, to those that led to the previous finding of infringement;</w:t>
        <w:br/>
        <w:t>- the latter must have become final by the date on which the Authority rules on the new practices;</w:t>
        <w:br/>
        <w:t>- the time elapsed between the previous finding of infringement and the start of the new practices must be taken into account to call for a proportionate response to the company's propensity to disregard competition rules (see, in this sense, judgment of the Court of Cassation of March 29, 2011, Manpower France et al., no. 10-12913 and 10-13686; see also for the reminder of the four conditions decision no. 07-D-33, cited above, paragraphs 116 to 126).</w:t>
      </w:r>
    </w:p>
    <w:p>
      <w:r>
        <w:t>On the existence of a previous finding of infringement</w:t>
      </w:r>
    </w:p>
    <w:p>
      <w:r>
        <w:t>185. Eiffage Construction SAS has already been subject to two findings of infringement, within the framework of:</w:t>
        <w:br/>
        <w:t>- decision no. 05-D-19 of the Competition Council of May 12, 2005, regarding practices implemented in the context of construction contracts for public works for the construction of the A84 highway known as "Route des estuaires" in the Manche department, which found Eiffage Construction SAS's participation in a general consultation among competitors consisting of information exchanges, submission of cover bids, and abstention from bidding in order to allocate contracts related to the construction of this public work;</w:t>
        <w:br/>
        <w:t>- decision no. 07-D-15 of the Competition Council of May 9, 2007, regarding practices implemented in public contracts related to high schools in Île-de-France, which found Eiffage Construction SAS's participation in an anti-competitive agreement for the allocation of public works contracts launched by the Regional Council of Île-de-France between 1990 and 1997.</w:t>
      </w:r>
    </w:p>
    <w:p>
      <w:r>
        <w:t>186. These two decisions are prior to the date on which Eiffage Construction Languedoc Roussillon, a 100% subsidiary of Eiffage Construction SAS, participated in the anti-competitive consultation regarding the call for tenders for the reconstruction of the watchtowers of the Perpignan penitentiary center.</w:t>
      </w:r>
    </w:p>
    <w:p>
      <w:r>
        <w:t>187. In this case, the question arises as to whether the previously established anti-competitive practices of Eiffage Construction SAS by the Competition Council can constitute the first term of a recidivism situation held against it due to subsequent practices implemented by its subsidiary Eiffage Construction Languedoc Roussillon SAS.</w:t>
      </w:r>
    </w:p>
    <w:p>
      <w:r>
        <w:t>188. In this regard, the Paris Court of Appeal clarified, in the aforementioned Lacroix Signalisation judgment, that "it matters little, with regard to recidivism, whether the practices do not concern the same category of products; furthermore, the company Aximum is not entitled to invoke a lack of identity of the 'offender' even though, sanctioned by decision no. 05-D-67, it is also sanctioned by the Decision, regardless of the fact that it is sanctioned as the parent company of a subsidiary lacking autonomy in this regard" (page 34).</w:t>
      </w:r>
    </w:p>
    <w:p>
      <w:r>
        <w:t>189. The Union judge follows a similar approach, holding, in a judgment of September 30, 2009, Hoechst/Commission (T-161/05, Rec. p. II-3555), that recidivism played within the economic unit constituted between the parent company and its subsidiaries:</w:t>
      </w:r>
    </w:p>
    <w:p>
      <w:r>
        <w:t>"Hoechst having been sanctioned in the dye and PVC II decisions for violation of Article 81 EC, it is indeed the same company that, in the contested decision, was condemned for the same type of infringement for having participated in the cartel on the AMCA market, despite the fact that the infringements in question concern subsidiaries (see, in this sense, judgment Michelin/Commission, cited above, paragraph 290) or different markets (see, in this sense, judgment of the Tribunal of December 12, 2007, BASF/Commission, T-101/05 and T-111/05, Rec. p. II-4949, paragraph 64). Indeed, despite the finding of an infringement of Community competition law, the company, in the sense of Article 81 EC, continued to violate said provision" (paragraph 147 of the judgment).</w:t>
      </w:r>
    </w:p>
    <w:p>
      <w:r>
        <w:t>190. In this case, it has been noted in paragraphs 133 to 141 above that Eiffage Construction SAS and Eiffage Construction Languedoc Roussillon SAS form a single economic entity.</w:t>
      </w:r>
    </w:p>
    <w:p>
      <w:r>
        <w:t>191. Furthermore, it is irrelevant, with regard to the consideration of recidivism, that in decisions 05-D-19 and 07-D-15 cited above, Eiffage Construction SAS was condemned, after succeeding the rights of Boris SAE in the first decision, and of SAEP, SAE, Quillery, and Cie SAS in the second decision. It should indeed be recalled that according to the case law of the supervisory courts: "the sanctions provided for in Article L. 464-2 of the Commercial Code are applicable to the companies that are authors of the prohibited anti-competitive practices [...], when the person who operated the company has ceased to exist legally before being called to account, the practices are attributed to the legal person to which the company has been legally transferred, and, in the absence of such a transfer, to the one that ensures its economic and functional continuity in fact" (see judgments of the Paris Court of Appeal of January 14, 2009, Eurelec Midi-Pyrénées SA, 2008/01095, and Court of Cassation of November 20, 2001, société Bec Frères, appeals no. 99-16776 and 99-18253).</w:t>
      </w:r>
    </w:p>
    <w:p>
      <w:r>
        <w:t>On the identity or similarity of the practices</w:t>
      </w:r>
    </w:p>
    <w:p>
      <w:r>
        <w:t>192. Recidivism aims to address cases in which an organization or company previously sanctioned for violating competition rules violates these rules again. For it to be taken into account, it is sufficient that the practices in question are identical or similar in their object or due to their effects (see, in this sense, judgment Lacroix Signalisation cited above, page 34).</w:t>
      </w:r>
    </w:p>
    <w:p>
      <w:r>
        <w:t>193. It is therefore not necessary to conduct an analysis of the precise factual circumstances characterizing the different practices in question (see, in this sense, judgment of the Paris Court of Appeal of January 26, 2010, Adecco France et al., no. 2009/03532, p. 20, appeal rejected by the judgment of the Court of Cassation of March 29, 2011, cited above; see also, decision no. 07-D-33 cited above, paragraph 122).</w:t>
      </w:r>
    </w:p>
    <w:p>
      <w:r>
        <w:t>194. In this case, the Council's decisions no. 05-D-19 and no. 07-D-15 cited above sanctioned practices that had the object and effects of distorting competition and misleading the project owner regarding the reality of competition among bidders during tender procedures. They indeed have the same object (and moreover the same effects) as those in question in the present decision.</w:t>
      </w:r>
    </w:p>
    <w:p>
      <w:r>
        <w:t>On the finality, as of the date of this decision, of the finding of infringement</w:t>
      </w:r>
    </w:p>
    <w:p>
      <w:r>
        <w:t>195. The aforementioned decisions have become final:</w:t>
      </w:r>
    </w:p>
    <w:p>
      <w:r>
        <w:rPr>
          <w:b/>
        </w:rPr>
        <w:t>[Pages 43–45]</w:t>
      </w:r>
    </w:p>
    <w:p>
      <w:r>
        <w:t>- Decision No. 05-D-19 was confirmed regarding the practices attributed to Eiffage Construction SAS, by a judgment of the Paris Court of Appeal dated March 7, 2006, INEO SA, and the appeals filed against this judgment were rejected by a judgment of the Court of Cassation dated March 6, 2007, Demathieu et Bard (appeals No. Z 06-13.501, K 06-13.534, P 06-13.583, Q 06-13.584, E 06-13.598, Q 06-13.607, R 06-13.608, S 06-13.609, T 06-13.610);</w:t>
        <w:br/>
        <w:t>- Decision No. 07-D-15 was confirmed regarding the practices attributed to Eiffage Construction SAS, by a judgment of the Paris Court of Appeal dated July 3, 2008, Eiffage Construction SAS, the company Eiffage Construction having withdrawn before this judgment.</w:t>
      </w:r>
    </w:p>
    <w:p>
      <w:r>
        <w:t>Conclusions on Reiteration</w:t>
        <w:br/>
        <w:t>196. In light of the preceding elements and the very short time elapsed between the previous finding of infringement and the practices in question, it is appropriate to consider that the company Eiffage Construction SAS is in a situation of reiteration justifying a 30% increase in its sanction. This increase, which will consequently be imposed solely on Eiffage Construction SAS, amounts to 223,411 euros.</w:t>
      </w:r>
    </w:p>
    <w:p>
      <w:r>
        <w:t>D. ON THE VERIFICATION OF THE APPLICABLE LEGAL MAXIMUM</w:t>
        <w:br/>
        <w:t>197. In accordance with I of Article L. 464-2 of the Commercial Code, when the offender is a company, the maximum amount of the financial penalty is 10% of the highest worldwide turnover excluding taxes achieved during one of the fiscal years closed since the fiscal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198. The highest known consolidated worldwide turnover excluding taxes achieved by the Eiffage group, which consolidates the turnover of Eiffage Construction Languedoc Roussillon SAS, was 13.732 billion euros as of December 31, 2011. The maximum amount of the sanction amounts to 1.373 billion euros concerning it.</w:t>
      </w:r>
    </w:p>
    <w:p>
      <w:r>
        <w:t>199. The amount of the financial penalty imposed on Eiffage Construction Languedoc Roussillon SAS does not exceed this last figure.</w:t>
      </w:r>
    </w:p>
    <w:p>
      <w:r>
        <w:t>200. The highest known worldwide turnover excluding taxes achieved by Vilmor Construction was 9,041,432 euros as of September 30, 2011. The maximum amount of the sanction amounts to 904,143 euros concerning it.</w:t>
      </w:r>
    </w:p>
    <w:p>
      <w:r>
        <w:t>201. The amount of the financial penalty imposed on Vilmor Construction does not exceed this last figure.</w:t>
      </w:r>
    </w:p>
    <w:p>
      <w:r>
        <w:t>E. ON THE CONTRIBUTIVE CAPACITY OF VILMOR CONSTRUCTION</w:t>
        <w:br/>
        <w:t>202. The company Vilmor Construction reported that it had been subject to a judicial recovery order pronounced by a judgment of the Commercial Court of Perpignan dated June 27, 2012. This same court authorized the continuation of the observation period until December 27, 2012, and then, by a judgment dated December 12, 2012, renewed this observation phase until June 27, 2013.</w:t>
      </w:r>
    </w:p>
    <w:p>
      <w:r>
        <w:t>203. Vilmor Construction also reported accounting and financial elements attesting to particular financial difficulties affecting its contributive capacity, which will be taken into account by reducing the amount of its financial penalty to 5,000 euros.</w:t>
      </w:r>
    </w:p>
    <w:p>
      <w:r>
        <w:t>F. ON THE FINAL AMOUNT OF SANCTIONS</w:t>
        <w:br/>
        <w:t>204. In view of all the elements described above, it is appropriate to impose the following financial sanctions on each of the companies involved:</w:t>
        <w:br/>
        <w:t>Company Final Sanction</w:t>
        <w:br/>
        <w:t>Eiffage Construction Languedoc 740,000 euros</w:t>
        <w:br/>
        <w:t>Roussillon SAS, Fougerolle SAS, Eiffage</w:t>
        <w:br/>
        <w:t>Construction SAS and Eiffage SA</w:t>
        <w:br/>
        <w:t>jointly and severally</w:t>
        <w:br/>
        <w:t>Eiffage Construction SAS 220,000 euros</w:t>
        <w:br/>
        <w:t>Vilmor Construction 5,000 euros</w:t>
      </w:r>
    </w:p>
    <w:p>
      <w:r>
        <w:t>DECISION</w:t>
        <w:br/>
        <w:t>Article 1: It is established that the company EURL Vilmor Construction, on one hand, and the companies Eiffage Construction Languedoc Roussillon SAS, Fougerolle SAS, Eiffage Construction SAS and Eiffage SA, on the other hand, have violated the provisions of Article L. 420-1 of the Commercial Code.</w:t>
        <w:br/>
        <w:t>Article 2: For the infringement referred to in Article 1, the following financial sanctions are imposed:</w:t>
        <w:br/>
        <w:t>• 5,000 euros on the company EURL Vilmor Construction;</w:t>
        <w:br/>
        <w:t>• 960,000 euros on the companies Eiffage Construction Languedoc Roussillon SAS, Fougerolle SAS, Eiffage Construction SAS and Eiffage SA, distributed as follows: 740,000 euros imposed jointly and severally on the four aforementioned companies and 220,000 euros on Eiffage Construction SAS.</w:t>
      </w:r>
    </w:p>
    <w:p>
      <w:r>
        <w:t>Deliberated on the oral report of Ms. Sonia Sbaa, rapporteur, and the intervention of Mr. Eric Cuziat, deputy general rapporteur, by Mr. Patrick Spilliaert, vice-president, president of the session, and Ms. Reine-Claude Mader-Saussaye and Pierrette Pinot, members.</w:t>
        <w:br/>
        <w:t>The session secretary, The vice-president,</w:t>
        <w:br/>
        <w:t>Caroline Orsel-Sébès Patrick Spilliaert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