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https://www.autoritedelaconcurrence.fr/fr/decision/relative-des-pratiques-mises-en-oeuvre-sur-le-marche-de-la-restructuration-de-lhopital</w:t>
      </w:r>
    </w:p>
    <w:p>
      <w:r>
        <w:t>Pages translated : 10</w:t>
      </w:r>
    </w:p>
    <w:p/>
    <w:p>
      <w:r>
        <w:rPr>
          <w:b/>
        </w:rPr>
        <w:t>[Pages 1–3]</w:t>
      </w:r>
    </w:p>
    <w:p>
      <w:r>
        <w:t xml:space="preserve">FRENCH REPUBLIC  </w:t>
        <w:br/>
        <w:t xml:space="preserve">Decision No. 07-D-34 of October 24, 2007  </w:t>
        <w:br/>
        <w:t xml:space="preserve">regarding practices implemented in the market for the restructuring of the Saint-Léon Hospital in Bayonne  </w:t>
        <w:br/>
        <w:t xml:space="preserve">The Competition Council (Section IV),  </w:t>
        <w:br/>
        <w:t xml:space="preserve">Having regard to the letter registered on November 24, 2004, under number 04/0089 F, by which the Minister of Economy, Finance and Industry referred to the Competition Council practices implemented by the companies Mas, GTM GCS, and Faure-Silva;  </w:t>
        <w:br/>
        <w:t xml:space="preserve">Having regard to Articles 81 and 82 of the Treaty establishing the European Community;  </w:t>
        <w:br/>
        <w:t xml:space="preserve">Having regard to Book IV of the Commercial Code;  </w:t>
        <w:br/>
        <w:t xml:space="preserve">Having regard to the observations presented by the companies Mas, GTM GCS, Faure-Silva, and by the Government Commissioner;  </w:t>
        <w:br/>
        <w:t xml:space="preserve">Having regard to the other documents in the file;  </w:t>
        <w:br/>
        <w:t xml:space="preserve">The rapporteur, the deputy general rapporteur, the Government Commissioner, and the representatives of the companies Mas, GTM-GCS, and Faure-Silva heard during the session of September 25, 2007;  </w:t>
        <w:br/>
        <w:t>Adopts the following decision:</w:t>
      </w:r>
    </w:p>
    <w:p>
      <w:r>
        <w:t xml:space="preserve">I. Findings  </w:t>
        <w:br/>
        <w:t xml:space="preserve">A. THE PUBLIC CONTRACT CONCERNED  </w:t>
        <w:br/>
        <w:t xml:space="preserve">1. On September 7, 2001, the Côte Basque Hospital Center issued a call for tenders for the restructuring of the Bayonne hospital. The deadline for receipt of tenders, initially set for December 3, 2001, was eventually postponed to January 31, 2002.  </w:t>
        <w:br/>
        <w:t xml:space="preserve">2. The works concerned 56,000 m2 to be restructured, including 17,000 m2 to be rehabilitated and 39,000 m2 to be reconstructed, with the stipulation that all hospital services had to continue operating during the operation. The first phase of the works included thirteen lots, including lot no. 2 construction. The initial forecast for the duration of the works was set at five years.  </w:t>
        <w:br/>
        <w:t xml:space="preserve">3. At the end of the consultation, two bids were submitted for lot no. 2 construction, one by the company Mas and the other by the consortium GTM GCS/Faure-Silva.  </w:t>
        <w:br/>
        <w:t xml:space="preserve">4. These bids exceeded the client's estimate by 56.86% for the base offer from the company Mas and by 60.83% for that of the consortium GTM GCS/Faure-Silva. Furthermore, the twelve other lots of the contract, with the exception of lot no. 1, exceeded the project manager's estimate by at least 30%.  </w:t>
        <w:br/>
        <w:t xml:space="preserve">Lot no. 2 (S/Lots) Estimate MAS Exceedance GTM FAURE %  </w:t>
        <w:br/>
        <w:t xml:space="preserve">percentage SILVA  </w:t>
        <w:br/>
        <w:t xml:space="preserve">02/01-Structural work 13,735,298 22,274,800 62.17 22,615,603 64.65  </w:t>
        <w:br/>
        <w:t xml:space="preserve">02/02-Partitions and linings 3,579,223 5,407,000 51.07 5,785,802 61.84  </w:t>
        <w:br/>
        <w:t xml:space="preserve">02/03-Interior joinery 2,934,820 4,089,000 39.33 4,167,517 42.01  </w:t>
        <w:br/>
        <w:t xml:space="preserve">02-06-Movable walls 20,279 24,200 19.34 31,078 53.25  </w:t>
        <w:br/>
        <w:t xml:space="preserve">Total € excl. tax 20,269,620 31,795,000 56.86 32,600,000 60.83  </w:t>
        <w:br/>
        <w:t xml:space="preserve">5. The tender commission, after deciding to declare all lots unsuccessful, relaunched a new consultation on May 16, 2002, with a deadline for receipt of tenders set for July 22, 2002.  </w:t>
        <w:br/>
        <w:t xml:space="preserve">6. The project estimate, very little modified technically compared to the first consultation, was re-evaluated by 18.27%, with lot no. 2 seeing its estimate raised by 30.45%.  </w:t>
        <w:br/>
        <w:t xml:space="preserve">7. While three companies, Mas, GTM, and Duhalde, had withdrawn a consultation file, the main lot no. 2 received only one bid from the consortium of companies Mas/GTM-Faure-Silva for an amount of €32,950,000 excl. tax, representing an increase of 3.63% compared to the previous base offer from the company Mas and 24% compared to the new market estimate.  </w:t>
        <w:br/>
        <w:t xml:space="preserve">8. The analysis report of the bids prepared by the project management proposed to the tender commission to declare the tender for lot no. 2 unsuccessful and to relaunch a negotiated contract for this lot without publication, in order to obtain better results with the consortium.  </w:t>
        <w:br/>
        <w:t xml:space="preserve">9. Following the meeting of October 31, 2002, the tender commission nevertheless decided to award lot no. 2 to the consortium Mas/GTM/Faure-Silva.  </w:t>
        <w:br/>
        <w:t xml:space="preserve">B. THE COMPANIES  </w:t>
        <w:br/>
        <w:t xml:space="preserve">The company Mas  </w:t>
        <w:br/>
        <w:t xml:space="preserve">10. This company is a public limited company headquartered in Pau and has an agency in Bayonne.  </w:t>
        <w:br/>
        <w:t xml:space="preserve">The company GTM GCS  </w:t>
        <w:br/>
        <w:t xml:space="preserve">11. GTM GCS is a subsidiary of GTM Construction, which is part of the construction division of the Vinci group. GTM GCS is organized into regional departments, including the southwest regional department.  </w:t>
        <w:br/>
        <w:t xml:space="preserve">The company Faure-Silva  </w:t>
        <w:br/>
        <w:t xml:space="preserve">12. The company Faure-Silva is a subsidiary of GTM Construction, whose registered office is located in Bayonne.  </w:t>
        <w:br/>
        <w:t xml:space="preserve">C. THE PRACTICES  </w:t>
        <w:br/>
        <w:t xml:space="preserve">13. The public procurement unit of the Bayonne sector of the DGCCRF of the Pyrénées Atlantiques conducted an investigation into the conditions under which the companies Mas, GTM GCS, and Faure-Silva submitted bids for the restructuring contract of the Bayonne hospital. It appeared suspicious that these companies, the only candidates, which had submitted separately during the first call for tenders, grouped together during the second call for tenders and proposed a price significantly higher than the prices offered during the first consultation, for services that were substantially identical.  </w:t>
        <w:br/>
        <w:t>14. The investigators, relying on the price indices BT01 (all trades), BT02 (earthworks), BT03 (concrete masonry), and BT50 (renovation), published in the Moniteur, indeed pointed out that inflation could only partially explain the price increase over a period of less than six months. Such an increase could not further be justified by the need to anticipate the inherent risks of this type of project, since the companies would have already had to take this into account in their initial offers. They finally noted that the volume of monthly works entrusted to the companies was very much lower than what is usually required for this type of project and that the comparison of the restructuring market of this hospital with that of the reconstruction of the Perpignan hospital revealed, on common items, a significant and difficult-to-explain cost differential.</w:t>
      </w:r>
    </w:p>
    <w:p>
      <w:r>
        <w:rPr>
          <w:b/>
        </w:rPr>
        <w:t>[Pages 4–6]</w:t>
      </w:r>
    </w:p>
    <w:p>
      <w:r>
        <w:t xml:space="preserve">15. According to the DGCCRF, the formation of a consortium between the companies Mas, GTM GCS, and Faure-Silva to respond to the second call for tenders could have aimed to stifle competition, insofar as both Mas and the GTM GCS/Faure-Silva consortium had the technical and human resources to handle this project alone. Thus, the number of workers required was estimated between thirty-five and forty with significant variations, which appeared manageable for companies the size of Mas or GTM GCS/Faure-Silva. Finally, the average annual pre-tax figure for this project was estimated at €3,625,000, a cost that could be borne by either the Mas company alone or the GTM GCS/Faure-Silva consortium alone.  </w:t>
        <w:br/>
        <w:t xml:space="preserve">16. Furthermore, during the visits conducted at the premises of the Mas, GTM GCS, and Faure-Silva companies, documents were seized, reinforcing suspicions of information exchanges between these companies prior to the first call for tenders.  </w:t>
        <w:br/>
        <w:t xml:space="preserve">17. Thus, a table of execution studies for the works of lot no. 2-construction dated January 31, 2002, was found at the regional agency of Mérignac of the company GTM GCS, containing seventeen totals across two columns. The addition of the seventeen totals in the right column yields a result of €22,185,125, an amount that corresponds to the proposal made during the second consultation for lot no. 2-01- structural work (€23,384,440) minus subtotal no. 17.1 "Miscellaneous," which amounts to €1,199,315.  </w:t>
        <w:br/>
        <w:t xml:space="preserve">18. However, both the date of this table, coinciding with the deadline for receipt of tenders for the first call for tenders, and the similarity of the price with the offer proposed by the consortium during the second call for tenders could lead one to believe that Mas, GTM GCS, and Faure-Silva had, from the first call for tenders, planned an alternative proposal to those they would initially make.  </w:t>
        <w:br/>
        <w:t xml:space="preserve">19. Various documents were also seized demonstrating the knowledge that the companies had of their respective positions during the first call for tenders and the state of advancement of the procedure. Thus, in a notebook seized at the GTM GCS agency in Mérignac, it is indicated: "June 25, 2002 - Bayonne Hospital 1st round 2nd behind Mas, 2nd round in progress (30/7?)."  </w:t>
        <w:br/>
        <w:t xml:space="preserve">20. In another notebook from Mr. Simon's office at the headquarters of the Mas company, it is mentioned: "March 15, 2002: Dassié: St Léon hospital. High prices for items. Response by July 20, AO around May 5 to 10, procurement commission on March 26."  </w:t>
        <w:br/>
        <w:t xml:space="preserve">21. It thus appears that, armed with this information about each of their situations and the uncertainties of the first call for tenders, the three companies, after having submitted separately to the first call for tenders, formed a consortium during the second call for tenders without justification based on technical or economic reasons.  </w:t>
        <w:br/>
        <w:t xml:space="preserve">D. THE NOTIFIED GRIEVANCES  </w:t>
        <w:br/>
        <w:t xml:space="preserve">22. Based on the preceding findings, a grievance was notified, on the basis of Article L. 420-1 of the Commercial Code, to the companies Mas, GTM GCS, and Faure-Silva for: "having in 2002, within the framework of the restructuring contract for the Bayonne hospital, implemented an anti-competitive agreement by exchanging information on their respective offers before the first round of the call for tenders and by forming a consortium of companies in the second round, whereas the formation of this consortium was not justified and thus having prevented, restricted, and distorted the competition in this market by limiting access to the market or the free exercise of competition by other companies and by obstructing the setting of prices through the free play of the market by artificially favoring their increase."  </w:t>
        <w:br/>
        <w:t xml:space="preserve">II. Discussion  </w:t>
        <w:br/>
        <w:t xml:space="preserve">A. ON THE FORMATION OF THE CONSORTIUM  </w:t>
        <w:br/>
        <w:t xml:space="preserve">a) The decision-making practice of the Competition Council  </w:t>
        <w:br/>
        <w:t xml:space="preserve">23. Under a consistent decision-making practice, the Competition Council considers that "the formation by independent and competing companies of a consortium to respond to a call for tenders is not in itself unlawful" (decision no. 95-D-83 of December 12, 1995, no. 04-D-20 of June 14, 2004, no. 05-D-24 of May 31, 2005).  </w:t>
        <w:br/>
        <w:t xml:space="preserve">24. It also considers that "such consortia can have a pro-competitive effect if they allow companies, thus grouped, to compete when they would not have been able to do so individually or to compete on the basis of a more competitive offer. They can, on the other hand, have an anti-competitive effect if they cause an artificial reduction in the number of candidate companies, concealing an anti-competitive agreement or market allocation. While the absence of technical and economic necessity justifying these consortia may suggest their anti-competitive nature, it is not sufficient to prove such a character" (decisions no. 04-D-57 of November 16, 2004; no. 01-D-16 of April 24, 2001; no. 03-D-19 of April 15, 2003).  </w:t>
        <w:br/>
        <w:t xml:space="preserve">25. The Paris Court of Appeal recalled, in a judgment of February 18, 2003 (intercommunal water union of Dunkirk), that the consortium formula could have several justifications for a company that resorts to it: to help it acquire a missing skill, to ensure better chances of success, to distribute the workload to gain flexibility, to enable it to carry out works that would have been difficult to accomplish alone given their importance. The relevance of these technical justifications is assessed on a case-by-case basis, evaluating their effect on the intensity of residual competition once the consortium is formed.  </w:t>
        <w:br/>
        <w:t xml:space="preserve">26. The Council also had the opportunity to clarify the technical justifications deemed acceptable with regard to the preservation of competition. Thus, in decision no. 05-D-24 of May 31, 2005, it noted that "the technical complementarity between the members of a consortium can equally encompass the addition of different specialties, exclusive technical processes, material supply facilities, as well as the mere availability of equipment and personnel. The supposed or proven existence of material and human resources within a company does not allow for a presumption of the capacities for rapid or even simultaneous mobilization, over a geographical area as extensive as a department within the framework of a technical work realization process offering little flexibility. A partnership submission allows for increased maneuverability in terms of mobilizable resources."  </w:t>
        <w:br/>
        <w:t xml:space="preserve">27. It also, in decision no. 02-D-17 of March 12, 2002, more specifically related to practices observed in the context of awarding contracts for the renovation of a hospital center, rejected the existence of an anti-competitive agreement due to the formation of a consortium during a second call for tenders between two companies that had submitted independently of each other during a first call for tenders (subsequently annulled) even though the consortium had proposed a price higher than that offered during the first round by one of the partners, declared the lowest bidder during this first consultation. The Paris Court of Appeal, on October 16, 2002, confirming this decision, considered that "the formation of the consortium was not devoid of justification on a technical or economic level" insofar as this consortium was explained by the desire to associate with the company that had conducted the best price study allowing for the most competitive offer, to combine the skills and reputation of a local company and a national company, or by the increase in the order books of the bidding companies between the two calls for tenders.  </w:t>
        <w:br/>
        <w:t xml:space="preserve">28. The Council finally considers that "if the absence of technical or economic necessities justifying these consortia may suggest their anti-competitive nature, it is not sufficient to prove such a character" (decision no. 07-D-01 of January 17, 2007).  </w:t>
        <w:br/>
        <w:t xml:space="preserve">b) Application to the case at hand  </w:t>
        <w:br/>
        <w:t>29. Regarding the offer proposed by the consortium, the elements of the file and the observations of the parties did not allow for determining that the price proposed by the consortium was indeed overvalued, contrary to the findings in paragraph 14. Indeed, it is established that the project owner had underestimated the amount of the works and their complexity, that additional services had been requested in the context of the second call for tenders, and that finally the economic circumstances had evolved, all elements that could explain the increase in price between the two calls for tenders.</w:t>
      </w:r>
    </w:p>
    <w:p>
      <w:r>
        <w:rPr>
          <w:b/>
        </w:rPr>
        <w:t>[Pages 7–9]</w:t>
      </w:r>
    </w:p>
    <w:p>
      <w:r>
        <w:t xml:space="preserve">A. UNDER-ESTIMATION OF THE AMOUNT OF WORK BY THE CONTRACTING AUTHORITY  </w:t>
        <w:br/>
        <w:t xml:space="preserve">30. The examination of the file reveals that, contrary to what was indicated in the call for tenders, the operations, which were particularly complex, did not concern 56,000 m2, but rather 61,151 m2, as evidenced by the building permit. It follows that based on the square meter rate retained by the project manager himself, namely €914.70 (6,000 francs) for the areas to be rehabilitated and €1,265.30 (8,300 francs) for the new areas, the underestimation of the contract is between €4,711,589.30 (i.e., 30,906,000 francs) and €6,517,698.57 (i.e., 42,753,300 francs).  </w:t>
        <w:br/>
        <w:t xml:space="preserve">31. Furthermore, calculation errors were made by the project manager during the first consultation, leading to an underestimation of the price. Indeed, based on 39,000 m2 to be reconstructed at 8,300 francs per m2, and 17,000 m2 to be rehabilitated at 6,000 francs per m2, the estimate should have amounted to €64,894,546.64 excluding tax, representing an underestimation of €7,596,006 excluding tax (64,897,546.64 – 57,301,540).  </w:t>
        <w:br/>
        <w:t>32. Moreover, the project manager did not take into account various services, such as acoustic protections, fire protection, and interior signage, which represented, according to the estimate from the company Mas, €1,613,275 and, according to the estimate from GTM GCS/Faure-Silva, €1,714,669. Thus, considering only the errors in area and calculation, there is an observed underestimation of the total amount of the works between €12,307,595 excluding tax and €14,113,704 excluding tax during the first call for tenders.</w:t>
      </w:r>
    </w:p>
    <w:p>
      <w:r>
        <w:t xml:space="preserve">B. ADDITIONAL SERVICES REQUESTED BETWEEN THE TWO ROUNDS  </w:t>
        <w:br/>
        <w:t>33. A reading of the second call for tenders indicates that in terms of technical modifications (additional services), the exterior reinforced concrete (BA) walls in the façade (lot 2-1 item 15) were modified in the specifications of the second consultation, resulting in a significant price increase.</w:t>
      </w:r>
    </w:p>
    <w:p>
      <w:r>
        <w:t xml:space="preserve">C. EVOLUTION OF ECONOMIC CIRCUMSTANCES  </w:t>
        <w:br/>
        <w:t xml:space="preserve">34. First, it should be noted that based on Annex 02 of the Particular Administrative Clauses, the relevant indices are BT06 (structural work) for lot 02-01, BT08 (partitions, linings, movable walls) for lots 02-02 and 02-06, and BT18 (interior carpentry) for lot 02-03. They increased during the period considered by 2.46%, 2.42%, and 1.2% respectively, which explains the 2% increase in the price of services for the main items (lot 02-01).  </w:t>
        <w:br/>
        <w:t xml:space="preserve">35. Furthermore, a regulatory change also explains the increase in the price of earthworks due to the rise in landfill costs. Indeed, Law 92-646 of July 13, 1992, concerning waste disposal and classified installations for environmental protection, stipulated in Article 2-1 that from July 1, 2002, waste disposal facilities by storage would only be authorized to accept waste that could not be recycled or incinerated by the owners of that waste under economically acceptable conditions. These changes led to an increase in the cost of waste recovery, particularly the cost of transport, for waste owners, including public works companies. The implementation of this law also resulted in the establishment of waste management sites compliant with these new rules; some waste disposal sites had to close, sometimes temporarily, while they were upgraded, as was the case with the Bacheforès waste disposal site located closest to the Bayonne construction site. Thus, this closure and the new recycling obligations imposed on companies responsible for waste led the consortium to revise upwards the cost of the earthworks service.  </w:t>
        <w:br/>
        <w:t xml:space="preserve">36. Regarding the economic and technical justifications put forward by the consortium companies, they are plausible. Contrary to the findings in paragraph 15, the assessment of each company's capacity to execute this contract alone does not depend on their overall workforce but on the number of employees tied to the local structure, as it is not feasible, for logistical and financial reasons, for these companies to allocate their workers to any project across the entire territory at any time. It cannot therefore be asserted that due to their national dimensions, these companies had sufficient personnel to handle this project alone.  </w:t>
        <w:br/>
        <w:t xml:space="preserve">37. The comparison between a company's turnover and the average annual turnover of the project does not provide a relevant indication of each company's financial capacity to undertake the project. Indeed, the financial commitment made by a company covers the entirety of the project, which spans nearly six years of work, taking into account the three months of project preparation and weather delays estimated at one month per year.  </w:t>
        <w:br/>
        <w:t xml:space="preserve">38. Furthermore, this was a heavy and complex project, due to the imprecision of the consultation file, delays in decision-making by the contracting authorities, significant fluctuations in the number of workers depending on the phases of work, and the management of interfaces as the work takes place in premises where hospital activity is ongoing. Therefore, the argument from the companies that they wished to pool their risks cannot, in principle, be dismissed.  </w:t>
        <w:br/>
        <w:t xml:space="preserve">39. Moreover, as the companies pointed out, the restructuring of the Bayonne hospital has already been delayed by about three years and will not be completed before 2011 at the earliest, that is, if the initial schedule is respected. It should also be noted that more than 130 estimates for additional unplanned work were prepared by the GTM GCS, Faure-Silva, and Mas consortium between June 2003 and December 2006.  </w:t>
        <w:br/>
        <w:t xml:space="preserve">40. Additionally, the project manager himself acknowledged the existence of these risks and difficulties; indeed, in his report analyzing the bids from the second round, he justified that the prices set by the consortium for the studies carried out in view of the contract and for the site installations represented a percentage of the overall price higher than those generally observed, citing specifically "the complexity of the project and the importance of the restructuring works" as well as "the length of the project and the difficulties related to the phasing of the operation."  </w:t>
        <w:br/>
        <w:t xml:space="preserve">41. The investigators also noted in their investigation report that a consortium could be justified: "the complexity of the work to be carried out in an operational hospital (can) justify that the companies took precautions by grouping together."  </w:t>
        <w:br/>
        <w:t>42. Finally, it has not been established that the consortium of these companies had the purpose or effect of stifling competition. First, it should be noted that during a meeting organized by the project manager a few days after the publication of the second call for tenders, other companies were represented, which suggested a certain level of competition in this market allowing the companies Mas, GTM GCS, and Faure-Silva to believe that they would not be the only ones to submit a bid. Second, no element in the file allows us to assert that potential competitors refrained from submitting a bid due to the formation of this consortium.</w:t>
      </w:r>
    </w:p>
    <w:p>
      <w:r>
        <w:t xml:space="preserve">B. ON THE MATERIAL INDICES OF COLLUSION  </w:t>
        <w:br/>
        <w:t xml:space="preserve">43. The documents seized during the visits conducted at the premises of the companies GTM GCS and Mas do not allow for the conclusion of the existence of an exchange of information between these companies prior to the first call for tenders.  </w:t>
        <w:br/>
        <w:t xml:space="preserve">44. Indeed, concerning first the execution study table for lot no. 2 construction dated January 31, 2002, found at GTM GCS, it is a working document transmitted after the publication of the second call for tenders and its content shows that the date is incorrect.  </w:t>
        <w:br/>
        <w:t xml:space="preserve">45. It explicitly mentions the modifications made to item 15 "new BA façade works" during the second call for tenders, namely "base solution = prefabricated concrete panels in the grooved areas on the façade plans. Cast-in-place walls in natural-colored concrete elsewhere." Two letters also attesting to exchanges between the project manager and the company Mas on this subject are dated June 28, 2002, and July 4, 2002, that is, after the publication of the second call for tenders.  </w:t>
        <w:br/>
        <w:t>46. Regarding, secondly, the notes extracted, one from a notebook seized at GTM GCS and the other from a notebook kept by a manager of the company Mas (§ 19 and 20), they all mention a date subsequent to the submission of bids for the first call for tenders. They cannot therefore constitute proof of an illicit exchange of information prior to the first call for tenders.</w:t>
      </w:r>
    </w:p>
    <w:p>
      <w:r>
        <w:rPr>
          <w:b/>
        </w:rPr>
        <w:t>[Pages 10–10]</w:t>
      </w:r>
    </w:p>
    <w:p>
      <w:r>
        <w:t xml:space="preserve">47. It follows from the above that the practice of anti-competitive collusion through the exchange of information before the first round of the call for tenders and through the formation of a consortium of companies in the second round is not established.  </w:t>
        <w:br/>
        <w:t xml:space="preserve">DECISION  </w:t>
        <w:br/>
        <w:t xml:space="preserve">Sole Article: It is not established that the companies Mas, GTM GCS, and Faure-Silva have violated the provisions of Article L. 420-1 of the Commercial Code.  </w:t>
        <w:br/>
        <w:t xml:space="preserve">Deliberated on the oral report of Ms. Jaillon, by Ms. Aubert, Vice-President presiding over the session, Ms. Béhar-Touchais, Messrs. Combe, Flichy, Piot, and Ripotot, members.  </w:t>
        <w:br/>
        <w:t xml:space="preserve">The session secretary, The Vice-President,  </w:t>
        <w:br/>
        <w:t xml:space="preserve">Marie-Anselme Lienafa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